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23C04" w14:textId="1311B128" w:rsidR="0013045C" w:rsidRPr="0084133A" w:rsidRDefault="00D726EE" w:rsidP="0013045C">
      <w:pPr>
        <w:spacing w:after="0" w:line="240" w:lineRule="auto"/>
        <w:jc w:val="center"/>
        <w:rPr>
          <w:rFonts w:ascii="Times New Roman" w:hAnsi="Times New Roman" w:cs="Times New Roman"/>
          <w:sz w:val="28"/>
          <w:szCs w:val="28"/>
        </w:rPr>
      </w:pPr>
      <w:r w:rsidRPr="00D726EE">
        <w:rPr>
          <w:rFonts w:ascii="Times New Roman" w:hAnsi="Times New Roman" w:cs="Times New Roman"/>
          <w:sz w:val="28"/>
          <w:szCs w:val="28"/>
        </w:rPr>
        <w:t>Министерство науки и высшего образования Республики Казахстан</w:t>
      </w:r>
    </w:p>
    <w:p w14:paraId="064513FD" w14:textId="77777777" w:rsidR="0013045C" w:rsidRPr="0084133A" w:rsidRDefault="0013045C" w:rsidP="0013045C">
      <w:pPr>
        <w:spacing w:after="0" w:line="240" w:lineRule="auto"/>
        <w:jc w:val="center"/>
        <w:rPr>
          <w:rFonts w:ascii="Times New Roman" w:eastAsia="MS Mincho" w:hAnsi="Times New Roman" w:cs="Times New Roman"/>
          <w:sz w:val="28"/>
          <w:szCs w:val="28"/>
        </w:rPr>
      </w:pPr>
    </w:p>
    <w:p w14:paraId="231C7CAC" w14:textId="055DEAAD" w:rsidR="0013045C" w:rsidRPr="009C1AB2" w:rsidRDefault="00A40C4F" w:rsidP="0013045C">
      <w:pPr>
        <w:shd w:val="clear" w:color="auto" w:fill="FFFFFF"/>
        <w:spacing w:after="0" w:line="240" w:lineRule="auto"/>
        <w:ind w:right="182"/>
        <w:jc w:val="center"/>
        <w:rPr>
          <w:rFonts w:ascii="Times New Roman" w:hAnsi="Times New Roman" w:cs="Times New Roman"/>
          <w:spacing w:val="1"/>
          <w:sz w:val="28"/>
          <w:szCs w:val="28"/>
        </w:rPr>
      </w:pPr>
      <w:r>
        <w:rPr>
          <w:rFonts w:ascii="Times New Roman" w:hAnsi="Times New Roman" w:cs="Times New Roman"/>
          <w:spacing w:val="1"/>
          <w:sz w:val="28"/>
          <w:szCs w:val="28"/>
          <w:lang w:val="kk-KZ"/>
        </w:rPr>
        <w:t>НАО</w:t>
      </w:r>
      <w:r w:rsidR="00755C04">
        <w:rPr>
          <w:rFonts w:ascii="Times New Roman" w:hAnsi="Times New Roman" w:cs="Times New Roman"/>
          <w:spacing w:val="1"/>
          <w:sz w:val="28"/>
          <w:szCs w:val="28"/>
          <w:lang w:val="kk-KZ"/>
        </w:rPr>
        <w:t xml:space="preserve"> </w:t>
      </w:r>
      <w:r w:rsidR="00755C04" w:rsidRPr="00755C04">
        <w:rPr>
          <w:rFonts w:ascii="Times New Roman" w:hAnsi="Times New Roman" w:cs="Times New Roman"/>
          <w:spacing w:val="1"/>
          <w:sz w:val="28"/>
          <w:szCs w:val="28"/>
          <w:lang w:val="kk-KZ"/>
        </w:rPr>
        <w:t>«</w:t>
      </w:r>
      <w:r>
        <w:rPr>
          <w:rFonts w:ascii="Times New Roman" w:hAnsi="Times New Roman" w:cs="Times New Roman"/>
          <w:spacing w:val="1"/>
          <w:sz w:val="28"/>
          <w:szCs w:val="28"/>
          <w:lang w:val="kk-KZ"/>
        </w:rPr>
        <w:t>Торайгыров университет</w:t>
      </w:r>
      <w:r w:rsidR="00755C04" w:rsidRPr="00755C04">
        <w:rPr>
          <w:rFonts w:ascii="Times New Roman" w:hAnsi="Times New Roman" w:cs="Times New Roman"/>
          <w:spacing w:val="1"/>
          <w:sz w:val="28"/>
          <w:szCs w:val="28"/>
          <w:lang w:val="kk-KZ"/>
        </w:rPr>
        <w:t>»</w:t>
      </w:r>
    </w:p>
    <w:p w14:paraId="16E788F6" w14:textId="77777777" w:rsidR="0013045C" w:rsidRPr="0084133A" w:rsidRDefault="0013045C" w:rsidP="0013045C">
      <w:pPr>
        <w:pStyle w:val="af2"/>
        <w:spacing w:before="0" w:beforeAutospacing="0" w:after="0" w:afterAutospacing="0"/>
        <w:ind w:firstLine="12"/>
        <w:jc w:val="center"/>
        <w:rPr>
          <w:sz w:val="28"/>
          <w:szCs w:val="28"/>
        </w:rPr>
      </w:pPr>
    </w:p>
    <w:p w14:paraId="4B7DFADE" w14:textId="77777777" w:rsidR="0013045C" w:rsidRPr="0084133A" w:rsidRDefault="0013045C" w:rsidP="0013045C">
      <w:pPr>
        <w:pStyle w:val="af2"/>
        <w:spacing w:before="0" w:beforeAutospacing="0" w:after="0" w:afterAutospacing="0"/>
        <w:ind w:firstLine="12"/>
        <w:jc w:val="center"/>
        <w:rPr>
          <w:sz w:val="28"/>
          <w:szCs w:val="28"/>
        </w:rPr>
      </w:pPr>
    </w:p>
    <w:p w14:paraId="3B0DE4A6" w14:textId="77777777" w:rsidR="0013045C" w:rsidRPr="009C1AB2" w:rsidRDefault="0013045C" w:rsidP="0013045C">
      <w:pPr>
        <w:pStyle w:val="af2"/>
        <w:spacing w:before="0" w:beforeAutospacing="0" w:after="0" w:afterAutospacing="0"/>
        <w:ind w:right="182"/>
        <w:jc w:val="center"/>
        <w:rPr>
          <w:sz w:val="28"/>
          <w:szCs w:val="28"/>
        </w:rPr>
      </w:pPr>
    </w:p>
    <w:p w14:paraId="1F099185" w14:textId="7B7E3381" w:rsidR="0013045C" w:rsidRPr="009C1AB2" w:rsidRDefault="0013045C" w:rsidP="0013045C">
      <w:pPr>
        <w:pStyle w:val="af2"/>
        <w:spacing w:before="0" w:beforeAutospacing="0" w:after="0" w:afterAutospacing="0"/>
        <w:jc w:val="both"/>
        <w:rPr>
          <w:sz w:val="28"/>
          <w:szCs w:val="28"/>
        </w:rPr>
      </w:pPr>
      <w:r w:rsidRPr="009C1AB2">
        <w:rPr>
          <w:spacing w:val="-6"/>
          <w:sz w:val="28"/>
          <w:szCs w:val="28"/>
        </w:rPr>
        <w:t>УД</w:t>
      </w:r>
      <w:r w:rsidRPr="009C1AB2">
        <w:rPr>
          <w:sz w:val="28"/>
          <w:szCs w:val="28"/>
        </w:rPr>
        <w:t xml:space="preserve">К </w:t>
      </w:r>
      <w:r w:rsidR="009545B3" w:rsidRPr="009545B3">
        <w:rPr>
          <w:sz w:val="28"/>
          <w:szCs w:val="28"/>
        </w:rPr>
        <w:t>330.341.1:334.72:004(574)</w:t>
      </w:r>
      <w:r w:rsidRPr="009C1AB2">
        <w:rPr>
          <w:sz w:val="28"/>
          <w:szCs w:val="28"/>
        </w:rPr>
        <w:t xml:space="preserve">                                                       На правах рукописи</w:t>
      </w:r>
    </w:p>
    <w:p w14:paraId="4D204D4B" w14:textId="77777777" w:rsidR="0013045C" w:rsidRPr="009C1AB2" w:rsidRDefault="0013045C" w:rsidP="0013045C">
      <w:pPr>
        <w:pStyle w:val="af2"/>
        <w:spacing w:before="0" w:beforeAutospacing="0" w:after="0" w:afterAutospacing="0"/>
        <w:ind w:right="182"/>
        <w:jc w:val="center"/>
        <w:rPr>
          <w:sz w:val="28"/>
          <w:szCs w:val="28"/>
        </w:rPr>
      </w:pPr>
    </w:p>
    <w:p w14:paraId="6B421601" w14:textId="77777777" w:rsidR="0013045C" w:rsidRPr="0084133A" w:rsidRDefault="0013045C" w:rsidP="0013045C">
      <w:pPr>
        <w:pStyle w:val="af2"/>
        <w:spacing w:before="0" w:beforeAutospacing="0" w:after="0" w:afterAutospacing="0"/>
        <w:ind w:right="182"/>
        <w:jc w:val="center"/>
        <w:rPr>
          <w:sz w:val="28"/>
          <w:szCs w:val="28"/>
        </w:rPr>
      </w:pPr>
    </w:p>
    <w:p w14:paraId="61530372" w14:textId="77777777" w:rsidR="0013045C" w:rsidRPr="0084133A" w:rsidRDefault="0013045C" w:rsidP="0013045C">
      <w:pPr>
        <w:pStyle w:val="af2"/>
        <w:spacing w:before="0" w:beforeAutospacing="0" w:after="0" w:afterAutospacing="0"/>
        <w:ind w:right="182"/>
        <w:jc w:val="center"/>
        <w:rPr>
          <w:sz w:val="28"/>
          <w:szCs w:val="28"/>
        </w:rPr>
      </w:pPr>
    </w:p>
    <w:p w14:paraId="48B81996" w14:textId="77777777" w:rsidR="0013045C" w:rsidRPr="0084133A" w:rsidRDefault="0013045C" w:rsidP="0013045C">
      <w:pPr>
        <w:pStyle w:val="af2"/>
        <w:spacing w:before="0" w:beforeAutospacing="0" w:after="0" w:afterAutospacing="0"/>
        <w:ind w:right="182"/>
        <w:jc w:val="center"/>
        <w:rPr>
          <w:sz w:val="28"/>
          <w:szCs w:val="28"/>
        </w:rPr>
      </w:pPr>
    </w:p>
    <w:p w14:paraId="59BA5BEB" w14:textId="77777777" w:rsidR="0013045C" w:rsidRPr="001B13C7" w:rsidRDefault="0013045C" w:rsidP="0013045C">
      <w:pPr>
        <w:pStyle w:val="af2"/>
        <w:spacing w:before="0" w:beforeAutospacing="0" w:after="0" w:afterAutospacing="0"/>
        <w:ind w:right="182"/>
        <w:jc w:val="center"/>
        <w:rPr>
          <w:b/>
          <w:spacing w:val="7"/>
          <w:sz w:val="28"/>
          <w:szCs w:val="28"/>
          <w:lang w:val="kk-KZ"/>
        </w:rPr>
      </w:pPr>
      <w:r>
        <w:rPr>
          <w:b/>
          <w:spacing w:val="7"/>
          <w:sz w:val="28"/>
          <w:szCs w:val="28"/>
          <w:lang w:val="kk-KZ"/>
        </w:rPr>
        <w:t>САДЕНОВА</w:t>
      </w:r>
      <w:r>
        <w:rPr>
          <w:b/>
          <w:spacing w:val="7"/>
          <w:sz w:val="28"/>
          <w:szCs w:val="28"/>
        </w:rPr>
        <w:t xml:space="preserve"> </w:t>
      </w:r>
      <w:r>
        <w:rPr>
          <w:b/>
          <w:spacing w:val="7"/>
          <w:sz w:val="28"/>
          <w:szCs w:val="28"/>
          <w:lang w:val="kk-KZ"/>
        </w:rPr>
        <w:t>АСЕЛЬ</w:t>
      </w:r>
      <w:r>
        <w:rPr>
          <w:b/>
          <w:spacing w:val="7"/>
          <w:sz w:val="28"/>
          <w:szCs w:val="28"/>
        </w:rPr>
        <w:t xml:space="preserve"> </w:t>
      </w:r>
      <w:r>
        <w:rPr>
          <w:b/>
          <w:spacing w:val="7"/>
          <w:sz w:val="28"/>
          <w:szCs w:val="28"/>
          <w:lang w:val="kk-KZ"/>
        </w:rPr>
        <w:t>МАРАТОВНА</w:t>
      </w:r>
    </w:p>
    <w:p w14:paraId="5D652AB3" w14:textId="77777777" w:rsidR="0013045C" w:rsidRPr="0084133A" w:rsidRDefault="0013045C" w:rsidP="0013045C">
      <w:pPr>
        <w:pStyle w:val="af2"/>
        <w:spacing w:before="0" w:beforeAutospacing="0" w:after="0" w:afterAutospacing="0"/>
        <w:ind w:right="182"/>
        <w:jc w:val="center"/>
        <w:rPr>
          <w:b/>
          <w:spacing w:val="7"/>
          <w:sz w:val="28"/>
          <w:szCs w:val="28"/>
        </w:rPr>
      </w:pPr>
    </w:p>
    <w:p w14:paraId="0D23F730" w14:textId="77777777" w:rsidR="0013045C" w:rsidRPr="0084133A" w:rsidRDefault="0013045C" w:rsidP="0013045C">
      <w:pPr>
        <w:pStyle w:val="af2"/>
        <w:spacing w:before="0" w:beforeAutospacing="0" w:after="0" w:afterAutospacing="0"/>
        <w:ind w:right="182"/>
        <w:jc w:val="center"/>
        <w:rPr>
          <w:sz w:val="28"/>
          <w:szCs w:val="28"/>
        </w:rPr>
      </w:pPr>
    </w:p>
    <w:p w14:paraId="37CE9DF7" w14:textId="77777777" w:rsidR="0013045C" w:rsidRPr="00113008" w:rsidRDefault="0013045C" w:rsidP="0013045C">
      <w:pPr>
        <w:pStyle w:val="af2"/>
        <w:spacing w:before="0" w:beforeAutospacing="0" w:after="0" w:afterAutospacing="0"/>
        <w:ind w:right="182"/>
        <w:jc w:val="center"/>
        <w:rPr>
          <w:sz w:val="28"/>
          <w:szCs w:val="28"/>
          <w:lang w:val="kk-KZ"/>
        </w:rPr>
      </w:pPr>
      <w:bookmarkStart w:id="0" w:name="OLE_LINK1"/>
      <w:bookmarkEnd w:id="0"/>
      <w:r w:rsidRPr="001B13C7">
        <w:rPr>
          <w:b/>
          <w:spacing w:val="5"/>
          <w:sz w:val="28"/>
          <w:szCs w:val="28"/>
        </w:rPr>
        <w:t>Развитие предпринимательских структур на основе проектирования инновационного потенциала</w:t>
      </w:r>
      <w:r>
        <w:rPr>
          <w:b/>
          <w:spacing w:val="5"/>
          <w:sz w:val="28"/>
          <w:szCs w:val="28"/>
          <w:lang w:val="kk-KZ"/>
        </w:rPr>
        <w:t xml:space="preserve"> </w:t>
      </w:r>
      <w:r w:rsidRPr="00113008">
        <w:rPr>
          <w:b/>
          <w:spacing w:val="5"/>
          <w:sz w:val="28"/>
          <w:szCs w:val="28"/>
          <w:lang w:val="kk-KZ"/>
        </w:rPr>
        <w:t>в условиях цифровой трансформации экономики Казахстана</w:t>
      </w:r>
    </w:p>
    <w:p w14:paraId="0C8EE90C" w14:textId="77777777" w:rsidR="0013045C" w:rsidRPr="0084133A" w:rsidRDefault="0013045C" w:rsidP="0013045C">
      <w:pPr>
        <w:pStyle w:val="af2"/>
        <w:spacing w:before="0" w:beforeAutospacing="0" w:after="0" w:afterAutospacing="0"/>
        <w:ind w:right="182"/>
        <w:jc w:val="center"/>
        <w:rPr>
          <w:sz w:val="28"/>
          <w:szCs w:val="28"/>
        </w:rPr>
      </w:pPr>
    </w:p>
    <w:p w14:paraId="618F1C71" w14:textId="77777777" w:rsidR="0013045C" w:rsidRPr="0084133A" w:rsidRDefault="0013045C" w:rsidP="0013045C">
      <w:pPr>
        <w:pStyle w:val="af2"/>
        <w:spacing w:before="0" w:beforeAutospacing="0" w:after="0" w:afterAutospacing="0"/>
        <w:ind w:right="182"/>
        <w:jc w:val="center"/>
        <w:rPr>
          <w:sz w:val="28"/>
          <w:szCs w:val="28"/>
        </w:rPr>
      </w:pPr>
    </w:p>
    <w:p w14:paraId="4A4305E6" w14:textId="77777777" w:rsidR="0013045C" w:rsidRPr="0084133A" w:rsidRDefault="0013045C" w:rsidP="0013045C">
      <w:pPr>
        <w:pStyle w:val="af2"/>
        <w:spacing w:before="0" w:beforeAutospacing="0" w:after="0" w:afterAutospacing="0"/>
        <w:ind w:right="182"/>
        <w:jc w:val="center"/>
        <w:rPr>
          <w:sz w:val="28"/>
          <w:szCs w:val="28"/>
        </w:rPr>
      </w:pPr>
    </w:p>
    <w:p w14:paraId="08462326" w14:textId="77777777" w:rsidR="0013045C" w:rsidRPr="001B13C7" w:rsidRDefault="0013045C" w:rsidP="0013045C">
      <w:pPr>
        <w:shd w:val="clear" w:color="auto" w:fill="FFFFFF"/>
        <w:spacing w:after="0" w:line="240" w:lineRule="auto"/>
        <w:ind w:hanging="12"/>
        <w:jc w:val="center"/>
        <w:rPr>
          <w:rFonts w:ascii="Times New Roman" w:hAnsi="Times New Roman" w:cs="Times New Roman"/>
          <w:sz w:val="28"/>
          <w:szCs w:val="28"/>
          <w:lang w:val="kk-KZ"/>
        </w:rPr>
      </w:pPr>
      <w:r w:rsidRPr="001B13C7">
        <w:rPr>
          <w:rFonts w:ascii="Times New Roman" w:hAnsi="Times New Roman" w:cs="Times New Roman"/>
          <w:sz w:val="28"/>
          <w:szCs w:val="28"/>
        </w:rPr>
        <w:t>6D050600</w:t>
      </w:r>
      <w:r>
        <w:rPr>
          <w:rFonts w:ascii="Times New Roman" w:hAnsi="Times New Roman" w:cs="Times New Roman"/>
          <w:sz w:val="28"/>
          <w:szCs w:val="28"/>
        </w:rPr>
        <w:t xml:space="preserve"> – </w:t>
      </w:r>
      <w:r>
        <w:rPr>
          <w:rFonts w:ascii="Times New Roman" w:hAnsi="Times New Roman" w:cs="Times New Roman"/>
          <w:sz w:val="28"/>
          <w:szCs w:val="28"/>
          <w:lang w:val="kk-KZ"/>
        </w:rPr>
        <w:t>Экономика</w:t>
      </w:r>
    </w:p>
    <w:p w14:paraId="05BF0D13" w14:textId="77777777" w:rsidR="0013045C" w:rsidRPr="0084133A" w:rsidRDefault="0013045C" w:rsidP="0013045C">
      <w:pPr>
        <w:shd w:val="clear" w:color="auto" w:fill="FFFFFF"/>
        <w:spacing w:after="0" w:line="240" w:lineRule="auto"/>
        <w:ind w:hanging="12"/>
        <w:jc w:val="center"/>
        <w:rPr>
          <w:rFonts w:ascii="Times New Roman" w:hAnsi="Times New Roman" w:cs="Times New Roman"/>
          <w:sz w:val="28"/>
          <w:szCs w:val="28"/>
        </w:rPr>
      </w:pPr>
    </w:p>
    <w:p w14:paraId="0D654216" w14:textId="77777777" w:rsidR="0013045C" w:rsidRPr="0084133A" w:rsidRDefault="0013045C" w:rsidP="0013045C">
      <w:pPr>
        <w:shd w:val="clear" w:color="auto" w:fill="FFFFFF"/>
        <w:spacing w:after="0" w:line="240" w:lineRule="auto"/>
        <w:ind w:hanging="12"/>
        <w:jc w:val="center"/>
        <w:rPr>
          <w:rFonts w:ascii="Times New Roman" w:hAnsi="Times New Roman" w:cs="Times New Roman"/>
          <w:spacing w:val="4"/>
          <w:sz w:val="28"/>
          <w:szCs w:val="28"/>
        </w:rPr>
      </w:pPr>
    </w:p>
    <w:p w14:paraId="00A4F19B" w14:textId="77777777" w:rsidR="0013045C" w:rsidRPr="009F5F36" w:rsidRDefault="0013045C" w:rsidP="0013045C">
      <w:pPr>
        <w:pStyle w:val="af2"/>
        <w:spacing w:before="0" w:beforeAutospacing="0" w:after="0" w:afterAutospacing="0"/>
        <w:jc w:val="center"/>
        <w:rPr>
          <w:spacing w:val="2"/>
          <w:sz w:val="28"/>
          <w:szCs w:val="28"/>
        </w:rPr>
      </w:pPr>
      <w:r w:rsidRPr="009C1AB2">
        <w:rPr>
          <w:spacing w:val="2"/>
          <w:sz w:val="28"/>
          <w:szCs w:val="28"/>
        </w:rPr>
        <w:t>Диссертация на соискание степени</w:t>
      </w:r>
      <w:r w:rsidRPr="009F5F36">
        <w:rPr>
          <w:spacing w:val="2"/>
          <w:sz w:val="28"/>
          <w:szCs w:val="28"/>
        </w:rPr>
        <w:t xml:space="preserve"> </w:t>
      </w:r>
    </w:p>
    <w:p w14:paraId="52D56FD8" w14:textId="77777777" w:rsidR="0013045C" w:rsidRPr="009C1AB2" w:rsidRDefault="0013045C" w:rsidP="0013045C">
      <w:pPr>
        <w:pStyle w:val="af2"/>
        <w:spacing w:before="0" w:beforeAutospacing="0" w:after="0" w:afterAutospacing="0"/>
        <w:jc w:val="center"/>
        <w:rPr>
          <w:sz w:val="28"/>
          <w:szCs w:val="28"/>
        </w:rPr>
      </w:pPr>
      <w:r w:rsidRPr="009C1AB2">
        <w:rPr>
          <w:spacing w:val="4"/>
          <w:sz w:val="28"/>
          <w:szCs w:val="28"/>
        </w:rPr>
        <w:t xml:space="preserve">доктора </w:t>
      </w:r>
      <w:r w:rsidRPr="009C1AB2">
        <w:rPr>
          <w:spacing w:val="-3"/>
          <w:sz w:val="28"/>
          <w:szCs w:val="28"/>
        </w:rPr>
        <w:t>философии (</w:t>
      </w:r>
      <w:r w:rsidRPr="009C1AB2">
        <w:rPr>
          <w:spacing w:val="-3"/>
          <w:sz w:val="28"/>
          <w:szCs w:val="28"/>
          <w:lang w:val="en-US"/>
        </w:rPr>
        <w:t>PhD</w:t>
      </w:r>
      <w:r w:rsidRPr="009C1AB2">
        <w:rPr>
          <w:spacing w:val="-3"/>
          <w:sz w:val="28"/>
          <w:szCs w:val="28"/>
        </w:rPr>
        <w:t>)</w:t>
      </w:r>
    </w:p>
    <w:p w14:paraId="61309593" w14:textId="31520DA3" w:rsidR="0013045C" w:rsidRDefault="0013045C" w:rsidP="0013045C">
      <w:pPr>
        <w:pStyle w:val="af2"/>
        <w:spacing w:before="0" w:beforeAutospacing="0" w:after="0" w:afterAutospacing="0"/>
        <w:ind w:left="38"/>
        <w:jc w:val="center"/>
        <w:rPr>
          <w:sz w:val="28"/>
          <w:szCs w:val="28"/>
        </w:rPr>
      </w:pPr>
    </w:p>
    <w:p w14:paraId="33E1E288" w14:textId="4D2AC937" w:rsidR="00E458EC" w:rsidRDefault="00E458EC" w:rsidP="0013045C">
      <w:pPr>
        <w:pStyle w:val="af2"/>
        <w:spacing w:before="0" w:beforeAutospacing="0" w:after="0" w:afterAutospacing="0"/>
        <w:ind w:left="38"/>
        <w:jc w:val="center"/>
        <w:rPr>
          <w:sz w:val="28"/>
          <w:szCs w:val="28"/>
        </w:rPr>
      </w:pPr>
    </w:p>
    <w:p w14:paraId="7D761878" w14:textId="52113852" w:rsidR="00E458EC" w:rsidRDefault="00E458EC" w:rsidP="0013045C">
      <w:pPr>
        <w:pStyle w:val="af2"/>
        <w:spacing w:before="0" w:beforeAutospacing="0" w:after="0" w:afterAutospacing="0"/>
        <w:ind w:left="38"/>
        <w:jc w:val="center"/>
        <w:rPr>
          <w:sz w:val="28"/>
          <w:szCs w:val="28"/>
        </w:rPr>
      </w:pPr>
    </w:p>
    <w:p w14:paraId="79AA7987" w14:textId="5006C4D2" w:rsidR="00E458EC" w:rsidRDefault="00E458EC" w:rsidP="0013045C">
      <w:pPr>
        <w:pStyle w:val="af2"/>
        <w:spacing w:before="0" w:beforeAutospacing="0" w:after="0" w:afterAutospacing="0"/>
        <w:ind w:left="38"/>
        <w:jc w:val="center"/>
        <w:rPr>
          <w:sz w:val="28"/>
          <w:szCs w:val="28"/>
        </w:rPr>
      </w:pPr>
    </w:p>
    <w:p w14:paraId="7F1203EA" w14:textId="77777777" w:rsidR="0013045C" w:rsidRPr="00FD18BA" w:rsidRDefault="0013045C" w:rsidP="0013045C">
      <w:pPr>
        <w:pStyle w:val="af2"/>
        <w:spacing w:before="0" w:beforeAutospacing="0" w:after="0" w:afterAutospacing="0"/>
        <w:jc w:val="center"/>
        <w:rPr>
          <w:sz w:val="28"/>
          <w:szCs w:val="28"/>
        </w:rPr>
      </w:pPr>
    </w:p>
    <w:tbl>
      <w:tblPr>
        <w:tblW w:w="0" w:type="auto"/>
        <w:tblLook w:val="04A0" w:firstRow="1" w:lastRow="0" w:firstColumn="1" w:lastColumn="0" w:noHBand="0" w:noVBand="1"/>
      </w:tblPr>
      <w:tblGrid>
        <w:gridCol w:w="5245"/>
        <w:gridCol w:w="4099"/>
      </w:tblGrid>
      <w:tr w:rsidR="0013045C" w:rsidRPr="009C1AB2" w14:paraId="5DD1BE34" w14:textId="77777777" w:rsidTr="00755C04">
        <w:tc>
          <w:tcPr>
            <w:tcW w:w="5245" w:type="dxa"/>
            <w:hideMark/>
          </w:tcPr>
          <w:p w14:paraId="712D3685" w14:textId="77777777" w:rsidR="0013045C" w:rsidRPr="009C1AB2" w:rsidRDefault="0013045C" w:rsidP="00C808CB">
            <w:pPr>
              <w:pStyle w:val="af2"/>
              <w:tabs>
                <w:tab w:val="left" w:pos="7088"/>
              </w:tabs>
              <w:spacing w:before="0" w:beforeAutospacing="0" w:after="0" w:afterAutospacing="0"/>
              <w:rPr>
                <w:sz w:val="28"/>
                <w:szCs w:val="28"/>
              </w:rPr>
            </w:pPr>
          </w:p>
        </w:tc>
        <w:tc>
          <w:tcPr>
            <w:tcW w:w="4099" w:type="dxa"/>
            <w:hideMark/>
          </w:tcPr>
          <w:p w14:paraId="6E9178BC" w14:textId="77777777" w:rsidR="0013045C" w:rsidRPr="009C1AB2" w:rsidRDefault="0013045C" w:rsidP="00C808CB">
            <w:pPr>
              <w:pStyle w:val="af2"/>
              <w:spacing w:before="0" w:beforeAutospacing="0" w:after="0" w:afterAutospacing="0"/>
              <w:rPr>
                <w:sz w:val="28"/>
                <w:szCs w:val="28"/>
              </w:rPr>
            </w:pPr>
            <w:r w:rsidRPr="009C1AB2">
              <w:rPr>
                <w:sz w:val="28"/>
                <w:szCs w:val="28"/>
              </w:rPr>
              <w:t xml:space="preserve">Научные </w:t>
            </w:r>
            <w:r>
              <w:rPr>
                <w:sz w:val="28"/>
                <w:szCs w:val="28"/>
              </w:rPr>
              <w:t>консультанты</w:t>
            </w:r>
          </w:p>
        </w:tc>
      </w:tr>
      <w:tr w:rsidR="0013045C" w:rsidRPr="009C1AB2" w14:paraId="5B862AF5" w14:textId="77777777" w:rsidTr="00755C04">
        <w:tc>
          <w:tcPr>
            <w:tcW w:w="5245" w:type="dxa"/>
            <w:hideMark/>
          </w:tcPr>
          <w:p w14:paraId="527ABF1C" w14:textId="77777777" w:rsidR="0013045C" w:rsidRPr="009C1AB2" w:rsidRDefault="0013045C" w:rsidP="00C808CB">
            <w:pPr>
              <w:pStyle w:val="af2"/>
              <w:tabs>
                <w:tab w:val="left" w:pos="7088"/>
              </w:tabs>
              <w:spacing w:before="0" w:beforeAutospacing="0" w:after="0" w:afterAutospacing="0"/>
              <w:rPr>
                <w:sz w:val="28"/>
                <w:szCs w:val="28"/>
              </w:rPr>
            </w:pPr>
          </w:p>
        </w:tc>
        <w:tc>
          <w:tcPr>
            <w:tcW w:w="4099" w:type="dxa"/>
            <w:hideMark/>
          </w:tcPr>
          <w:p w14:paraId="4A02766E" w14:textId="77777777" w:rsidR="0013045C" w:rsidRPr="001B13C7" w:rsidRDefault="0013045C" w:rsidP="00C808CB">
            <w:pPr>
              <w:pStyle w:val="af2"/>
              <w:spacing w:before="0" w:beforeAutospacing="0" w:after="0" w:afterAutospacing="0"/>
              <w:rPr>
                <w:sz w:val="28"/>
                <w:szCs w:val="28"/>
                <w:lang w:val="kk-KZ"/>
              </w:rPr>
            </w:pPr>
            <w:r>
              <w:rPr>
                <w:sz w:val="28"/>
                <w:szCs w:val="28"/>
                <w:lang w:val="kk-KZ"/>
              </w:rPr>
              <w:t>к.э.н.</w:t>
            </w:r>
            <w:r>
              <w:rPr>
                <w:sz w:val="28"/>
                <w:szCs w:val="28"/>
              </w:rPr>
              <w:t xml:space="preserve">, </w:t>
            </w:r>
            <w:r>
              <w:rPr>
                <w:sz w:val="28"/>
                <w:szCs w:val="28"/>
                <w:lang w:val="kk-KZ"/>
              </w:rPr>
              <w:t>профессор</w:t>
            </w:r>
          </w:p>
        </w:tc>
      </w:tr>
      <w:tr w:rsidR="0013045C" w:rsidRPr="009C1AB2" w14:paraId="410E6EAE" w14:textId="77777777" w:rsidTr="00755C04">
        <w:tc>
          <w:tcPr>
            <w:tcW w:w="5245" w:type="dxa"/>
            <w:hideMark/>
          </w:tcPr>
          <w:p w14:paraId="452AE068" w14:textId="77777777" w:rsidR="0013045C" w:rsidRPr="009C1AB2" w:rsidRDefault="0013045C" w:rsidP="00C808CB">
            <w:pPr>
              <w:pStyle w:val="af2"/>
              <w:tabs>
                <w:tab w:val="left" w:pos="7088"/>
              </w:tabs>
              <w:spacing w:before="0" w:beforeAutospacing="0" w:after="0" w:afterAutospacing="0"/>
              <w:rPr>
                <w:sz w:val="28"/>
                <w:szCs w:val="28"/>
              </w:rPr>
            </w:pPr>
          </w:p>
        </w:tc>
        <w:tc>
          <w:tcPr>
            <w:tcW w:w="4099" w:type="dxa"/>
            <w:hideMark/>
          </w:tcPr>
          <w:p w14:paraId="18EFC2BC" w14:textId="77777777" w:rsidR="0013045C" w:rsidRPr="009C1AB2" w:rsidRDefault="0013045C" w:rsidP="00C808CB">
            <w:pPr>
              <w:pStyle w:val="af2"/>
              <w:spacing w:before="0" w:beforeAutospacing="0" w:after="0" w:afterAutospacing="0"/>
              <w:rPr>
                <w:sz w:val="28"/>
                <w:szCs w:val="28"/>
              </w:rPr>
            </w:pPr>
            <w:r>
              <w:rPr>
                <w:sz w:val="28"/>
                <w:szCs w:val="28"/>
                <w:lang w:val="kk-KZ"/>
              </w:rPr>
              <w:t>Рахимова</w:t>
            </w:r>
            <w:r>
              <w:rPr>
                <w:sz w:val="28"/>
                <w:szCs w:val="28"/>
              </w:rPr>
              <w:t xml:space="preserve"> </w:t>
            </w:r>
            <w:r>
              <w:rPr>
                <w:sz w:val="28"/>
                <w:szCs w:val="28"/>
                <w:lang w:val="kk-KZ"/>
              </w:rPr>
              <w:t>С</w:t>
            </w:r>
            <w:r>
              <w:rPr>
                <w:sz w:val="28"/>
                <w:szCs w:val="28"/>
              </w:rPr>
              <w:t>.</w:t>
            </w:r>
            <w:r>
              <w:rPr>
                <w:sz w:val="28"/>
                <w:szCs w:val="28"/>
                <w:lang w:val="kk-KZ"/>
              </w:rPr>
              <w:t>А</w:t>
            </w:r>
            <w:r>
              <w:rPr>
                <w:sz w:val="28"/>
                <w:szCs w:val="28"/>
              </w:rPr>
              <w:t>.</w:t>
            </w:r>
          </w:p>
        </w:tc>
      </w:tr>
      <w:tr w:rsidR="00755C04" w:rsidRPr="009C1AB2" w14:paraId="48B9A1C9" w14:textId="77777777" w:rsidTr="00755C04">
        <w:tc>
          <w:tcPr>
            <w:tcW w:w="5245" w:type="dxa"/>
          </w:tcPr>
          <w:p w14:paraId="3E8C23EA" w14:textId="77777777" w:rsidR="00755C04" w:rsidRPr="00755C04" w:rsidRDefault="00755C04" w:rsidP="00C808CB">
            <w:pPr>
              <w:pStyle w:val="af2"/>
              <w:tabs>
                <w:tab w:val="left" w:pos="7088"/>
              </w:tabs>
              <w:spacing w:before="0" w:beforeAutospacing="0" w:after="0" w:afterAutospacing="0"/>
              <w:rPr>
                <w:sz w:val="18"/>
                <w:szCs w:val="28"/>
              </w:rPr>
            </w:pPr>
          </w:p>
        </w:tc>
        <w:tc>
          <w:tcPr>
            <w:tcW w:w="4099" w:type="dxa"/>
          </w:tcPr>
          <w:p w14:paraId="214AAC1D" w14:textId="77777777" w:rsidR="00755C04" w:rsidRPr="00755C04" w:rsidRDefault="00755C04" w:rsidP="00C808CB">
            <w:pPr>
              <w:pStyle w:val="af2"/>
              <w:spacing w:before="0" w:beforeAutospacing="0" w:after="0" w:afterAutospacing="0"/>
              <w:rPr>
                <w:sz w:val="18"/>
                <w:szCs w:val="28"/>
                <w:lang w:val="kk-KZ"/>
              </w:rPr>
            </w:pPr>
          </w:p>
        </w:tc>
      </w:tr>
      <w:tr w:rsidR="00755C04" w:rsidRPr="009C1AB2" w14:paraId="2FF5150A" w14:textId="77777777" w:rsidTr="00755C04">
        <w:tc>
          <w:tcPr>
            <w:tcW w:w="5245" w:type="dxa"/>
            <w:hideMark/>
          </w:tcPr>
          <w:p w14:paraId="61B8CE85" w14:textId="77777777" w:rsidR="00755C04" w:rsidRPr="009C1AB2" w:rsidRDefault="00755C04" w:rsidP="00755C04">
            <w:pPr>
              <w:pStyle w:val="af2"/>
              <w:tabs>
                <w:tab w:val="left" w:pos="7088"/>
              </w:tabs>
              <w:spacing w:before="0" w:beforeAutospacing="0" w:after="0" w:afterAutospacing="0"/>
              <w:rPr>
                <w:sz w:val="28"/>
                <w:szCs w:val="28"/>
              </w:rPr>
            </w:pPr>
          </w:p>
        </w:tc>
        <w:tc>
          <w:tcPr>
            <w:tcW w:w="4099" w:type="dxa"/>
            <w:hideMark/>
          </w:tcPr>
          <w:p w14:paraId="09D79ED5" w14:textId="208BF723" w:rsidR="00755C04" w:rsidRPr="009C1AB2" w:rsidRDefault="00755C04" w:rsidP="00755C04">
            <w:pPr>
              <w:pStyle w:val="af2"/>
              <w:spacing w:before="0" w:beforeAutospacing="0" w:after="0" w:afterAutospacing="0"/>
              <w:rPr>
                <w:sz w:val="28"/>
                <w:szCs w:val="28"/>
              </w:rPr>
            </w:pPr>
            <w:r>
              <w:rPr>
                <w:sz w:val="28"/>
                <w:szCs w:val="28"/>
                <w:lang w:val="kk-KZ"/>
              </w:rPr>
              <w:t>к.э.н.</w:t>
            </w:r>
            <w:r>
              <w:rPr>
                <w:sz w:val="28"/>
                <w:szCs w:val="28"/>
              </w:rPr>
              <w:t xml:space="preserve">, </w:t>
            </w:r>
            <w:r>
              <w:rPr>
                <w:sz w:val="28"/>
                <w:szCs w:val="28"/>
                <w:lang w:val="kk-KZ"/>
              </w:rPr>
              <w:t>профессор</w:t>
            </w:r>
          </w:p>
        </w:tc>
      </w:tr>
      <w:tr w:rsidR="00755C04" w:rsidRPr="009C1AB2" w14:paraId="3528545D" w14:textId="77777777" w:rsidTr="00755C04">
        <w:tc>
          <w:tcPr>
            <w:tcW w:w="5245" w:type="dxa"/>
          </w:tcPr>
          <w:p w14:paraId="5BDD876D" w14:textId="77777777" w:rsidR="00755C04" w:rsidRPr="009C1AB2" w:rsidRDefault="00755C04" w:rsidP="00755C04">
            <w:pPr>
              <w:pStyle w:val="af2"/>
              <w:tabs>
                <w:tab w:val="left" w:pos="7088"/>
              </w:tabs>
              <w:spacing w:before="0" w:beforeAutospacing="0" w:after="0" w:afterAutospacing="0"/>
              <w:rPr>
                <w:sz w:val="28"/>
                <w:szCs w:val="28"/>
              </w:rPr>
            </w:pPr>
          </w:p>
        </w:tc>
        <w:tc>
          <w:tcPr>
            <w:tcW w:w="4099" w:type="dxa"/>
          </w:tcPr>
          <w:p w14:paraId="5CA15AE1" w14:textId="36017E09" w:rsidR="00755C04" w:rsidRPr="009C1AB2" w:rsidRDefault="00755C04" w:rsidP="00755C04">
            <w:pPr>
              <w:pStyle w:val="af2"/>
              <w:spacing w:before="0" w:beforeAutospacing="0" w:after="0" w:afterAutospacing="0"/>
              <w:rPr>
                <w:sz w:val="28"/>
                <w:szCs w:val="28"/>
              </w:rPr>
            </w:pPr>
            <w:r>
              <w:rPr>
                <w:sz w:val="28"/>
                <w:szCs w:val="28"/>
                <w:lang w:val="kk-KZ"/>
              </w:rPr>
              <w:t>Суйеубаева</w:t>
            </w:r>
            <w:r>
              <w:rPr>
                <w:sz w:val="28"/>
                <w:szCs w:val="28"/>
              </w:rPr>
              <w:t xml:space="preserve"> </w:t>
            </w:r>
            <w:r>
              <w:rPr>
                <w:sz w:val="28"/>
                <w:szCs w:val="28"/>
                <w:lang w:val="kk-KZ"/>
              </w:rPr>
              <w:t>С</w:t>
            </w:r>
            <w:r>
              <w:rPr>
                <w:sz w:val="28"/>
                <w:szCs w:val="28"/>
              </w:rPr>
              <w:t>.</w:t>
            </w:r>
            <w:r>
              <w:rPr>
                <w:sz w:val="28"/>
                <w:szCs w:val="28"/>
                <w:lang w:val="kk-KZ"/>
              </w:rPr>
              <w:t>Н</w:t>
            </w:r>
            <w:r>
              <w:rPr>
                <w:sz w:val="28"/>
                <w:szCs w:val="28"/>
              </w:rPr>
              <w:t>.</w:t>
            </w:r>
          </w:p>
        </w:tc>
      </w:tr>
      <w:tr w:rsidR="00755C04" w:rsidRPr="009C1AB2" w14:paraId="7886BCF7" w14:textId="77777777" w:rsidTr="00755C04">
        <w:trPr>
          <w:trHeight w:val="82"/>
        </w:trPr>
        <w:tc>
          <w:tcPr>
            <w:tcW w:w="5245" w:type="dxa"/>
          </w:tcPr>
          <w:p w14:paraId="2762F1AC" w14:textId="77777777" w:rsidR="00755C04" w:rsidRPr="00755C04" w:rsidRDefault="00755C04" w:rsidP="00755C04">
            <w:pPr>
              <w:pStyle w:val="af2"/>
              <w:tabs>
                <w:tab w:val="left" w:pos="7088"/>
              </w:tabs>
              <w:spacing w:before="0" w:beforeAutospacing="0" w:after="0" w:afterAutospacing="0"/>
              <w:rPr>
                <w:sz w:val="18"/>
                <w:szCs w:val="18"/>
              </w:rPr>
            </w:pPr>
          </w:p>
        </w:tc>
        <w:tc>
          <w:tcPr>
            <w:tcW w:w="4099" w:type="dxa"/>
          </w:tcPr>
          <w:p w14:paraId="19DE198C" w14:textId="77777777" w:rsidR="00755C04" w:rsidRPr="00755C04" w:rsidRDefault="00755C04" w:rsidP="00755C04">
            <w:pPr>
              <w:pStyle w:val="af2"/>
              <w:spacing w:before="0" w:beforeAutospacing="0" w:after="0" w:afterAutospacing="0"/>
              <w:rPr>
                <w:sz w:val="18"/>
                <w:szCs w:val="18"/>
                <w:lang w:val="kk-KZ"/>
              </w:rPr>
            </w:pPr>
          </w:p>
        </w:tc>
      </w:tr>
      <w:tr w:rsidR="00755C04" w:rsidRPr="009C1AB2" w14:paraId="3EA617AD" w14:textId="77777777" w:rsidTr="00755C04">
        <w:tc>
          <w:tcPr>
            <w:tcW w:w="5245" w:type="dxa"/>
            <w:hideMark/>
          </w:tcPr>
          <w:p w14:paraId="6834FB4B" w14:textId="77777777" w:rsidR="00755C04" w:rsidRPr="009C1AB2" w:rsidRDefault="00755C04" w:rsidP="00755C04">
            <w:pPr>
              <w:pStyle w:val="af2"/>
              <w:tabs>
                <w:tab w:val="left" w:pos="7088"/>
              </w:tabs>
              <w:spacing w:before="0" w:beforeAutospacing="0" w:after="0" w:afterAutospacing="0"/>
              <w:rPr>
                <w:sz w:val="28"/>
                <w:szCs w:val="28"/>
              </w:rPr>
            </w:pPr>
          </w:p>
        </w:tc>
        <w:tc>
          <w:tcPr>
            <w:tcW w:w="4099" w:type="dxa"/>
            <w:hideMark/>
          </w:tcPr>
          <w:p w14:paraId="53996435" w14:textId="53938E1A" w:rsidR="00755C04" w:rsidRPr="009C1AB2" w:rsidRDefault="00A40C4F" w:rsidP="00A40C4F">
            <w:pPr>
              <w:pStyle w:val="af2"/>
              <w:spacing w:before="0" w:beforeAutospacing="0" w:after="0" w:afterAutospacing="0"/>
              <w:rPr>
                <w:sz w:val="28"/>
                <w:szCs w:val="28"/>
              </w:rPr>
            </w:pPr>
            <w:r>
              <w:rPr>
                <w:sz w:val="28"/>
                <w:szCs w:val="28"/>
                <w:lang w:val="kk-KZ"/>
              </w:rPr>
              <w:t>д</w:t>
            </w:r>
            <w:r w:rsidR="00755C04">
              <w:rPr>
                <w:sz w:val="28"/>
                <w:szCs w:val="28"/>
                <w:lang w:val="kk-KZ"/>
              </w:rPr>
              <w:t>.э.н.</w:t>
            </w:r>
            <w:r w:rsidR="00755C04">
              <w:rPr>
                <w:sz w:val="28"/>
                <w:szCs w:val="28"/>
              </w:rPr>
              <w:t xml:space="preserve">, </w:t>
            </w:r>
            <w:r>
              <w:rPr>
                <w:sz w:val="28"/>
                <w:szCs w:val="28"/>
                <w:lang w:val="kk-KZ"/>
              </w:rPr>
              <w:t>доцент</w:t>
            </w:r>
          </w:p>
        </w:tc>
      </w:tr>
      <w:tr w:rsidR="00755C04" w:rsidRPr="009C1AB2" w14:paraId="51FB92FF" w14:textId="77777777" w:rsidTr="00755C04">
        <w:tc>
          <w:tcPr>
            <w:tcW w:w="5245" w:type="dxa"/>
            <w:hideMark/>
          </w:tcPr>
          <w:p w14:paraId="04E71A33" w14:textId="77777777" w:rsidR="00755C04" w:rsidRPr="009C1AB2" w:rsidRDefault="00755C04" w:rsidP="00755C04">
            <w:pPr>
              <w:pStyle w:val="af2"/>
              <w:tabs>
                <w:tab w:val="left" w:pos="7088"/>
              </w:tabs>
              <w:spacing w:before="0" w:beforeAutospacing="0" w:after="0" w:afterAutospacing="0"/>
              <w:rPr>
                <w:sz w:val="28"/>
                <w:szCs w:val="28"/>
              </w:rPr>
            </w:pPr>
          </w:p>
        </w:tc>
        <w:tc>
          <w:tcPr>
            <w:tcW w:w="4099" w:type="dxa"/>
            <w:hideMark/>
          </w:tcPr>
          <w:p w14:paraId="30E4BB8B" w14:textId="77777777" w:rsidR="00755C04" w:rsidRPr="009C1AB2" w:rsidRDefault="00755C04" w:rsidP="00755C04">
            <w:pPr>
              <w:pStyle w:val="af2"/>
              <w:spacing w:before="0" w:beforeAutospacing="0" w:after="0" w:afterAutospacing="0"/>
              <w:rPr>
                <w:sz w:val="28"/>
                <w:szCs w:val="28"/>
              </w:rPr>
            </w:pPr>
            <w:r>
              <w:rPr>
                <w:sz w:val="28"/>
                <w:szCs w:val="28"/>
                <w:lang w:val="kk-KZ"/>
              </w:rPr>
              <w:t>Борисова</w:t>
            </w:r>
            <w:r>
              <w:rPr>
                <w:sz w:val="28"/>
                <w:szCs w:val="28"/>
              </w:rPr>
              <w:t xml:space="preserve"> </w:t>
            </w:r>
            <w:r>
              <w:rPr>
                <w:sz w:val="28"/>
                <w:szCs w:val="28"/>
                <w:lang w:val="kk-KZ"/>
              </w:rPr>
              <w:t>А</w:t>
            </w:r>
            <w:r>
              <w:rPr>
                <w:sz w:val="28"/>
                <w:szCs w:val="28"/>
              </w:rPr>
              <w:t>.</w:t>
            </w:r>
            <w:r>
              <w:rPr>
                <w:sz w:val="28"/>
                <w:szCs w:val="28"/>
                <w:lang w:val="kk-KZ"/>
              </w:rPr>
              <w:t>А</w:t>
            </w:r>
            <w:r>
              <w:rPr>
                <w:sz w:val="28"/>
                <w:szCs w:val="28"/>
              </w:rPr>
              <w:t xml:space="preserve">. </w:t>
            </w:r>
          </w:p>
        </w:tc>
      </w:tr>
    </w:tbl>
    <w:p w14:paraId="3B430FC3" w14:textId="77777777" w:rsidR="0013045C" w:rsidRDefault="0013045C" w:rsidP="0013045C">
      <w:pPr>
        <w:pStyle w:val="af2"/>
        <w:spacing w:before="0" w:beforeAutospacing="0" w:after="0" w:afterAutospacing="0"/>
        <w:jc w:val="center"/>
        <w:rPr>
          <w:sz w:val="28"/>
          <w:szCs w:val="28"/>
          <w:lang w:val="en-US"/>
        </w:rPr>
      </w:pPr>
    </w:p>
    <w:p w14:paraId="1E1942FD" w14:textId="12BACE5F" w:rsidR="0013045C" w:rsidRDefault="0013045C" w:rsidP="0013045C">
      <w:pPr>
        <w:pStyle w:val="af2"/>
        <w:spacing w:before="0" w:beforeAutospacing="0" w:after="0" w:afterAutospacing="0"/>
        <w:jc w:val="center"/>
        <w:rPr>
          <w:sz w:val="28"/>
          <w:szCs w:val="28"/>
          <w:lang w:val="en-US"/>
        </w:rPr>
      </w:pPr>
    </w:p>
    <w:p w14:paraId="238BBFEC" w14:textId="77777777" w:rsidR="00E458EC" w:rsidRDefault="00E458EC" w:rsidP="0013045C">
      <w:pPr>
        <w:pStyle w:val="af2"/>
        <w:spacing w:before="0" w:beforeAutospacing="0" w:after="0" w:afterAutospacing="0"/>
        <w:jc w:val="center"/>
        <w:rPr>
          <w:sz w:val="28"/>
          <w:szCs w:val="28"/>
          <w:lang w:val="en-US"/>
        </w:rPr>
      </w:pPr>
    </w:p>
    <w:p w14:paraId="09BC9034" w14:textId="6270E479" w:rsidR="0013045C" w:rsidRDefault="0013045C" w:rsidP="0013045C">
      <w:pPr>
        <w:pStyle w:val="af2"/>
        <w:spacing w:before="0" w:beforeAutospacing="0" w:after="0" w:afterAutospacing="0"/>
        <w:jc w:val="center"/>
        <w:rPr>
          <w:sz w:val="28"/>
          <w:szCs w:val="28"/>
          <w:lang w:val="en-US"/>
        </w:rPr>
      </w:pPr>
    </w:p>
    <w:p w14:paraId="4827B79D" w14:textId="77777777" w:rsidR="0013045C" w:rsidRPr="009C1AB2" w:rsidRDefault="0013045C" w:rsidP="0013045C">
      <w:pPr>
        <w:pStyle w:val="af2"/>
        <w:spacing w:before="0" w:beforeAutospacing="0" w:after="0" w:afterAutospacing="0"/>
        <w:jc w:val="center"/>
        <w:rPr>
          <w:sz w:val="28"/>
          <w:szCs w:val="28"/>
        </w:rPr>
      </w:pPr>
      <w:r w:rsidRPr="009C1AB2">
        <w:rPr>
          <w:sz w:val="28"/>
          <w:szCs w:val="28"/>
        </w:rPr>
        <w:t>Республика Казахстан</w:t>
      </w:r>
    </w:p>
    <w:p w14:paraId="36BBD56E" w14:textId="5F795E0E" w:rsidR="0013045C" w:rsidRDefault="00C465CD" w:rsidP="0013045C">
      <w:pPr>
        <w:pStyle w:val="af2"/>
        <w:spacing w:before="0" w:beforeAutospacing="0" w:after="0" w:afterAutospacing="0"/>
        <w:jc w:val="center"/>
        <w:rPr>
          <w:sz w:val="28"/>
          <w:szCs w:val="28"/>
          <w:lang w:val="kk-KZ"/>
        </w:rPr>
      </w:pPr>
      <w:r>
        <w:rPr>
          <w:noProof/>
          <w:sz w:val="28"/>
          <w:szCs w:val="28"/>
        </w:rPr>
        <mc:AlternateContent>
          <mc:Choice Requires="wps">
            <w:drawing>
              <wp:anchor distT="0" distB="0" distL="114300" distR="114300" simplePos="0" relativeHeight="251687936" behindDoc="0" locked="0" layoutInCell="1" allowOverlap="1" wp14:anchorId="4E1A236A" wp14:editId="1BDFD4AD">
                <wp:simplePos x="0" y="0"/>
                <wp:positionH relativeFrom="column">
                  <wp:posOffset>2935605</wp:posOffset>
                </wp:positionH>
                <wp:positionV relativeFrom="paragraph">
                  <wp:posOffset>358775</wp:posOffset>
                </wp:positionV>
                <wp:extent cx="259080" cy="144780"/>
                <wp:effectExtent l="0" t="0" r="26670" b="26670"/>
                <wp:wrapNone/>
                <wp:docPr id="42" name="Прямоугольник 42"/>
                <wp:cNvGraphicFramePr/>
                <a:graphic xmlns:a="http://schemas.openxmlformats.org/drawingml/2006/main">
                  <a:graphicData uri="http://schemas.microsoft.com/office/word/2010/wordprocessingShape">
                    <wps:wsp>
                      <wps:cNvSpPr/>
                      <wps:spPr>
                        <a:xfrm>
                          <a:off x="0" y="0"/>
                          <a:ext cx="259080" cy="144780"/>
                        </a:xfrm>
                        <a:prstGeom prst="rect">
                          <a:avLst/>
                        </a:prstGeom>
                        <a:solidFill>
                          <a:schemeClr val="bg1"/>
                        </a:solidFill>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0D1812" id="Прямоугольник 42" o:spid="_x0000_s1026" style="position:absolute;margin-left:231.15pt;margin-top:28.25pt;width:20.4pt;height:11.4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1DPsgIAALIFAAAOAAAAZHJzL2Uyb0RvYy54bWysVM1u2zAMvg/YOwi6r3aCdG2DOkXQosOA&#10;oi3WDj0rshQbkyVNUuJkpwG7Ftgj7CF2GfbTZ3DeaJRkO13XXYrloJAm+Yn8RPLwaFUJtGTGlkpm&#10;eLCTYsQkVXkp5xl+e336Yh8j64jMiVCSZXjNLD6aPH92WOsxG6pCiZwZBCDSjmud4cI5PU4SSwtW&#10;EbujNJNg5MpUxIFq5kluSA3olUiGafoyqZXJtVGUWQtfT6IRTwI+54y6C84tc0hkGHJz4TThnPkz&#10;mRyS8dwQXZS0TYM8IYuKlBIu7aFOiCNoYcq/oKqSGmUVdztUVYnivKQs1ADVDNIH1VwVRLNQC5Bj&#10;dU+T/X+w9Hx5aVCZZ3g0xEiSCt6o+bL5uPnc/GzuNp+ar81d82Nz2/xqvjXfETgBY7W2Ywi80pem&#10;1SyIvvwVN5X/h8LQKrC87llmK4cofBzuHqT78BYUTIPRaA9kQEm2wdpY94qpCnkhwwYeMXBLlmfW&#10;RdfOxd9llSjz01KIoPjGYcfCoCWBJ5/NBy34H15CPikQcvSRia8/VhwktxbM4wn5hnHg0tcYEg5d&#10;vE0mfzeInwuSs5jfbgq/LsMu9UBGAPOoHCrrcVuAzjOCeNxIS+vrw1ho/j4w/VdCMbD3Djcq6frA&#10;qpTKPBYsXH9r9O+IiXR4ZmYqX0N3GRXHzmp6WsKTnhHrLomBOYMugN3hLuDgQtUZVq2EUaHMh8e+&#10;e39of7BiVMPcZti+XxDDMBKvJQzGAbSUH/SgjHb3hqCY+5bZfYtcVMcK+mQAW0rTIHp/JzqRG1Xd&#10;wIqZ+lvBRCSFuzNMnemUYxf3CSwpyqbT4AbDrYk7k1eaenDPqm/Z69UNMbrtawcDca66GSfjB+0d&#10;fX2kVNOFU7wMvb/lteUbFkNomHaJ+c1zXw9e21U7+Q0AAP//AwBQSwMEFAAGAAgAAAAhAM16LGzg&#10;AAAACQEAAA8AAABkcnMvZG93bnJldi54bWxMj0FPhDAQhe8m/odmTLy5ZUFYFykbYzTGxIPumuhx&#10;FqZApFNCC4v/3nrS4+R9ee+bYreYXsw0us6ygvUqAkFc2brjRsH74fHqBoTzyDX2lknBNznYledn&#10;Bea1PfEbzXvfiFDCLkcFrfdDLqWrWjLoVnYgDpm2o0EfzrGR9YinUG56GUdRJg12HBZaHOi+pepr&#10;PxkFnxqfDg/P7kXqeNbb7nX60JtJqcuL5e4WhKfF/8Hwqx/UoQxORztx7USv4DqLk4AqSLMURADS&#10;KFmDOCrYbBOQZSH/f1D+AAAA//8DAFBLAQItABQABgAIAAAAIQC2gziS/gAAAOEBAAATAAAAAAAA&#10;AAAAAAAAAAAAAABbQ29udGVudF9UeXBlc10ueG1sUEsBAi0AFAAGAAgAAAAhADj9If/WAAAAlAEA&#10;AAsAAAAAAAAAAAAAAAAALwEAAF9yZWxzLy5yZWxzUEsBAi0AFAAGAAgAAAAhAMjHUM+yAgAAsgUA&#10;AA4AAAAAAAAAAAAAAAAALgIAAGRycy9lMm9Eb2MueG1sUEsBAi0AFAAGAAgAAAAhAM16LGzgAAAA&#10;CQEAAA8AAAAAAAAAAAAAAAAADAUAAGRycy9kb3ducmV2LnhtbFBLBQYAAAAABAAEAPMAAAAZBgAA&#10;AAA=&#10;" fillcolor="white [3212]" strokecolor="white [3212]" strokeweight="1pt"/>
            </w:pict>
          </mc:Fallback>
        </mc:AlternateContent>
      </w:r>
      <w:r w:rsidR="0067192C">
        <w:rPr>
          <w:noProof/>
          <w:sz w:val="28"/>
          <w:szCs w:val="28"/>
        </w:rPr>
        <mc:AlternateContent>
          <mc:Choice Requires="wps">
            <w:drawing>
              <wp:anchor distT="0" distB="0" distL="114300" distR="114300" simplePos="0" relativeHeight="251674624" behindDoc="0" locked="0" layoutInCell="1" allowOverlap="1" wp14:anchorId="27C1A897" wp14:editId="29D563C6">
                <wp:simplePos x="0" y="0"/>
                <wp:positionH relativeFrom="column">
                  <wp:posOffset>5939790</wp:posOffset>
                </wp:positionH>
                <wp:positionV relativeFrom="paragraph">
                  <wp:posOffset>356235</wp:posOffset>
                </wp:positionV>
                <wp:extent cx="257175" cy="266700"/>
                <wp:effectExtent l="0" t="0" r="28575" b="19050"/>
                <wp:wrapNone/>
                <wp:docPr id="123" name="Прямоугольник 123"/>
                <wp:cNvGraphicFramePr/>
                <a:graphic xmlns:a="http://schemas.openxmlformats.org/drawingml/2006/main">
                  <a:graphicData uri="http://schemas.microsoft.com/office/word/2010/wordprocessingShape">
                    <wps:wsp>
                      <wps:cNvSpPr/>
                      <wps:spPr>
                        <a:xfrm>
                          <a:off x="0" y="0"/>
                          <a:ext cx="257175"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BF5896" id="Прямоугольник 123" o:spid="_x0000_s1026" style="position:absolute;margin-left:467.7pt;margin-top:28.05pt;width:20.25pt;height:21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Rn3ugIAAMAFAAAOAAAAZHJzL2Uyb0RvYy54bWysVM1uEzEQviPxDpbvdHdD0kDUTRWlKkKq&#10;2ooW9ex47exKXtvYTjbhhMQViUfgIbggfvoMmzdi7P1JKRWHihwcz87MNzOfZ+boeFMKtGbGFkqm&#10;ODmIMWKSqqyQyxS/vT599gIj64jMiFCSpXjLLD6ePn1yVOkJG6hciYwZBCDSTiqd4tw5PYkiS3NW&#10;EnugNJOg5MqUxIFollFmSAXopYgGcXwYVcpk2ijKrIWvJ40STwM+54y6C84tc0ikGHJz4TThXPgz&#10;mh6RydIQnRe0TYM8IouSFBKC9lAnxBG0MsVfUGVBjbKKuwOqykhxXlAWaoBqkvheNVc50SzUAuRY&#10;3dNk/x8sPV9fGlRk8HaD5xhJUsIj1V92H3af65/17e5j/bW+rX/sPtW/6m/1d+StgLNK2wm4XulL&#10;00oWrp6ADTel/4fS0CbwvO15ZhuHKHwcjMbJeIQRBdXg8HAch3eI9s7aWPeKqRL5S4oNPGNgl6zP&#10;rIOAYNqZ+FhWiSI7LYQIgm8dNhcGrQk8+mKZ+ITB4w8rIR/lCDDeM/L1NxWHm9sK5vGEfMM4sOlr&#10;DAmHPt4nQyhl0iWNKicZa3IcxfDrsuzSDzkHQI/MoboeuwXoLBuQDrsptrX3riyMQe8c/yuxxrn3&#10;CJGVdL1zWUhlHgIQUFUbubHvSGqo8SwtVLaFXjOqGUKr6WkBz3tGrLskBqYO5hM2ibuAgwtVpVi1&#10;N4xyZd4/9N3bwzCAFqMKpjjF9t2KGIaReC1hTF4mw6Ef+yAMR+MBCOauZnFXI1flXEHPJLCzNA1X&#10;b+9Ed+VGlTewcGY+KqiIpBA7xdSZTpi7ZrvAyqJsNgtmMOqauDN5pakH96z69r3e3BCj2x53MBzn&#10;qpt4MrnX6o2t95RqtnKKF2EO9ry2fMOaCI3TrjS/h+7KwWq/eKe/AQAA//8DAFBLAwQUAAYACAAA&#10;ACEAyahN0eAAAAAJAQAADwAAAGRycy9kb3ducmV2LnhtbEyPwU6DQBCG7ya+w2ZMvNmFKm2hLI0x&#10;GmPiQVsTe5zCLBDZWcIuFN/e9aS3mcyXf74/382mExMNrrWsIF5EIIhLW7VcK/g4PN1sQDiPXGFn&#10;mRR8k4NdcXmRY1bZM7/TtPe1CCHsMlTQeN9nUrqyIYNuYXvicNN2MOjDOtSyGvAcwk0nl1G0kgZb&#10;Dh8a7OmhofJrPxoFR43Ph8cX9yr1ctJp+zZ+6vWo1PXVfL8F4Wn2fzD86gd1KILTyY5cOdEpSG+T&#10;u4AqSFYxiACk6yQFcQrDJgZZ5PJ/g+IHAAD//wMAUEsBAi0AFAAGAAgAAAAhALaDOJL+AAAA4QEA&#10;ABMAAAAAAAAAAAAAAAAAAAAAAFtDb250ZW50X1R5cGVzXS54bWxQSwECLQAUAAYACAAAACEAOP0h&#10;/9YAAACUAQAACwAAAAAAAAAAAAAAAAAvAQAAX3JlbHMvLnJlbHNQSwECLQAUAAYACAAAACEA4FUZ&#10;97oCAADABQAADgAAAAAAAAAAAAAAAAAuAgAAZHJzL2Uyb0RvYy54bWxQSwECLQAUAAYACAAAACEA&#10;yahN0eAAAAAJAQAADwAAAAAAAAAAAAAAAAAUBQAAZHJzL2Rvd25yZXYueG1sUEsFBgAAAAAEAAQA&#10;8wAAACEGAAAAAA==&#10;" fillcolor="white [3212]" strokecolor="white [3212]" strokeweight="1pt"/>
            </w:pict>
          </mc:Fallback>
        </mc:AlternateContent>
      </w:r>
      <w:r w:rsidR="00A40C4F">
        <w:rPr>
          <w:sz w:val="28"/>
          <w:szCs w:val="28"/>
          <w:lang w:val="kk-KZ"/>
        </w:rPr>
        <w:t>Павлодар</w:t>
      </w:r>
      <w:r w:rsidR="0013045C" w:rsidRPr="009C1AB2">
        <w:rPr>
          <w:sz w:val="28"/>
          <w:szCs w:val="28"/>
        </w:rPr>
        <w:t>, 20</w:t>
      </w:r>
      <w:r w:rsidR="0013045C">
        <w:rPr>
          <w:sz w:val="28"/>
          <w:szCs w:val="28"/>
        </w:rPr>
        <w:t>2</w:t>
      </w:r>
      <w:r w:rsidR="009545B3">
        <w:rPr>
          <w:sz w:val="28"/>
          <w:szCs w:val="28"/>
          <w:lang w:val="kk-KZ"/>
        </w:rPr>
        <w:t>6</w:t>
      </w:r>
    </w:p>
    <w:p w14:paraId="0CAB7566" w14:textId="77777777" w:rsidR="009545B3" w:rsidRPr="009C1AB2" w:rsidRDefault="009545B3" w:rsidP="009545B3">
      <w:pPr>
        <w:pStyle w:val="11"/>
        <w:spacing w:before="0"/>
      </w:pPr>
      <w:r w:rsidRPr="009C1AB2">
        <w:lastRenderedPageBreak/>
        <w:t>СОДЕРЖАНИЕ</w:t>
      </w:r>
    </w:p>
    <w:p w14:paraId="109034F3" w14:textId="272F2E96" w:rsidR="009545B3" w:rsidRDefault="0067192C" w:rsidP="0013045C">
      <w:pPr>
        <w:pStyle w:val="af2"/>
        <w:spacing w:before="0" w:beforeAutospacing="0" w:after="0" w:afterAutospacing="0"/>
        <w:jc w:val="center"/>
        <w:rPr>
          <w:sz w:val="28"/>
          <w:szCs w:val="28"/>
          <w:lang w:val="kk-KZ"/>
        </w:rPr>
      </w:pPr>
      <w:r>
        <w:rPr>
          <w:noProof/>
          <w:sz w:val="28"/>
          <w:szCs w:val="28"/>
        </w:rPr>
        <mc:AlternateContent>
          <mc:Choice Requires="wps">
            <w:drawing>
              <wp:anchor distT="0" distB="0" distL="114300" distR="114300" simplePos="0" relativeHeight="251675648" behindDoc="0" locked="0" layoutInCell="1" allowOverlap="1" wp14:anchorId="581B065C" wp14:editId="7A616038">
                <wp:simplePos x="0" y="0"/>
                <wp:positionH relativeFrom="column">
                  <wp:posOffset>5987415</wp:posOffset>
                </wp:positionH>
                <wp:positionV relativeFrom="paragraph">
                  <wp:posOffset>8924290</wp:posOffset>
                </wp:positionV>
                <wp:extent cx="219075" cy="333375"/>
                <wp:effectExtent l="0" t="0" r="28575" b="28575"/>
                <wp:wrapNone/>
                <wp:docPr id="124" name="Прямоугольник 124"/>
                <wp:cNvGraphicFramePr/>
                <a:graphic xmlns:a="http://schemas.openxmlformats.org/drawingml/2006/main">
                  <a:graphicData uri="http://schemas.microsoft.com/office/word/2010/wordprocessingShape">
                    <wps:wsp>
                      <wps:cNvSpPr/>
                      <wps:spPr>
                        <a:xfrm>
                          <a:off x="0" y="0"/>
                          <a:ext cx="219075" cy="3333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9C3A98" id="Прямоугольник 124" o:spid="_x0000_s1026" style="position:absolute;margin-left:471.45pt;margin-top:702.7pt;width:17.25pt;height:26.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FnrtQIAAMAFAAAOAAAAZHJzL2Uyb0RvYy54bWysVM1uEzEQviPxDpbvdHdDSmnUTRWlKkKq&#10;2ogW9ex47exKXtvYTjbhhMQViUfgIbggfvoMmzdi7P1JKBWHihycmZ2ZzzOfZ+bkdF0KtGLGFkqm&#10;ODmIMWKSqqyQixS/vTl/9hIj64jMiFCSpXjDLD4dP31yUukRG6hciYwZBCDSjiqd4tw5PYoiS3NW&#10;EnugNJNg5MqUxIFqFlFmSAXopYgGcfwiqpTJtFGUWQtfzxojHgd8zhl1V5xb5pBIMeTmwmnCOfdn&#10;ND4ho4UhOi9omwZ5RBYlKSRc2kOdEUfQ0hR/QZUFNcoq7g6oKiPFeUFZqAGqSeJ71VznRLNQC5Bj&#10;dU+T/X+w9HI1M6jI4O0GQ4wkKeGR6i/bD9vP9c/6bvux/lrf1T+2n+pf9bf6O/JewFml7QhCr/XM&#10;tJoF0ROw5qb0/1AaWgeeNz3PbO0QhY+D5Dg+OsSIguk5/EAGlGgXrI11r5gqkRdSbOAZA7tkdWFd&#10;49q5+LusEkV2XggRFN86bCoMWhF49PkiacH/8BLyUYGQo4+MfP1NxUFyG8E8npBvGAc2fY0h4dDH&#10;u2QIpUy6pDHlJGNNjocx/Losu/QDIQHQI3OorsduATrPBqTDbuhp/X0oC2PQB8f/SqwJ7iPCzUq6&#10;PrgspDIPAQioqr258e9IaqjxLM1VtoFeM6oZQqvpeQHPe0GsmxEDUwfzCZvEXcHBhapSrFoJo1yZ&#10;9w999/4wDGDFqIIpTrF9tySGYSReSxiT42Q49GMflOHh0QAUs2+Z71vkspwq6JkEdpamQfT+TnQi&#10;N6q8hYUz8beCiUgKd6eYOtMpU9dsF1hZlE0mwQ1GXRN3Ia819eCeVd++N+tbYnTb4w6G41J1E09G&#10;91q98fWRUk2WTvEizMGO15ZvWBOhcdqV5vfQvh68dot3/BsAAP//AwBQSwMEFAAGAAgAAAAhANsX&#10;8Y3iAAAADQEAAA8AAABkcnMvZG93bnJldi54bWxMj0FLxDAQhe+C/yGM4M1NLV1ruk0XEUUED7or&#10;uMdsk7TFZlKatFv/vbMnvc3Me7z5XrldXM9mM4bOo4TbVQLMYO11h42Ez/3zzT2wEBVq1Xs0En5M&#10;gG11eVGqQvsTfph5FxtGIRgKJaGNcSg4D3VrnAorPxgkzfrRqUjr2HA9qhOFu56nSXLHneqQPrRq&#10;MI+tqb93k5NwsOpl//Qa3rhNZyu69+nL5pOU11fLwwZYNEv8M8MZn9ChIqajn1AH1ksQWSrISkKW&#10;rDNgZBF5TsPxfFrnAnhV8v8tql8AAAD//wMAUEsBAi0AFAAGAAgAAAAhALaDOJL+AAAA4QEAABMA&#10;AAAAAAAAAAAAAAAAAAAAAFtDb250ZW50X1R5cGVzXS54bWxQSwECLQAUAAYACAAAACEAOP0h/9YA&#10;AACUAQAACwAAAAAAAAAAAAAAAAAvAQAAX3JlbHMvLnJlbHNQSwECLQAUAAYACAAAACEAs4hZ67UC&#10;AADABQAADgAAAAAAAAAAAAAAAAAuAgAAZHJzL2Uyb0RvYy54bWxQSwECLQAUAAYACAAAACEA2xfx&#10;jeIAAAANAQAADwAAAAAAAAAAAAAAAAAPBQAAZHJzL2Rvd25yZXYueG1sUEsFBgAAAAAEAAQA8wAA&#10;AB4GAAAAAA==&#10;" fillcolor="white [3212]" strokecolor="white [3212]" strokeweight="1pt"/>
            </w:pict>
          </mc:Fallback>
        </mc:AlternateConten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2"/>
        <w:gridCol w:w="516"/>
      </w:tblGrid>
      <w:tr w:rsidR="009545B3" w:rsidRPr="009C1AB2" w14:paraId="5F46A778" w14:textId="77777777" w:rsidTr="00E458EC">
        <w:tc>
          <w:tcPr>
            <w:tcW w:w="8642" w:type="dxa"/>
          </w:tcPr>
          <w:p w14:paraId="198BB8CB" w14:textId="7B935184" w:rsidR="009545B3" w:rsidRPr="008F0791" w:rsidRDefault="009545B3" w:rsidP="008F0791">
            <w:pPr>
              <w:ind w:right="-134" w:firstLine="0"/>
              <w:rPr>
                <w:b/>
                <w:sz w:val="28"/>
                <w:szCs w:val="28"/>
                <w:lang w:val="kk-KZ"/>
              </w:rPr>
            </w:pPr>
            <w:r w:rsidRPr="007C0B1D">
              <w:rPr>
                <w:b/>
                <w:sz w:val="28"/>
                <w:szCs w:val="28"/>
              </w:rPr>
              <w:t>ОБОЗНАЧЕНИЯ И СОКРАЩЕНИЯ</w:t>
            </w:r>
            <w:r w:rsidR="008F0791" w:rsidRPr="008F0791">
              <w:rPr>
                <w:sz w:val="28"/>
                <w:szCs w:val="28"/>
                <w:lang w:val="kk-KZ"/>
              </w:rPr>
              <w:t>..................................................</w:t>
            </w:r>
            <w:r w:rsidR="008F0791">
              <w:rPr>
                <w:sz w:val="28"/>
                <w:szCs w:val="28"/>
                <w:lang w:val="kk-KZ"/>
              </w:rPr>
              <w:t>.</w:t>
            </w:r>
            <w:r w:rsidR="008F0791" w:rsidRPr="008F0791">
              <w:rPr>
                <w:sz w:val="28"/>
                <w:szCs w:val="28"/>
                <w:lang w:val="kk-KZ"/>
              </w:rPr>
              <w:t>........</w:t>
            </w:r>
          </w:p>
        </w:tc>
        <w:tc>
          <w:tcPr>
            <w:tcW w:w="986" w:type="dxa"/>
            <w:vAlign w:val="bottom"/>
          </w:tcPr>
          <w:p w14:paraId="203D0071" w14:textId="418E58D0" w:rsidR="009545B3" w:rsidRPr="00235320" w:rsidRDefault="00235320" w:rsidP="008F0791">
            <w:pPr>
              <w:ind w:firstLine="0"/>
              <w:jc w:val="right"/>
              <w:rPr>
                <w:sz w:val="28"/>
                <w:szCs w:val="28"/>
                <w:lang w:val="kk-KZ"/>
              </w:rPr>
            </w:pPr>
            <w:r>
              <w:rPr>
                <w:sz w:val="28"/>
                <w:szCs w:val="28"/>
                <w:lang w:val="kk-KZ"/>
              </w:rPr>
              <w:t>4</w:t>
            </w:r>
          </w:p>
        </w:tc>
      </w:tr>
      <w:tr w:rsidR="009545B3" w:rsidRPr="009C1AB2" w14:paraId="04798DA0" w14:textId="77777777" w:rsidTr="00E458EC">
        <w:tc>
          <w:tcPr>
            <w:tcW w:w="8642" w:type="dxa"/>
          </w:tcPr>
          <w:p w14:paraId="34939E2E" w14:textId="7D65942E" w:rsidR="009545B3" w:rsidRPr="007C0B1D" w:rsidRDefault="009545B3" w:rsidP="008F0791">
            <w:pPr>
              <w:ind w:right="-134" w:firstLine="0"/>
              <w:rPr>
                <w:b/>
                <w:sz w:val="28"/>
                <w:szCs w:val="28"/>
              </w:rPr>
            </w:pPr>
            <w:r w:rsidRPr="007C0B1D">
              <w:rPr>
                <w:b/>
                <w:sz w:val="28"/>
                <w:szCs w:val="28"/>
              </w:rPr>
              <w:t>ВВЕДЕНИЕ</w:t>
            </w:r>
            <w:r w:rsidR="008F0791" w:rsidRPr="008F0791">
              <w:rPr>
                <w:sz w:val="28"/>
                <w:szCs w:val="28"/>
                <w:lang w:val="kk-KZ"/>
              </w:rPr>
              <w:t>..................................................</w:t>
            </w:r>
            <w:r w:rsidR="008F0791">
              <w:rPr>
                <w:sz w:val="28"/>
                <w:szCs w:val="28"/>
                <w:lang w:val="kk-KZ"/>
              </w:rPr>
              <w:t>.</w:t>
            </w:r>
            <w:r w:rsidR="008F0791" w:rsidRPr="008F0791">
              <w:rPr>
                <w:sz w:val="28"/>
                <w:szCs w:val="28"/>
                <w:lang w:val="kk-KZ"/>
              </w:rPr>
              <w:t>.................................</w:t>
            </w:r>
            <w:r w:rsidR="008F0791">
              <w:rPr>
                <w:sz w:val="28"/>
                <w:szCs w:val="28"/>
                <w:lang w:val="kk-KZ"/>
              </w:rPr>
              <w:t>.</w:t>
            </w:r>
            <w:r w:rsidR="008F0791" w:rsidRPr="008F0791">
              <w:rPr>
                <w:sz w:val="28"/>
                <w:szCs w:val="28"/>
                <w:lang w:val="kk-KZ"/>
              </w:rPr>
              <w:t>........</w:t>
            </w:r>
            <w:r w:rsidR="008F0791">
              <w:rPr>
                <w:sz w:val="28"/>
                <w:szCs w:val="28"/>
                <w:lang w:val="kk-KZ"/>
              </w:rPr>
              <w:t>...........</w:t>
            </w:r>
          </w:p>
        </w:tc>
        <w:tc>
          <w:tcPr>
            <w:tcW w:w="986" w:type="dxa"/>
            <w:vAlign w:val="bottom"/>
          </w:tcPr>
          <w:p w14:paraId="1E2820A8" w14:textId="44D37F13" w:rsidR="009545B3" w:rsidRPr="00235320" w:rsidRDefault="00235320" w:rsidP="008F0791">
            <w:pPr>
              <w:ind w:firstLine="0"/>
              <w:jc w:val="right"/>
              <w:rPr>
                <w:sz w:val="28"/>
                <w:szCs w:val="28"/>
                <w:lang w:val="kk-KZ"/>
              </w:rPr>
            </w:pPr>
            <w:r>
              <w:rPr>
                <w:sz w:val="28"/>
                <w:szCs w:val="28"/>
                <w:lang w:val="kk-KZ"/>
              </w:rPr>
              <w:t>5</w:t>
            </w:r>
          </w:p>
        </w:tc>
      </w:tr>
      <w:tr w:rsidR="009545B3" w:rsidRPr="009C1AB2" w14:paraId="1D4321A0" w14:textId="77777777" w:rsidTr="00E458EC">
        <w:tc>
          <w:tcPr>
            <w:tcW w:w="8642" w:type="dxa"/>
          </w:tcPr>
          <w:p w14:paraId="463AD644" w14:textId="1AB3EC6F" w:rsidR="009545B3" w:rsidRPr="00045942" w:rsidRDefault="009545B3" w:rsidP="008F0791">
            <w:pPr>
              <w:ind w:right="-134" w:firstLine="0"/>
              <w:rPr>
                <w:b/>
                <w:sz w:val="28"/>
                <w:szCs w:val="28"/>
                <w:highlight w:val="yellow"/>
              </w:rPr>
            </w:pPr>
            <w:r w:rsidRPr="00D56707">
              <w:rPr>
                <w:b/>
                <w:sz w:val="28"/>
                <w:szCs w:val="28"/>
              </w:rPr>
              <w:t xml:space="preserve">1 </w:t>
            </w:r>
            <w:r w:rsidRPr="00C761E1">
              <w:rPr>
                <w:b/>
                <w:caps/>
                <w:sz w:val="28"/>
                <w:szCs w:val="28"/>
              </w:rPr>
              <w:t>ТЕОРЕТИКО-МЕТОДОЛОГИЧЕСКИЕ ОСНОВЫ ПРОЕКТИРОВАНИЯ ИННОВАЦИОННОГО ПОТЕНЦИАЛА ПРЕДПРИНИМАТЕЛЬСКИХ СТРУКТУР В УСЛОВИЯХ ЦИФРОВОЙ ТРАНСФОРМАЦИИ</w:t>
            </w:r>
            <w:r w:rsidR="008F0791" w:rsidRPr="008F0791">
              <w:rPr>
                <w:sz w:val="28"/>
                <w:szCs w:val="28"/>
                <w:lang w:val="kk-KZ"/>
              </w:rPr>
              <w:t>.........................</w:t>
            </w:r>
            <w:r w:rsidR="008F0791">
              <w:rPr>
                <w:sz w:val="28"/>
                <w:szCs w:val="28"/>
                <w:lang w:val="kk-KZ"/>
              </w:rPr>
              <w:t>.</w:t>
            </w:r>
            <w:r w:rsidR="008F0791" w:rsidRPr="008F0791">
              <w:rPr>
                <w:sz w:val="28"/>
                <w:szCs w:val="28"/>
                <w:lang w:val="kk-KZ"/>
              </w:rPr>
              <w:t>.................................</w:t>
            </w:r>
            <w:r w:rsidR="008F0791">
              <w:rPr>
                <w:sz w:val="28"/>
                <w:szCs w:val="28"/>
                <w:lang w:val="kk-KZ"/>
              </w:rPr>
              <w:t>.</w:t>
            </w:r>
            <w:r w:rsidR="008F0791" w:rsidRPr="008F0791">
              <w:rPr>
                <w:sz w:val="28"/>
                <w:szCs w:val="28"/>
                <w:lang w:val="kk-KZ"/>
              </w:rPr>
              <w:t>..</w:t>
            </w:r>
          </w:p>
        </w:tc>
        <w:tc>
          <w:tcPr>
            <w:tcW w:w="986" w:type="dxa"/>
            <w:vAlign w:val="bottom"/>
          </w:tcPr>
          <w:p w14:paraId="5A3ACFCF" w14:textId="5EC7CE96" w:rsidR="009545B3" w:rsidRPr="00235320" w:rsidRDefault="00235320" w:rsidP="008F0791">
            <w:pPr>
              <w:ind w:firstLine="0"/>
              <w:jc w:val="right"/>
              <w:rPr>
                <w:sz w:val="28"/>
                <w:szCs w:val="28"/>
                <w:lang w:val="kk-KZ"/>
              </w:rPr>
            </w:pPr>
            <w:r>
              <w:rPr>
                <w:sz w:val="28"/>
                <w:szCs w:val="28"/>
                <w:lang w:val="kk-KZ"/>
              </w:rPr>
              <w:t>16</w:t>
            </w:r>
          </w:p>
        </w:tc>
      </w:tr>
      <w:tr w:rsidR="009545B3" w:rsidRPr="009C1AB2" w14:paraId="52D38FF8" w14:textId="77777777" w:rsidTr="00E458EC">
        <w:tc>
          <w:tcPr>
            <w:tcW w:w="8642" w:type="dxa"/>
          </w:tcPr>
          <w:p w14:paraId="336DC068" w14:textId="61A89C3E" w:rsidR="009545B3" w:rsidRPr="009C1AB2" w:rsidRDefault="009545B3" w:rsidP="008F0791">
            <w:pPr>
              <w:ind w:right="-134" w:firstLine="0"/>
              <w:rPr>
                <w:sz w:val="28"/>
                <w:szCs w:val="28"/>
              </w:rPr>
            </w:pPr>
            <w:r>
              <w:rPr>
                <w:sz w:val="28"/>
                <w:szCs w:val="28"/>
              </w:rPr>
              <w:t>1.1</w:t>
            </w:r>
            <w:r>
              <w:rPr>
                <w:sz w:val="28"/>
                <w:szCs w:val="28"/>
                <w:lang w:val="kk-KZ"/>
              </w:rPr>
              <w:t xml:space="preserve"> </w:t>
            </w:r>
            <w:r w:rsidRPr="00C761E1">
              <w:rPr>
                <w:sz w:val="28"/>
                <w:szCs w:val="28"/>
              </w:rPr>
              <w:t>Сущность инновационного потенциала предпринимательских структур</w:t>
            </w:r>
            <w:r w:rsidR="008F0791" w:rsidRPr="008F0791">
              <w:rPr>
                <w:sz w:val="28"/>
                <w:szCs w:val="28"/>
                <w:lang w:val="kk-KZ"/>
              </w:rPr>
              <w:t>.........................</w:t>
            </w:r>
            <w:r w:rsidR="008F0791">
              <w:rPr>
                <w:sz w:val="28"/>
                <w:szCs w:val="28"/>
                <w:lang w:val="kk-KZ"/>
              </w:rPr>
              <w:t>.</w:t>
            </w:r>
            <w:r w:rsidR="008F0791" w:rsidRPr="008F0791">
              <w:rPr>
                <w:sz w:val="28"/>
                <w:szCs w:val="28"/>
                <w:lang w:val="kk-KZ"/>
              </w:rPr>
              <w:t>.................................</w:t>
            </w:r>
            <w:r w:rsidR="008F0791">
              <w:rPr>
                <w:sz w:val="28"/>
                <w:szCs w:val="28"/>
                <w:lang w:val="kk-KZ"/>
              </w:rPr>
              <w:t>.</w:t>
            </w:r>
            <w:r w:rsidR="008F0791" w:rsidRPr="008F0791">
              <w:rPr>
                <w:sz w:val="28"/>
                <w:szCs w:val="28"/>
                <w:lang w:val="kk-KZ"/>
              </w:rPr>
              <w:t>.................................</w:t>
            </w:r>
            <w:r w:rsidR="008F0791">
              <w:rPr>
                <w:sz w:val="28"/>
                <w:szCs w:val="28"/>
                <w:lang w:val="kk-KZ"/>
              </w:rPr>
              <w:t>.</w:t>
            </w:r>
            <w:r w:rsidR="008F0791" w:rsidRPr="008F0791">
              <w:rPr>
                <w:sz w:val="28"/>
                <w:szCs w:val="28"/>
                <w:lang w:val="kk-KZ"/>
              </w:rPr>
              <w:t>........</w:t>
            </w:r>
            <w:r w:rsidR="008F0791">
              <w:rPr>
                <w:sz w:val="28"/>
                <w:szCs w:val="28"/>
                <w:lang w:val="kk-KZ"/>
              </w:rPr>
              <w:t>..........</w:t>
            </w:r>
          </w:p>
        </w:tc>
        <w:tc>
          <w:tcPr>
            <w:tcW w:w="986" w:type="dxa"/>
            <w:vAlign w:val="bottom"/>
          </w:tcPr>
          <w:p w14:paraId="147B21FC" w14:textId="6511F56E" w:rsidR="009545B3" w:rsidRPr="00235320" w:rsidRDefault="00235320" w:rsidP="008F0791">
            <w:pPr>
              <w:ind w:firstLine="0"/>
              <w:jc w:val="right"/>
              <w:rPr>
                <w:sz w:val="28"/>
                <w:szCs w:val="28"/>
                <w:lang w:val="kk-KZ"/>
              </w:rPr>
            </w:pPr>
            <w:r>
              <w:rPr>
                <w:sz w:val="28"/>
                <w:szCs w:val="28"/>
                <w:lang w:val="kk-KZ"/>
              </w:rPr>
              <w:t>16</w:t>
            </w:r>
          </w:p>
        </w:tc>
      </w:tr>
      <w:tr w:rsidR="009545B3" w:rsidRPr="009C1AB2" w14:paraId="5E160B59" w14:textId="77777777" w:rsidTr="00E458EC">
        <w:tc>
          <w:tcPr>
            <w:tcW w:w="8642" w:type="dxa"/>
          </w:tcPr>
          <w:p w14:paraId="19470B9E" w14:textId="3B6796C4" w:rsidR="009545B3" w:rsidRPr="008F0791" w:rsidRDefault="009545B3" w:rsidP="008F0791">
            <w:pPr>
              <w:ind w:right="-134" w:firstLine="0"/>
              <w:rPr>
                <w:sz w:val="28"/>
                <w:szCs w:val="28"/>
                <w:lang w:val="kk-KZ"/>
              </w:rPr>
            </w:pPr>
            <w:r>
              <w:rPr>
                <w:sz w:val="28"/>
                <w:szCs w:val="28"/>
              </w:rPr>
              <w:t>1.2</w:t>
            </w:r>
            <w:r>
              <w:rPr>
                <w:sz w:val="28"/>
                <w:szCs w:val="28"/>
                <w:lang w:val="kk-KZ"/>
              </w:rPr>
              <w:t xml:space="preserve"> </w:t>
            </w:r>
            <w:r w:rsidRPr="00C761E1">
              <w:rPr>
                <w:sz w:val="28"/>
                <w:szCs w:val="28"/>
              </w:rPr>
              <w:t>Факторы влияния на инновационный потенциал предпринимательских структур</w:t>
            </w:r>
            <w:r w:rsidR="008F0791">
              <w:rPr>
                <w:sz w:val="28"/>
                <w:szCs w:val="28"/>
                <w:lang w:val="kk-KZ"/>
              </w:rPr>
              <w:t>.</w:t>
            </w:r>
            <w:r w:rsidR="008F0791" w:rsidRPr="008F0791">
              <w:rPr>
                <w:sz w:val="28"/>
                <w:szCs w:val="28"/>
                <w:lang w:val="kk-KZ"/>
              </w:rPr>
              <w:t>.........................</w:t>
            </w:r>
            <w:r w:rsidR="008F0791">
              <w:rPr>
                <w:sz w:val="28"/>
                <w:szCs w:val="28"/>
                <w:lang w:val="kk-KZ"/>
              </w:rPr>
              <w:t>.</w:t>
            </w:r>
            <w:r w:rsidR="008F0791" w:rsidRPr="008F0791">
              <w:rPr>
                <w:sz w:val="28"/>
                <w:szCs w:val="28"/>
                <w:lang w:val="kk-KZ"/>
              </w:rPr>
              <w:t>.................................</w:t>
            </w:r>
            <w:r w:rsidR="008F0791">
              <w:rPr>
                <w:sz w:val="28"/>
                <w:szCs w:val="28"/>
                <w:lang w:val="kk-KZ"/>
              </w:rPr>
              <w:t>.</w:t>
            </w:r>
            <w:r w:rsidR="008F0791" w:rsidRPr="008F0791">
              <w:rPr>
                <w:sz w:val="28"/>
                <w:szCs w:val="28"/>
                <w:lang w:val="kk-KZ"/>
              </w:rPr>
              <w:t>........</w:t>
            </w:r>
            <w:r w:rsidR="008F0791">
              <w:rPr>
                <w:sz w:val="28"/>
                <w:szCs w:val="28"/>
                <w:lang w:val="kk-KZ"/>
              </w:rPr>
              <w:t>...</w:t>
            </w:r>
            <w:r w:rsidR="005051D4">
              <w:rPr>
                <w:sz w:val="28"/>
                <w:szCs w:val="28"/>
                <w:lang w:val="kk-KZ"/>
              </w:rPr>
              <w:t>........................................</w:t>
            </w:r>
          </w:p>
        </w:tc>
        <w:tc>
          <w:tcPr>
            <w:tcW w:w="986" w:type="dxa"/>
            <w:vAlign w:val="bottom"/>
          </w:tcPr>
          <w:p w14:paraId="55955CCD" w14:textId="45E56EB0" w:rsidR="009545B3" w:rsidRPr="00235320" w:rsidRDefault="00235320" w:rsidP="00D3546F">
            <w:pPr>
              <w:ind w:firstLine="0"/>
              <w:jc w:val="right"/>
              <w:rPr>
                <w:sz w:val="28"/>
                <w:szCs w:val="28"/>
                <w:lang w:val="kk-KZ"/>
              </w:rPr>
            </w:pPr>
            <w:r>
              <w:rPr>
                <w:sz w:val="28"/>
                <w:szCs w:val="28"/>
                <w:lang w:val="kk-KZ"/>
              </w:rPr>
              <w:t>3</w:t>
            </w:r>
            <w:r w:rsidR="00D3546F">
              <w:rPr>
                <w:sz w:val="28"/>
                <w:szCs w:val="28"/>
                <w:lang w:val="kk-KZ"/>
              </w:rPr>
              <w:t>1</w:t>
            </w:r>
          </w:p>
        </w:tc>
      </w:tr>
      <w:tr w:rsidR="009545B3" w:rsidRPr="009C1AB2" w14:paraId="3CED8037" w14:textId="77777777" w:rsidTr="00E458EC">
        <w:tc>
          <w:tcPr>
            <w:tcW w:w="8642" w:type="dxa"/>
          </w:tcPr>
          <w:p w14:paraId="336642AA" w14:textId="6CFB5070" w:rsidR="009545B3" w:rsidRPr="00235320" w:rsidRDefault="009545B3" w:rsidP="008F0791">
            <w:pPr>
              <w:ind w:right="-134" w:firstLine="0"/>
              <w:rPr>
                <w:sz w:val="28"/>
                <w:szCs w:val="28"/>
              </w:rPr>
            </w:pPr>
            <w:r>
              <w:rPr>
                <w:sz w:val="28"/>
                <w:szCs w:val="28"/>
              </w:rPr>
              <w:t>1.3</w:t>
            </w:r>
            <w:r>
              <w:rPr>
                <w:sz w:val="28"/>
                <w:szCs w:val="28"/>
                <w:lang w:val="kk-KZ"/>
              </w:rPr>
              <w:t xml:space="preserve"> </w:t>
            </w:r>
            <w:r w:rsidRPr="00C761E1">
              <w:rPr>
                <w:sz w:val="28"/>
                <w:szCs w:val="28"/>
              </w:rPr>
              <w:t>Методические подходы к оценке инновационного потенциала в условиях цифровой трансформации</w:t>
            </w:r>
            <w:r w:rsidR="008F0791" w:rsidRPr="008F0791">
              <w:rPr>
                <w:sz w:val="28"/>
                <w:szCs w:val="28"/>
                <w:lang w:val="kk-KZ"/>
              </w:rPr>
              <w:t>.........................</w:t>
            </w:r>
            <w:r w:rsidR="008F0791">
              <w:rPr>
                <w:sz w:val="28"/>
                <w:szCs w:val="28"/>
                <w:lang w:val="kk-KZ"/>
              </w:rPr>
              <w:t>.</w:t>
            </w:r>
            <w:r w:rsidR="008F0791" w:rsidRPr="008F0791">
              <w:rPr>
                <w:sz w:val="28"/>
                <w:szCs w:val="28"/>
                <w:lang w:val="kk-KZ"/>
              </w:rPr>
              <w:t>.................................</w:t>
            </w:r>
            <w:r w:rsidR="008F0791">
              <w:rPr>
                <w:sz w:val="28"/>
                <w:szCs w:val="28"/>
                <w:lang w:val="kk-KZ"/>
              </w:rPr>
              <w:t>.</w:t>
            </w:r>
            <w:r w:rsidR="008F0791" w:rsidRPr="008F0791">
              <w:rPr>
                <w:sz w:val="28"/>
                <w:szCs w:val="28"/>
                <w:lang w:val="kk-KZ"/>
              </w:rPr>
              <w:t>......</w:t>
            </w:r>
          </w:p>
        </w:tc>
        <w:tc>
          <w:tcPr>
            <w:tcW w:w="986" w:type="dxa"/>
            <w:vAlign w:val="bottom"/>
          </w:tcPr>
          <w:p w14:paraId="75183671" w14:textId="605E8AB0" w:rsidR="009545B3" w:rsidRPr="00235320" w:rsidRDefault="00235320" w:rsidP="00D3546F">
            <w:pPr>
              <w:ind w:firstLine="0"/>
              <w:jc w:val="right"/>
              <w:rPr>
                <w:sz w:val="28"/>
                <w:szCs w:val="28"/>
                <w:lang w:val="kk-KZ"/>
              </w:rPr>
            </w:pPr>
            <w:r>
              <w:rPr>
                <w:sz w:val="28"/>
                <w:szCs w:val="28"/>
                <w:lang w:val="kk-KZ"/>
              </w:rPr>
              <w:t>4</w:t>
            </w:r>
            <w:r w:rsidR="00D3546F">
              <w:rPr>
                <w:sz w:val="28"/>
                <w:szCs w:val="28"/>
                <w:lang w:val="kk-KZ"/>
              </w:rPr>
              <w:t>2</w:t>
            </w:r>
          </w:p>
        </w:tc>
      </w:tr>
      <w:tr w:rsidR="00235320" w:rsidRPr="009C1AB2" w14:paraId="3F74AD8C" w14:textId="77777777" w:rsidTr="00E458EC">
        <w:tc>
          <w:tcPr>
            <w:tcW w:w="8642" w:type="dxa"/>
          </w:tcPr>
          <w:p w14:paraId="2FB76BA5" w14:textId="2DAF923E" w:rsidR="00235320" w:rsidRDefault="00235320" w:rsidP="008F0791">
            <w:pPr>
              <w:ind w:right="-134" w:firstLine="0"/>
              <w:rPr>
                <w:sz w:val="28"/>
                <w:szCs w:val="28"/>
              </w:rPr>
            </w:pPr>
            <w:r w:rsidRPr="00C761E1">
              <w:rPr>
                <w:sz w:val="28"/>
                <w:szCs w:val="28"/>
                <w:lang w:val="kk-KZ"/>
              </w:rPr>
              <w:t>1.4 Зарубежный опыт формирования и использования инновационного потенциала предпринимательских структур в цифровую эпоху</w:t>
            </w:r>
            <w:r w:rsidR="008F0791" w:rsidRPr="008F0791">
              <w:rPr>
                <w:sz w:val="28"/>
                <w:szCs w:val="28"/>
                <w:lang w:val="kk-KZ"/>
              </w:rPr>
              <w:t>...................</w:t>
            </w:r>
          </w:p>
        </w:tc>
        <w:tc>
          <w:tcPr>
            <w:tcW w:w="986" w:type="dxa"/>
            <w:vAlign w:val="bottom"/>
          </w:tcPr>
          <w:p w14:paraId="2AA9642C" w14:textId="39DB6D56" w:rsidR="00235320" w:rsidRPr="00235320" w:rsidRDefault="00235320" w:rsidP="00D3546F">
            <w:pPr>
              <w:ind w:firstLine="0"/>
              <w:jc w:val="right"/>
              <w:rPr>
                <w:sz w:val="28"/>
                <w:szCs w:val="28"/>
                <w:lang w:val="kk-KZ"/>
              </w:rPr>
            </w:pPr>
            <w:r>
              <w:rPr>
                <w:sz w:val="28"/>
                <w:szCs w:val="28"/>
                <w:lang w:val="kk-KZ"/>
              </w:rPr>
              <w:t>4</w:t>
            </w:r>
            <w:r w:rsidR="00D3546F">
              <w:rPr>
                <w:sz w:val="28"/>
                <w:szCs w:val="28"/>
                <w:lang w:val="kk-KZ"/>
              </w:rPr>
              <w:t>9</w:t>
            </w:r>
          </w:p>
        </w:tc>
      </w:tr>
      <w:tr w:rsidR="009545B3" w:rsidRPr="009C1AB2" w14:paraId="4626AC7B" w14:textId="77777777" w:rsidTr="00E458EC">
        <w:tc>
          <w:tcPr>
            <w:tcW w:w="8642" w:type="dxa"/>
          </w:tcPr>
          <w:p w14:paraId="7E5C9EDC" w14:textId="22F8581C" w:rsidR="009545B3" w:rsidRPr="007C0B1D" w:rsidRDefault="009545B3" w:rsidP="008F0791">
            <w:pPr>
              <w:ind w:right="-134" w:firstLine="0"/>
              <w:rPr>
                <w:b/>
                <w:sz w:val="28"/>
                <w:szCs w:val="28"/>
              </w:rPr>
            </w:pPr>
            <w:r>
              <w:rPr>
                <w:b/>
                <w:sz w:val="28"/>
                <w:szCs w:val="28"/>
              </w:rPr>
              <w:t>2</w:t>
            </w:r>
            <w:r>
              <w:rPr>
                <w:b/>
                <w:sz w:val="28"/>
                <w:szCs w:val="28"/>
                <w:lang w:val="kk-KZ"/>
              </w:rPr>
              <w:t xml:space="preserve"> </w:t>
            </w:r>
            <w:r w:rsidRPr="00C761E1">
              <w:rPr>
                <w:b/>
                <w:caps/>
                <w:sz w:val="28"/>
                <w:szCs w:val="28"/>
              </w:rPr>
              <w:t>ОЦЕНКА УРОВНЯ ИННОВАЦИОННОГО РАЗВИТИЯ ПРЕДПРИНИМАТЕЛЬСКИХ СТРУКТУР В КАЗАХСТАНЕ</w:t>
            </w:r>
            <w:r w:rsidR="008F0791" w:rsidRPr="008F0791">
              <w:rPr>
                <w:sz w:val="28"/>
                <w:szCs w:val="28"/>
                <w:lang w:val="kk-KZ"/>
              </w:rPr>
              <w:t>................</w:t>
            </w:r>
          </w:p>
        </w:tc>
        <w:tc>
          <w:tcPr>
            <w:tcW w:w="986" w:type="dxa"/>
            <w:vAlign w:val="bottom"/>
          </w:tcPr>
          <w:p w14:paraId="424758CE" w14:textId="06EED563" w:rsidR="009545B3" w:rsidRPr="00235320" w:rsidRDefault="00D3546F" w:rsidP="008F0791">
            <w:pPr>
              <w:ind w:firstLine="0"/>
              <w:jc w:val="right"/>
              <w:rPr>
                <w:sz w:val="28"/>
                <w:szCs w:val="28"/>
                <w:lang w:val="kk-KZ"/>
              </w:rPr>
            </w:pPr>
            <w:r>
              <w:rPr>
                <w:sz w:val="28"/>
                <w:szCs w:val="28"/>
                <w:lang w:val="kk-KZ"/>
              </w:rPr>
              <w:t>61</w:t>
            </w:r>
          </w:p>
        </w:tc>
      </w:tr>
      <w:tr w:rsidR="009545B3" w:rsidRPr="009C1AB2" w14:paraId="27F10A46" w14:textId="77777777" w:rsidTr="00E458EC">
        <w:tc>
          <w:tcPr>
            <w:tcW w:w="8642" w:type="dxa"/>
          </w:tcPr>
          <w:p w14:paraId="0D50D3D5" w14:textId="3DE25365" w:rsidR="009545B3" w:rsidRPr="009C1AB2" w:rsidRDefault="009545B3" w:rsidP="008F0791">
            <w:pPr>
              <w:ind w:right="-134" w:firstLine="0"/>
              <w:rPr>
                <w:sz w:val="28"/>
                <w:szCs w:val="28"/>
              </w:rPr>
            </w:pPr>
            <w:r w:rsidRPr="009C1AB2">
              <w:rPr>
                <w:sz w:val="28"/>
                <w:szCs w:val="28"/>
              </w:rPr>
              <w:t xml:space="preserve">2.1 </w:t>
            </w:r>
            <w:r w:rsidRPr="00C761E1">
              <w:rPr>
                <w:sz w:val="28"/>
                <w:szCs w:val="28"/>
              </w:rPr>
              <w:t>Динамика и структура инновационного потенциала предпринимательских структур</w:t>
            </w:r>
            <w:r w:rsidR="008F0791" w:rsidRPr="008F0791">
              <w:rPr>
                <w:sz w:val="28"/>
                <w:szCs w:val="28"/>
                <w:lang w:val="kk-KZ"/>
              </w:rPr>
              <w:t>........................................................................</w:t>
            </w:r>
          </w:p>
        </w:tc>
        <w:tc>
          <w:tcPr>
            <w:tcW w:w="986" w:type="dxa"/>
            <w:vAlign w:val="bottom"/>
          </w:tcPr>
          <w:p w14:paraId="70DB4B9F" w14:textId="6912625A" w:rsidR="009545B3" w:rsidRPr="00235320" w:rsidRDefault="00D3546F" w:rsidP="008F0791">
            <w:pPr>
              <w:ind w:firstLine="0"/>
              <w:jc w:val="right"/>
              <w:rPr>
                <w:sz w:val="28"/>
                <w:szCs w:val="28"/>
                <w:lang w:val="kk-KZ"/>
              </w:rPr>
            </w:pPr>
            <w:r>
              <w:rPr>
                <w:sz w:val="28"/>
                <w:szCs w:val="28"/>
                <w:lang w:val="kk-KZ"/>
              </w:rPr>
              <w:t>61</w:t>
            </w:r>
          </w:p>
        </w:tc>
      </w:tr>
      <w:tr w:rsidR="00235320" w:rsidRPr="009C1AB2" w14:paraId="6433FC7A" w14:textId="77777777" w:rsidTr="00E458EC">
        <w:tc>
          <w:tcPr>
            <w:tcW w:w="8642" w:type="dxa"/>
          </w:tcPr>
          <w:p w14:paraId="075BF38A" w14:textId="50C175A7" w:rsidR="00235320" w:rsidRPr="009C1AB2" w:rsidRDefault="00235320" w:rsidP="008F0791">
            <w:pPr>
              <w:ind w:right="-134" w:firstLine="0"/>
              <w:rPr>
                <w:sz w:val="28"/>
                <w:szCs w:val="28"/>
              </w:rPr>
            </w:pPr>
            <w:r>
              <w:rPr>
                <w:sz w:val="28"/>
                <w:szCs w:val="28"/>
                <w:lang w:val="kk-KZ"/>
              </w:rPr>
              <w:t xml:space="preserve">2.2 </w:t>
            </w:r>
            <w:r w:rsidRPr="00C761E1">
              <w:rPr>
                <w:sz w:val="28"/>
                <w:szCs w:val="28"/>
              </w:rPr>
              <w:t>Барьеры и стимулы развития инновационного потенциала</w:t>
            </w:r>
            <w:r w:rsidR="008F0791" w:rsidRPr="008F0791">
              <w:rPr>
                <w:sz w:val="28"/>
                <w:szCs w:val="28"/>
                <w:lang w:val="kk-KZ"/>
              </w:rPr>
              <w:t>................</w:t>
            </w:r>
            <w:r w:rsidR="008F0791">
              <w:rPr>
                <w:sz w:val="28"/>
                <w:szCs w:val="28"/>
                <w:lang w:val="kk-KZ"/>
              </w:rPr>
              <w:t>.....</w:t>
            </w:r>
          </w:p>
        </w:tc>
        <w:tc>
          <w:tcPr>
            <w:tcW w:w="986" w:type="dxa"/>
            <w:vAlign w:val="bottom"/>
          </w:tcPr>
          <w:p w14:paraId="6D9ABC3A" w14:textId="4DC335E8" w:rsidR="00235320" w:rsidRDefault="00D3546F" w:rsidP="008F0791">
            <w:pPr>
              <w:ind w:firstLine="0"/>
              <w:jc w:val="right"/>
              <w:rPr>
                <w:sz w:val="28"/>
                <w:szCs w:val="28"/>
                <w:lang w:val="kk-KZ"/>
              </w:rPr>
            </w:pPr>
            <w:r>
              <w:rPr>
                <w:sz w:val="28"/>
                <w:szCs w:val="28"/>
                <w:lang w:val="kk-KZ"/>
              </w:rPr>
              <w:t>86</w:t>
            </w:r>
          </w:p>
        </w:tc>
      </w:tr>
      <w:tr w:rsidR="009545B3" w:rsidRPr="009C1AB2" w14:paraId="19FAA4CC" w14:textId="77777777" w:rsidTr="00E458EC">
        <w:tc>
          <w:tcPr>
            <w:tcW w:w="8642" w:type="dxa"/>
          </w:tcPr>
          <w:p w14:paraId="6523EE7A" w14:textId="06420D2E" w:rsidR="009545B3" w:rsidRPr="009C1AB2" w:rsidRDefault="009545B3" w:rsidP="008F0791">
            <w:pPr>
              <w:ind w:right="-134" w:firstLine="0"/>
              <w:rPr>
                <w:sz w:val="28"/>
                <w:szCs w:val="28"/>
              </w:rPr>
            </w:pPr>
            <w:r w:rsidRPr="009C1AB2">
              <w:rPr>
                <w:sz w:val="28"/>
                <w:szCs w:val="28"/>
              </w:rPr>
              <w:t>2.</w:t>
            </w:r>
            <w:r>
              <w:rPr>
                <w:sz w:val="28"/>
                <w:szCs w:val="28"/>
                <w:lang w:val="kk-KZ"/>
              </w:rPr>
              <w:t>3</w:t>
            </w:r>
            <w:r w:rsidRPr="009C1AB2">
              <w:rPr>
                <w:sz w:val="28"/>
                <w:szCs w:val="28"/>
              </w:rPr>
              <w:t xml:space="preserve"> </w:t>
            </w:r>
            <w:r w:rsidRPr="00C761E1">
              <w:rPr>
                <w:sz w:val="28"/>
                <w:szCs w:val="28"/>
                <w:lang w:val="kk-KZ"/>
              </w:rPr>
              <w:t>Влияние цифровизации на инновационного потенциала предпринимательских структур</w:t>
            </w:r>
            <w:r w:rsidR="008F0791" w:rsidRPr="008F0791">
              <w:rPr>
                <w:sz w:val="28"/>
                <w:szCs w:val="28"/>
                <w:lang w:val="kk-KZ"/>
              </w:rPr>
              <w:t>........................................................................</w:t>
            </w:r>
          </w:p>
        </w:tc>
        <w:tc>
          <w:tcPr>
            <w:tcW w:w="986" w:type="dxa"/>
            <w:vAlign w:val="bottom"/>
          </w:tcPr>
          <w:p w14:paraId="2E80B05D" w14:textId="4F5CF79C" w:rsidR="009545B3" w:rsidRPr="00235320" w:rsidRDefault="00D3546F" w:rsidP="00D3546F">
            <w:pPr>
              <w:ind w:hanging="189"/>
              <w:jc w:val="right"/>
              <w:rPr>
                <w:sz w:val="28"/>
                <w:szCs w:val="28"/>
                <w:lang w:val="kk-KZ"/>
              </w:rPr>
            </w:pPr>
            <w:r>
              <w:rPr>
                <w:sz w:val="28"/>
                <w:szCs w:val="28"/>
                <w:lang w:val="kk-KZ"/>
              </w:rPr>
              <w:t>101</w:t>
            </w:r>
          </w:p>
        </w:tc>
      </w:tr>
      <w:tr w:rsidR="009545B3" w:rsidRPr="009C1AB2" w14:paraId="2318C35C" w14:textId="77777777" w:rsidTr="00E458EC">
        <w:tc>
          <w:tcPr>
            <w:tcW w:w="8642" w:type="dxa"/>
          </w:tcPr>
          <w:p w14:paraId="3F90E4C0" w14:textId="3EB475DA" w:rsidR="009545B3" w:rsidRPr="007C0B1D" w:rsidRDefault="009545B3" w:rsidP="008F0791">
            <w:pPr>
              <w:ind w:right="-134" w:firstLine="0"/>
              <w:rPr>
                <w:b/>
                <w:sz w:val="28"/>
                <w:szCs w:val="28"/>
              </w:rPr>
            </w:pPr>
            <w:r w:rsidRPr="007C0B1D">
              <w:rPr>
                <w:b/>
                <w:sz w:val="28"/>
                <w:szCs w:val="28"/>
              </w:rPr>
              <w:t xml:space="preserve">3 </w:t>
            </w:r>
            <w:r w:rsidRPr="00C761E1">
              <w:rPr>
                <w:b/>
                <w:caps/>
                <w:sz w:val="28"/>
                <w:szCs w:val="28"/>
              </w:rPr>
              <w:t>ПРОЕКТИРОВАНИЕ ИННОВАЦИОННОГО ПОТЕНЦИАЛА ПРЕДПРИНИМАТЕЛЬСКИХ СТРУКТУР И РАЗРАБОТКА НАПРАВЛЕНИЙ ЕГО РАЗВИТИЯ</w:t>
            </w:r>
            <w:r w:rsidR="008F0791" w:rsidRPr="008F0791">
              <w:rPr>
                <w:sz w:val="28"/>
                <w:szCs w:val="28"/>
                <w:lang w:val="kk-KZ"/>
              </w:rPr>
              <w:t>..............................................................</w:t>
            </w:r>
            <w:r w:rsidR="008F0791">
              <w:rPr>
                <w:sz w:val="28"/>
                <w:szCs w:val="28"/>
                <w:lang w:val="kk-KZ"/>
              </w:rPr>
              <w:t>.</w:t>
            </w:r>
          </w:p>
        </w:tc>
        <w:tc>
          <w:tcPr>
            <w:tcW w:w="986" w:type="dxa"/>
            <w:vAlign w:val="bottom"/>
          </w:tcPr>
          <w:p w14:paraId="34A46DE5" w14:textId="73813B13" w:rsidR="009545B3" w:rsidRPr="00235320" w:rsidRDefault="00D3546F" w:rsidP="008F0791">
            <w:pPr>
              <w:ind w:left="-203" w:firstLine="0"/>
              <w:jc w:val="right"/>
              <w:rPr>
                <w:sz w:val="28"/>
                <w:szCs w:val="28"/>
                <w:lang w:val="kk-KZ"/>
              </w:rPr>
            </w:pPr>
            <w:r>
              <w:rPr>
                <w:sz w:val="28"/>
                <w:szCs w:val="28"/>
                <w:lang w:val="kk-KZ"/>
              </w:rPr>
              <w:t>109</w:t>
            </w:r>
          </w:p>
        </w:tc>
      </w:tr>
      <w:tr w:rsidR="009545B3" w:rsidRPr="009C1AB2" w14:paraId="33B87DEF" w14:textId="77777777" w:rsidTr="00E458EC">
        <w:tc>
          <w:tcPr>
            <w:tcW w:w="8642" w:type="dxa"/>
          </w:tcPr>
          <w:p w14:paraId="080B59BF" w14:textId="59C114A6" w:rsidR="009545B3" w:rsidRPr="004B4676" w:rsidRDefault="009545B3" w:rsidP="008F0791">
            <w:pPr>
              <w:tabs>
                <w:tab w:val="left" w:pos="459"/>
              </w:tabs>
              <w:ind w:right="-134" w:firstLine="0"/>
              <w:rPr>
                <w:sz w:val="28"/>
                <w:szCs w:val="28"/>
                <w:lang w:val="kk-KZ"/>
              </w:rPr>
            </w:pPr>
            <w:r w:rsidRPr="009C1AB2">
              <w:rPr>
                <w:sz w:val="28"/>
                <w:szCs w:val="28"/>
              </w:rPr>
              <w:t xml:space="preserve">3.1 </w:t>
            </w:r>
            <w:r w:rsidRPr="00C761E1">
              <w:rPr>
                <w:sz w:val="28"/>
                <w:szCs w:val="28"/>
                <w:lang w:val="kk-KZ"/>
              </w:rPr>
              <w:t xml:space="preserve">Приоритетные направления развития инновационного потенциала в условиях цифровой трансформации </w:t>
            </w:r>
            <w:r w:rsidR="008F0791" w:rsidRPr="008F0791">
              <w:rPr>
                <w:sz w:val="28"/>
                <w:szCs w:val="28"/>
                <w:lang w:val="kk-KZ"/>
              </w:rPr>
              <w:t>................................................................</w:t>
            </w:r>
            <w:r w:rsidR="008F0791">
              <w:rPr>
                <w:sz w:val="28"/>
                <w:szCs w:val="28"/>
                <w:lang w:val="kk-KZ"/>
              </w:rPr>
              <w:t>.</w:t>
            </w:r>
          </w:p>
        </w:tc>
        <w:tc>
          <w:tcPr>
            <w:tcW w:w="986" w:type="dxa"/>
            <w:vAlign w:val="bottom"/>
          </w:tcPr>
          <w:p w14:paraId="367EA624" w14:textId="0CE5F1BC" w:rsidR="009545B3" w:rsidRPr="00235320" w:rsidRDefault="00D3546F" w:rsidP="008F0791">
            <w:pPr>
              <w:ind w:left="-203" w:firstLine="0"/>
              <w:jc w:val="right"/>
              <w:rPr>
                <w:sz w:val="28"/>
                <w:szCs w:val="28"/>
                <w:lang w:val="kk-KZ"/>
              </w:rPr>
            </w:pPr>
            <w:r>
              <w:rPr>
                <w:sz w:val="28"/>
                <w:szCs w:val="28"/>
                <w:lang w:val="kk-KZ"/>
              </w:rPr>
              <w:t>109</w:t>
            </w:r>
          </w:p>
        </w:tc>
      </w:tr>
      <w:tr w:rsidR="009545B3" w:rsidRPr="009C1AB2" w14:paraId="1CF1EBA4" w14:textId="77777777" w:rsidTr="00E458EC">
        <w:tc>
          <w:tcPr>
            <w:tcW w:w="8642" w:type="dxa"/>
          </w:tcPr>
          <w:p w14:paraId="47C3FEE8" w14:textId="269B6C27" w:rsidR="009545B3" w:rsidRPr="004B4676" w:rsidRDefault="009545B3" w:rsidP="008F0791">
            <w:pPr>
              <w:ind w:right="-134" w:firstLine="0"/>
              <w:rPr>
                <w:sz w:val="28"/>
                <w:szCs w:val="28"/>
                <w:lang w:val="kk-KZ"/>
              </w:rPr>
            </w:pPr>
            <w:r w:rsidRPr="009C1AB2">
              <w:rPr>
                <w:sz w:val="28"/>
                <w:szCs w:val="28"/>
              </w:rPr>
              <w:t>3.2</w:t>
            </w:r>
            <w:r>
              <w:rPr>
                <w:sz w:val="28"/>
                <w:szCs w:val="28"/>
                <w:lang w:val="kk-KZ"/>
              </w:rPr>
              <w:t xml:space="preserve"> </w:t>
            </w:r>
            <w:r w:rsidRPr="00C761E1">
              <w:rPr>
                <w:sz w:val="28"/>
                <w:szCs w:val="28"/>
              </w:rPr>
              <w:t>Экономические механизмы и инструменты стимулирования инновационного потенциала предпринимательских структур</w:t>
            </w:r>
            <w:r w:rsidR="008F0791" w:rsidRPr="008F0791">
              <w:rPr>
                <w:sz w:val="28"/>
                <w:szCs w:val="28"/>
                <w:lang w:val="kk-KZ"/>
              </w:rPr>
              <w:t>....................</w:t>
            </w:r>
            <w:r w:rsidR="008F0791">
              <w:rPr>
                <w:sz w:val="28"/>
                <w:szCs w:val="28"/>
                <w:lang w:val="kk-KZ"/>
              </w:rPr>
              <w:t>..</w:t>
            </w:r>
            <w:r w:rsidR="008F0791" w:rsidRPr="008F0791">
              <w:rPr>
                <w:sz w:val="28"/>
                <w:szCs w:val="28"/>
                <w:lang w:val="kk-KZ"/>
              </w:rPr>
              <w:t>..</w:t>
            </w:r>
          </w:p>
        </w:tc>
        <w:tc>
          <w:tcPr>
            <w:tcW w:w="986" w:type="dxa"/>
            <w:vAlign w:val="bottom"/>
          </w:tcPr>
          <w:p w14:paraId="4516F641" w14:textId="2E94EEE8" w:rsidR="009545B3" w:rsidRPr="00235320" w:rsidRDefault="00D3546F" w:rsidP="008F0791">
            <w:pPr>
              <w:ind w:left="-203" w:firstLine="0"/>
              <w:jc w:val="right"/>
              <w:rPr>
                <w:sz w:val="28"/>
                <w:szCs w:val="28"/>
                <w:lang w:val="kk-KZ"/>
              </w:rPr>
            </w:pPr>
            <w:r>
              <w:rPr>
                <w:sz w:val="28"/>
                <w:szCs w:val="28"/>
                <w:lang w:val="kk-KZ"/>
              </w:rPr>
              <w:t>122</w:t>
            </w:r>
          </w:p>
        </w:tc>
      </w:tr>
      <w:tr w:rsidR="009545B3" w:rsidRPr="009C1AB2" w14:paraId="7D389C4D" w14:textId="77777777" w:rsidTr="00E458EC">
        <w:tc>
          <w:tcPr>
            <w:tcW w:w="8642" w:type="dxa"/>
          </w:tcPr>
          <w:p w14:paraId="07E9A5C2" w14:textId="29844BF9" w:rsidR="009545B3" w:rsidRPr="004B4676" w:rsidRDefault="009545B3" w:rsidP="008F0791">
            <w:pPr>
              <w:ind w:right="-134" w:firstLine="0"/>
              <w:rPr>
                <w:sz w:val="28"/>
                <w:szCs w:val="28"/>
                <w:lang w:val="kk-KZ"/>
              </w:rPr>
            </w:pPr>
            <w:r w:rsidRPr="004B4676">
              <w:rPr>
                <w:sz w:val="28"/>
                <w:szCs w:val="28"/>
              </w:rPr>
              <w:t xml:space="preserve">3.3 </w:t>
            </w:r>
            <w:r w:rsidRPr="00C761E1">
              <w:rPr>
                <w:sz w:val="28"/>
                <w:szCs w:val="28"/>
              </w:rPr>
              <w:t xml:space="preserve">Рекомендации по проектированию и управлению инновационным потенциалом в предпринимательских структурах Казахстана </w:t>
            </w:r>
            <w:r w:rsidR="008F0791" w:rsidRPr="008F0791">
              <w:rPr>
                <w:sz w:val="28"/>
                <w:szCs w:val="28"/>
                <w:lang w:val="kk-KZ"/>
              </w:rPr>
              <w:t>......................</w:t>
            </w:r>
          </w:p>
        </w:tc>
        <w:tc>
          <w:tcPr>
            <w:tcW w:w="986" w:type="dxa"/>
            <w:vAlign w:val="bottom"/>
          </w:tcPr>
          <w:p w14:paraId="2988B947" w14:textId="56A916DC" w:rsidR="009545B3" w:rsidRPr="00235320" w:rsidRDefault="00D3546F" w:rsidP="008F0791">
            <w:pPr>
              <w:ind w:left="-203" w:firstLine="0"/>
              <w:jc w:val="right"/>
              <w:rPr>
                <w:sz w:val="28"/>
                <w:szCs w:val="28"/>
                <w:lang w:val="kk-KZ"/>
              </w:rPr>
            </w:pPr>
            <w:r>
              <w:rPr>
                <w:sz w:val="28"/>
                <w:szCs w:val="28"/>
                <w:lang w:val="kk-KZ"/>
              </w:rPr>
              <w:t>142</w:t>
            </w:r>
          </w:p>
        </w:tc>
      </w:tr>
      <w:tr w:rsidR="009545B3" w:rsidRPr="009C1AB2" w14:paraId="1087EC6B" w14:textId="77777777" w:rsidTr="00E458EC">
        <w:tc>
          <w:tcPr>
            <w:tcW w:w="8642" w:type="dxa"/>
          </w:tcPr>
          <w:p w14:paraId="7FD1290F" w14:textId="5D119E2F" w:rsidR="009545B3" w:rsidRPr="007C0B1D" w:rsidRDefault="009545B3" w:rsidP="008F0791">
            <w:pPr>
              <w:ind w:right="-134" w:firstLine="0"/>
              <w:rPr>
                <w:b/>
                <w:sz w:val="28"/>
                <w:szCs w:val="28"/>
              </w:rPr>
            </w:pPr>
            <w:r w:rsidRPr="007C0B1D">
              <w:rPr>
                <w:b/>
                <w:sz w:val="28"/>
                <w:szCs w:val="28"/>
              </w:rPr>
              <w:t>ЗАКЛЮЧЕНИЕ</w:t>
            </w:r>
            <w:r w:rsidR="008F0791" w:rsidRPr="008F0791">
              <w:rPr>
                <w:sz w:val="28"/>
                <w:szCs w:val="28"/>
                <w:lang w:val="kk-KZ"/>
              </w:rPr>
              <w:t>........................................................................................</w:t>
            </w:r>
            <w:r w:rsidR="008F0791">
              <w:rPr>
                <w:sz w:val="28"/>
                <w:szCs w:val="28"/>
                <w:lang w:val="kk-KZ"/>
              </w:rPr>
              <w:t>.........</w:t>
            </w:r>
          </w:p>
        </w:tc>
        <w:tc>
          <w:tcPr>
            <w:tcW w:w="986" w:type="dxa"/>
            <w:vAlign w:val="bottom"/>
          </w:tcPr>
          <w:p w14:paraId="162124A8" w14:textId="104D927A" w:rsidR="009545B3" w:rsidRPr="00235320" w:rsidRDefault="00D3546F" w:rsidP="008F0791">
            <w:pPr>
              <w:ind w:left="-203" w:firstLine="0"/>
              <w:jc w:val="right"/>
              <w:rPr>
                <w:sz w:val="28"/>
                <w:szCs w:val="28"/>
                <w:lang w:val="kk-KZ"/>
              </w:rPr>
            </w:pPr>
            <w:r>
              <w:rPr>
                <w:sz w:val="28"/>
                <w:szCs w:val="28"/>
                <w:lang w:val="kk-KZ"/>
              </w:rPr>
              <w:t>161</w:t>
            </w:r>
          </w:p>
        </w:tc>
      </w:tr>
      <w:tr w:rsidR="009545B3" w:rsidRPr="009C1AB2" w14:paraId="1ACEBC3E" w14:textId="77777777" w:rsidTr="00E458EC">
        <w:tc>
          <w:tcPr>
            <w:tcW w:w="8642" w:type="dxa"/>
          </w:tcPr>
          <w:p w14:paraId="49857EDE" w14:textId="6C761194" w:rsidR="009545B3" w:rsidRPr="007C0B1D" w:rsidRDefault="009545B3" w:rsidP="008F0791">
            <w:pPr>
              <w:ind w:right="-134" w:firstLine="0"/>
              <w:rPr>
                <w:b/>
                <w:sz w:val="28"/>
                <w:szCs w:val="28"/>
              </w:rPr>
            </w:pPr>
            <w:r w:rsidRPr="007C0B1D">
              <w:rPr>
                <w:b/>
                <w:sz w:val="28"/>
                <w:szCs w:val="28"/>
              </w:rPr>
              <w:t>СПИСОК ИСПОЛЬЗОВАННЫХ ИСТОЧНИКОВ</w:t>
            </w:r>
            <w:r w:rsidR="008F0791" w:rsidRPr="008F0791">
              <w:rPr>
                <w:sz w:val="28"/>
                <w:szCs w:val="28"/>
                <w:lang w:val="kk-KZ"/>
              </w:rPr>
              <w:t>..................................</w:t>
            </w:r>
            <w:r w:rsidR="008F0791">
              <w:rPr>
                <w:sz w:val="28"/>
                <w:szCs w:val="28"/>
                <w:lang w:val="kk-KZ"/>
              </w:rPr>
              <w:t>..</w:t>
            </w:r>
          </w:p>
        </w:tc>
        <w:tc>
          <w:tcPr>
            <w:tcW w:w="986" w:type="dxa"/>
            <w:vAlign w:val="bottom"/>
          </w:tcPr>
          <w:p w14:paraId="2160D4C1" w14:textId="55B60C69" w:rsidR="009545B3" w:rsidRPr="00235320" w:rsidRDefault="00D3546F" w:rsidP="008F0791">
            <w:pPr>
              <w:ind w:left="-203" w:firstLine="0"/>
              <w:jc w:val="right"/>
              <w:rPr>
                <w:sz w:val="28"/>
                <w:szCs w:val="28"/>
                <w:lang w:val="kk-KZ"/>
              </w:rPr>
            </w:pPr>
            <w:r>
              <w:rPr>
                <w:sz w:val="28"/>
                <w:szCs w:val="28"/>
                <w:lang w:val="kk-KZ"/>
              </w:rPr>
              <w:t>166</w:t>
            </w:r>
          </w:p>
        </w:tc>
      </w:tr>
      <w:tr w:rsidR="009545B3" w:rsidRPr="00F45B00" w14:paraId="728C7842" w14:textId="77777777" w:rsidTr="00E458EC">
        <w:tc>
          <w:tcPr>
            <w:tcW w:w="8642" w:type="dxa"/>
          </w:tcPr>
          <w:p w14:paraId="08185EFC" w14:textId="6F63F76D" w:rsidR="009545B3" w:rsidRPr="00F45B00" w:rsidRDefault="009545B3" w:rsidP="00B15BD7">
            <w:pPr>
              <w:ind w:right="-134" w:firstLine="0"/>
              <w:rPr>
                <w:sz w:val="28"/>
                <w:szCs w:val="28"/>
              </w:rPr>
            </w:pPr>
            <w:r>
              <w:rPr>
                <w:b/>
                <w:sz w:val="28"/>
                <w:szCs w:val="28"/>
              </w:rPr>
              <w:t>ПРИЛОЖЕНИЕ А</w:t>
            </w:r>
            <w:r w:rsidRPr="00364AAA">
              <w:rPr>
                <w:sz w:val="28"/>
                <w:szCs w:val="28"/>
              </w:rPr>
              <w:t xml:space="preserve"> </w:t>
            </w:r>
            <w:r w:rsidRPr="007C0B1D">
              <w:rPr>
                <w:b/>
                <w:sz w:val="28"/>
                <w:szCs w:val="28"/>
              </w:rPr>
              <w:t>-</w:t>
            </w:r>
            <w:r w:rsidRPr="007C0B1D">
              <w:rPr>
                <w:sz w:val="28"/>
                <w:szCs w:val="28"/>
              </w:rPr>
              <w:t xml:space="preserve"> </w:t>
            </w:r>
            <w:r w:rsidRPr="00F45B00">
              <w:rPr>
                <w:sz w:val="28"/>
                <w:szCs w:val="28"/>
              </w:rPr>
              <w:t>Справк</w:t>
            </w:r>
            <w:r w:rsidR="00B15BD7">
              <w:rPr>
                <w:sz w:val="28"/>
                <w:szCs w:val="28"/>
                <w:lang w:val="kk-KZ"/>
              </w:rPr>
              <w:t>и</w:t>
            </w:r>
            <w:r w:rsidRPr="00F45B00">
              <w:rPr>
                <w:sz w:val="28"/>
                <w:szCs w:val="28"/>
              </w:rPr>
              <w:t xml:space="preserve"> об использовании результатов диссертации</w:t>
            </w:r>
            <w:r>
              <w:rPr>
                <w:sz w:val="28"/>
                <w:szCs w:val="28"/>
              </w:rPr>
              <w:t xml:space="preserve"> (акт</w:t>
            </w:r>
            <w:r w:rsidR="00B15BD7">
              <w:rPr>
                <w:sz w:val="28"/>
                <w:szCs w:val="28"/>
                <w:lang w:val="kk-KZ"/>
              </w:rPr>
              <w:t>ы</w:t>
            </w:r>
            <w:r>
              <w:rPr>
                <w:sz w:val="28"/>
                <w:szCs w:val="28"/>
              </w:rPr>
              <w:t xml:space="preserve"> внедрения)</w:t>
            </w:r>
            <w:r w:rsidR="008F0791" w:rsidRPr="008F0791">
              <w:rPr>
                <w:sz w:val="28"/>
                <w:szCs w:val="28"/>
                <w:lang w:val="kk-KZ"/>
              </w:rPr>
              <w:t>.....................................................................................</w:t>
            </w:r>
            <w:r w:rsidR="008F0791">
              <w:rPr>
                <w:sz w:val="28"/>
                <w:szCs w:val="28"/>
                <w:lang w:val="kk-KZ"/>
              </w:rPr>
              <w:t>.............</w:t>
            </w:r>
          </w:p>
        </w:tc>
        <w:tc>
          <w:tcPr>
            <w:tcW w:w="986" w:type="dxa"/>
            <w:vAlign w:val="bottom"/>
          </w:tcPr>
          <w:p w14:paraId="2A008F76" w14:textId="15DB8D36" w:rsidR="009545B3" w:rsidRPr="00235320" w:rsidRDefault="00D3546F" w:rsidP="005051D4">
            <w:pPr>
              <w:ind w:left="-203" w:firstLine="0"/>
              <w:jc w:val="right"/>
              <w:rPr>
                <w:sz w:val="28"/>
                <w:szCs w:val="28"/>
                <w:lang w:val="kk-KZ"/>
              </w:rPr>
            </w:pPr>
            <w:r>
              <w:rPr>
                <w:sz w:val="28"/>
                <w:szCs w:val="28"/>
                <w:lang w:val="kk-KZ"/>
              </w:rPr>
              <w:t>18</w:t>
            </w:r>
            <w:r w:rsidR="005051D4">
              <w:rPr>
                <w:sz w:val="28"/>
                <w:szCs w:val="28"/>
                <w:lang w:val="kk-KZ"/>
              </w:rPr>
              <w:t>8</w:t>
            </w:r>
          </w:p>
        </w:tc>
      </w:tr>
      <w:tr w:rsidR="00E458EC" w:rsidRPr="00F45B00" w14:paraId="2BF34981" w14:textId="77777777" w:rsidTr="00E458EC">
        <w:tc>
          <w:tcPr>
            <w:tcW w:w="8642" w:type="dxa"/>
          </w:tcPr>
          <w:p w14:paraId="7EF1460D" w14:textId="68975D34" w:rsidR="00E458EC" w:rsidRPr="00E458EC" w:rsidRDefault="00E458EC" w:rsidP="00E458EC">
            <w:pPr>
              <w:ind w:firstLine="0"/>
              <w:rPr>
                <w:b/>
                <w:sz w:val="28"/>
                <w:szCs w:val="28"/>
                <w:lang w:val="kk-KZ"/>
              </w:rPr>
            </w:pPr>
            <w:r>
              <w:rPr>
                <w:b/>
                <w:sz w:val="28"/>
                <w:szCs w:val="28"/>
              </w:rPr>
              <w:t>ПРИЛОЖЕНИЕ Б</w:t>
            </w:r>
            <w:r w:rsidRPr="00364AAA">
              <w:rPr>
                <w:sz w:val="28"/>
                <w:szCs w:val="28"/>
              </w:rPr>
              <w:t xml:space="preserve"> </w:t>
            </w:r>
            <w:r w:rsidRPr="007C0B1D">
              <w:rPr>
                <w:b/>
                <w:sz w:val="28"/>
                <w:szCs w:val="28"/>
              </w:rPr>
              <w:t>-</w:t>
            </w:r>
            <w:r w:rsidRPr="007C0B1D">
              <w:rPr>
                <w:sz w:val="28"/>
                <w:szCs w:val="28"/>
              </w:rPr>
              <w:t xml:space="preserve"> </w:t>
            </w:r>
            <w:r w:rsidRPr="00E458EC">
              <w:rPr>
                <w:sz w:val="28"/>
                <w:szCs w:val="28"/>
              </w:rPr>
              <w:t>Свидетельство на авторское право</w:t>
            </w:r>
            <w:r>
              <w:rPr>
                <w:sz w:val="28"/>
                <w:szCs w:val="28"/>
                <w:lang w:val="kk-KZ"/>
              </w:rPr>
              <w:t>...............................</w:t>
            </w:r>
          </w:p>
        </w:tc>
        <w:tc>
          <w:tcPr>
            <w:tcW w:w="986" w:type="dxa"/>
            <w:vAlign w:val="bottom"/>
          </w:tcPr>
          <w:p w14:paraId="0919558A" w14:textId="38B30DF4" w:rsidR="00E458EC" w:rsidRDefault="005051D4" w:rsidP="00E458EC">
            <w:pPr>
              <w:ind w:left="-156" w:hanging="33"/>
              <w:jc w:val="right"/>
              <w:rPr>
                <w:sz w:val="28"/>
                <w:szCs w:val="28"/>
                <w:lang w:val="kk-KZ"/>
              </w:rPr>
            </w:pPr>
            <w:r>
              <w:rPr>
                <w:sz w:val="28"/>
                <w:szCs w:val="28"/>
                <w:lang w:val="kk-KZ"/>
              </w:rPr>
              <w:t>192</w:t>
            </w:r>
          </w:p>
        </w:tc>
      </w:tr>
      <w:tr w:rsidR="009545B3" w:rsidRPr="00F45B00" w14:paraId="2E09A4CF" w14:textId="77777777" w:rsidTr="00E458EC">
        <w:tc>
          <w:tcPr>
            <w:tcW w:w="8642" w:type="dxa"/>
          </w:tcPr>
          <w:p w14:paraId="11EE6661" w14:textId="53B72636" w:rsidR="009545B3" w:rsidRDefault="009545B3" w:rsidP="00E458EC">
            <w:pPr>
              <w:ind w:right="-134" w:firstLine="0"/>
              <w:rPr>
                <w:b/>
                <w:sz w:val="28"/>
                <w:szCs w:val="28"/>
              </w:rPr>
            </w:pPr>
            <w:r>
              <w:rPr>
                <w:b/>
                <w:sz w:val="28"/>
                <w:szCs w:val="28"/>
              </w:rPr>
              <w:t xml:space="preserve">ПРИЛОЖЕНИЕ </w:t>
            </w:r>
            <w:r w:rsidR="00E458EC">
              <w:rPr>
                <w:b/>
                <w:sz w:val="28"/>
                <w:szCs w:val="28"/>
                <w:lang w:val="kk-KZ"/>
              </w:rPr>
              <w:t>В</w:t>
            </w:r>
            <w:r w:rsidRPr="00364AAA">
              <w:rPr>
                <w:sz w:val="28"/>
                <w:szCs w:val="28"/>
              </w:rPr>
              <w:t xml:space="preserve"> </w:t>
            </w:r>
            <w:r w:rsidRPr="007C0B1D">
              <w:rPr>
                <w:b/>
                <w:sz w:val="28"/>
                <w:szCs w:val="28"/>
              </w:rPr>
              <w:t>-</w:t>
            </w:r>
            <w:r w:rsidRPr="007C0B1D">
              <w:rPr>
                <w:sz w:val="28"/>
                <w:szCs w:val="28"/>
              </w:rPr>
              <w:t xml:space="preserve"> </w:t>
            </w:r>
            <w:r w:rsidR="005D4A88" w:rsidRPr="005D4A88">
              <w:rPr>
                <w:sz w:val="28"/>
                <w:szCs w:val="28"/>
              </w:rPr>
              <w:t>Сопроводительное письмо руководителям предприятий о проведении анкетирования</w:t>
            </w:r>
            <w:r w:rsidR="008F0791" w:rsidRPr="008F0791">
              <w:rPr>
                <w:sz w:val="28"/>
                <w:szCs w:val="28"/>
                <w:lang w:val="kk-KZ"/>
              </w:rPr>
              <w:t>............................................</w:t>
            </w:r>
            <w:r w:rsidR="008F0791">
              <w:rPr>
                <w:sz w:val="28"/>
                <w:szCs w:val="28"/>
                <w:lang w:val="kk-KZ"/>
              </w:rPr>
              <w:t>...........</w:t>
            </w:r>
          </w:p>
        </w:tc>
        <w:tc>
          <w:tcPr>
            <w:tcW w:w="986" w:type="dxa"/>
            <w:vAlign w:val="bottom"/>
          </w:tcPr>
          <w:p w14:paraId="01DA4805" w14:textId="4ECF07D9" w:rsidR="009545B3" w:rsidRPr="00235320" w:rsidRDefault="005051D4" w:rsidP="008F0791">
            <w:pPr>
              <w:ind w:left="-203" w:firstLine="0"/>
              <w:jc w:val="right"/>
              <w:rPr>
                <w:sz w:val="28"/>
                <w:szCs w:val="28"/>
                <w:lang w:val="kk-KZ"/>
              </w:rPr>
            </w:pPr>
            <w:r>
              <w:rPr>
                <w:sz w:val="28"/>
                <w:szCs w:val="28"/>
                <w:lang w:val="kk-KZ"/>
              </w:rPr>
              <w:t>193</w:t>
            </w:r>
          </w:p>
        </w:tc>
      </w:tr>
      <w:tr w:rsidR="005D4A88" w:rsidRPr="00F45B00" w14:paraId="71EF2E4F" w14:textId="77777777" w:rsidTr="00E458EC">
        <w:tc>
          <w:tcPr>
            <w:tcW w:w="8642" w:type="dxa"/>
          </w:tcPr>
          <w:p w14:paraId="394942A9" w14:textId="1E1ED982" w:rsidR="005D4A88" w:rsidRPr="005D4A88" w:rsidRDefault="005D4A88" w:rsidP="00E458EC">
            <w:pPr>
              <w:ind w:right="-134" w:firstLine="0"/>
              <w:rPr>
                <w:b/>
                <w:sz w:val="28"/>
                <w:szCs w:val="28"/>
                <w:lang w:val="kk-KZ"/>
              </w:rPr>
            </w:pPr>
            <w:r>
              <w:rPr>
                <w:b/>
                <w:sz w:val="28"/>
                <w:szCs w:val="28"/>
              </w:rPr>
              <w:t xml:space="preserve">ПРИЛОЖЕНИЕ </w:t>
            </w:r>
            <w:r w:rsidR="00E458EC">
              <w:rPr>
                <w:b/>
                <w:sz w:val="28"/>
                <w:szCs w:val="28"/>
                <w:lang w:val="kk-KZ"/>
              </w:rPr>
              <w:t>Г</w:t>
            </w:r>
            <w:r w:rsidRPr="005D4A88">
              <w:rPr>
                <w:b/>
                <w:sz w:val="28"/>
                <w:szCs w:val="28"/>
              </w:rPr>
              <w:t xml:space="preserve"> </w:t>
            </w:r>
            <w:r>
              <w:rPr>
                <w:b/>
                <w:sz w:val="28"/>
                <w:szCs w:val="28"/>
                <w:lang w:val="kk-KZ"/>
              </w:rPr>
              <w:t xml:space="preserve">– </w:t>
            </w:r>
            <w:r w:rsidRPr="005D4A88">
              <w:rPr>
                <w:sz w:val="28"/>
                <w:szCs w:val="28"/>
              </w:rPr>
              <w:t>Вопросы анкетирования «Оценка инновационного потенциала предпринимательских структур»</w:t>
            </w:r>
            <w:r w:rsidR="008F0791" w:rsidRPr="008F0791">
              <w:rPr>
                <w:sz w:val="28"/>
                <w:szCs w:val="28"/>
                <w:lang w:val="kk-KZ"/>
              </w:rPr>
              <w:t>............................................</w:t>
            </w:r>
            <w:r w:rsidR="008F0791">
              <w:rPr>
                <w:sz w:val="28"/>
                <w:szCs w:val="28"/>
                <w:lang w:val="kk-KZ"/>
              </w:rPr>
              <w:t>.......</w:t>
            </w:r>
          </w:p>
        </w:tc>
        <w:tc>
          <w:tcPr>
            <w:tcW w:w="986" w:type="dxa"/>
            <w:vAlign w:val="bottom"/>
          </w:tcPr>
          <w:p w14:paraId="4A8F2E47" w14:textId="71DA714C" w:rsidR="005D4A88" w:rsidRPr="00235320" w:rsidRDefault="005051D4" w:rsidP="008F0791">
            <w:pPr>
              <w:ind w:left="-203" w:firstLine="0"/>
              <w:jc w:val="right"/>
              <w:rPr>
                <w:sz w:val="28"/>
                <w:szCs w:val="28"/>
                <w:lang w:val="kk-KZ"/>
              </w:rPr>
            </w:pPr>
            <w:r>
              <w:rPr>
                <w:sz w:val="28"/>
                <w:szCs w:val="28"/>
                <w:lang w:val="kk-KZ"/>
              </w:rPr>
              <w:t>194</w:t>
            </w:r>
          </w:p>
        </w:tc>
      </w:tr>
      <w:tr w:rsidR="005D4A88" w:rsidRPr="00F45B00" w14:paraId="25EB5FCD" w14:textId="77777777" w:rsidTr="00E458EC">
        <w:tc>
          <w:tcPr>
            <w:tcW w:w="8642" w:type="dxa"/>
          </w:tcPr>
          <w:p w14:paraId="40A47526" w14:textId="7EE1D3A2" w:rsidR="005D4A88" w:rsidRDefault="005D4A88" w:rsidP="00E458EC">
            <w:pPr>
              <w:ind w:right="-134" w:firstLine="0"/>
              <w:rPr>
                <w:b/>
                <w:sz w:val="28"/>
                <w:szCs w:val="28"/>
              </w:rPr>
            </w:pPr>
            <w:r>
              <w:rPr>
                <w:b/>
                <w:sz w:val="28"/>
                <w:szCs w:val="28"/>
              </w:rPr>
              <w:t xml:space="preserve">ПРИЛОЖЕНИЕ </w:t>
            </w:r>
            <w:r w:rsidR="00E458EC">
              <w:rPr>
                <w:b/>
                <w:sz w:val="28"/>
                <w:szCs w:val="28"/>
                <w:lang w:val="kk-KZ"/>
              </w:rPr>
              <w:t>Д</w:t>
            </w:r>
            <w:r w:rsidRPr="005D4A88">
              <w:rPr>
                <w:b/>
                <w:sz w:val="28"/>
                <w:szCs w:val="28"/>
              </w:rPr>
              <w:t xml:space="preserve"> </w:t>
            </w:r>
            <w:r>
              <w:rPr>
                <w:b/>
                <w:sz w:val="28"/>
                <w:szCs w:val="28"/>
                <w:lang w:val="kk-KZ"/>
              </w:rPr>
              <w:t xml:space="preserve">– </w:t>
            </w:r>
            <w:r w:rsidRPr="005D4A88">
              <w:rPr>
                <w:sz w:val="28"/>
                <w:szCs w:val="28"/>
                <w:lang w:val="kk-KZ"/>
              </w:rPr>
              <w:t>Результаты эксплораторного факторного анализа (EFA) ресурсного блока инновационного потенциала</w:t>
            </w:r>
            <w:r w:rsidR="008F0791" w:rsidRPr="008F0791">
              <w:rPr>
                <w:sz w:val="28"/>
                <w:szCs w:val="28"/>
                <w:lang w:val="kk-KZ"/>
              </w:rPr>
              <w:t>....................................</w:t>
            </w:r>
          </w:p>
        </w:tc>
        <w:tc>
          <w:tcPr>
            <w:tcW w:w="986" w:type="dxa"/>
            <w:vAlign w:val="bottom"/>
          </w:tcPr>
          <w:p w14:paraId="002EFEA3" w14:textId="459A352A" w:rsidR="005D4A88" w:rsidRPr="00235320" w:rsidRDefault="005051D4" w:rsidP="008F0791">
            <w:pPr>
              <w:ind w:left="-203" w:firstLine="0"/>
              <w:jc w:val="right"/>
              <w:rPr>
                <w:sz w:val="28"/>
                <w:szCs w:val="28"/>
                <w:lang w:val="kk-KZ"/>
              </w:rPr>
            </w:pPr>
            <w:r>
              <w:rPr>
                <w:sz w:val="28"/>
                <w:szCs w:val="28"/>
                <w:lang w:val="kk-KZ"/>
              </w:rPr>
              <w:t>199</w:t>
            </w:r>
          </w:p>
        </w:tc>
      </w:tr>
      <w:tr w:rsidR="005D4A88" w:rsidRPr="00F45B00" w14:paraId="5CF74DEB" w14:textId="77777777" w:rsidTr="00E458EC">
        <w:tc>
          <w:tcPr>
            <w:tcW w:w="8642" w:type="dxa"/>
          </w:tcPr>
          <w:p w14:paraId="372BA3F0" w14:textId="7D774007" w:rsidR="005D4A88" w:rsidRDefault="005D4A88" w:rsidP="008F0791">
            <w:pPr>
              <w:ind w:right="-134" w:firstLine="0"/>
              <w:rPr>
                <w:b/>
                <w:sz w:val="28"/>
                <w:szCs w:val="28"/>
              </w:rPr>
            </w:pPr>
            <w:r>
              <w:rPr>
                <w:b/>
                <w:sz w:val="28"/>
                <w:szCs w:val="28"/>
              </w:rPr>
              <w:lastRenderedPageBreak/>
              <w:t xml:space="preserve">ПРИЛОЖЕНИЕ </w:t>
            </w:r>
            <w:r w:rsidR="00E458EC">
              <w:rPr>
                <w:b/>
                <w:sz w:val="28"/>
                <w:szCs w:val="28"/>
                <w:lang w:val="kk-KZ"/>
              </w:rPr>
              <w:t>Е</w:t>
            </w:r>
            <w:r w:rsidRPr="005D4A88">
              <w:rPr>
                <w:b/>
                <w:sz w:val="28"/>
                <w:szCs w:val="28"/>
              </w:rPr>
              <w:t xml:space="preserve"> </w:t>
            </w:r>
            <w:r>
              <w:rPr>
                <w:b/>
                <w:sz w:val="28"/>
                <w:szCs w:val="28"/>
                <w:lang w:val="kk-KZ"/>
              </w:rPr>
              <w:t xml:space="preserve">– </w:t>
            </w:r>
            <w:r w:rsidRPr="005D4A88">
              <w:rPr>
                <w:sz w:val="28"/>
                <w:szCs w:val="28"/>
                <w:lang w:val="kk-KZ"/>
              </w:rPr>
              <w:t>Результаты структурного моделирования (SEM) ресурсного блока инновационного потенциала</w:t>
            </w:r>
            <w:r w:rsidR="008F0791" w:rsidRPr="008F0791">
              <w:rPr>
                <w:sz w:val="28"/>
                <w:szCs w:val="28"/>
                <w:lang w:val="kk-KZ"/>
              </w:rPr>
              <w:t>............................................</w:t>
            </w:r>
            <w:r w:rsidR="008F0791">
              <w:rPr>
                <w:sz w:val="28"/>
                <w:szCs w:val="28"/>
                <w:lang w:val="kk-KZ"/>
              </w:rPr>
              <w:t>....</w:t>
            </w:r>
          </w:p>
        </w:tc>
        <w:tc>
          <w:tcPr>
            <w:tcW w:w="986" w:type="dxa"/>
            <w:vAlign w:val="bottom"/>
          </w:tcPr>
          <w:p w14:paraId="203CF107" w14:textId="29420016" w:rsidR="005D4A88" w:rsidRPr="00235320" w:rsidRDefault="005051D4" w:rsidP="008F0791">
            <w:pPr>
              <w:ind w:left="-203" w:firstLine="0"/>
              <w:jc w:val="right"/>
              <w:rPr>
                <w:sz w:val="28"/>
                <w:szCs w:val="28"/>
                <w:lang w:val="kk-KZ"/>
              </w:rPr>
            </w:pPr>
            <w:r>
              <w:rPr>
                <w:sz w:val="28"/>
                <w:szCs w:val="28"/>
                <w:lang w:val="kk-KZ"/>
              </w:rPr>
              <w:t>200</w:t>
            </w:r>
          </w:p>
        </w:tc>
      </w:tr>
      <w:tr w:rsidR="005D4A88" w:rsidRPr="00F45B00" w14:paraId="2819FE82" w14:textId="77777777" w:rsidTr="00E458EC">
        <w:tc>
          <w:tcPr>
            <w:tcW w:w="8642" w:type="dxa"/>
          </w:tcPr>
          <w:p w14:paraId="3015F824" w14:textId="45FDF561" w:rsidR="005D4A88" w:rsidRDefault="005D4A88" w:rsidP="008F0791">
            <w:pPr>
              <w:ind w:right="-134" w:firstLine="0"/>
              <w:rPr>
                <w:b/>
                <w:sz w:val="28"/>
                <w:szCs w:val="28"/>
              </w:rPr>
            </w:pPr>
            <w:r>
              <w:rPr>
                <w:b/>
                <w:sz w:val="28"/>
                <w:szCs w:val="28"/>
              </w:rPr>
              <w:t xml:space="preserve">ПРИЛОЖЕНИЕ </w:t>
            </w:r>
            <w:r w:rsidR="00E458EC">
              <w:rPr>
                <w:b/>
                <w:sz w:val="28"/>
                <w:szCs w:val="28"/>
                <w:lang w:val="kk-KZ"/>
              </w:rPr>
              <w:t>Ж</w:t>
            </w:r>
            <w:r w:rsidRPr="005D4A88">
              <w:rPr>
                <w:b/>
                <w:sz w:val="28"/>
                <w:szCs w:val="28"/>
              </w:rPr>
              <w:t xml:space="preserve"> </w:t>
            </w:r>
            <w:r>
              <w:rPr>
                <w:b/>
                <w:sz w:val="28"/>
                <w:szCs w:val="28"/>
                <w:lang w:val="kk-KZ"/>
              </w:rPr>
              <w:t xml:space="preserve">– </w:t>
            </w:r>
            <w:r w:rsidRPr="005D4A88">
              <w:rPr>
                <w:sz w:val="28"/>
                <w:szCs w:val="28"/>
                <w:lang w:val="kk-KZ"/>
              </w:rPr>
              <w:t>Результаты многогруппового структурного моделирования (SEM) по размерности предприятий</w:t>
            </w:r>
            <w:r w:rsidR="008F0791" w:rsidRPr="008F0791">
              <w:rPr>
                <w:sz w:val="28"/>
                <w:szCs w:val="28"/>
                <w:lang w:val="kk-KZ"/>
              </w:rPr>
              <w:t>......................................</w:t>
            </w:r>
            <w:r w:rsidR="008F0791">
              <w:rPr>
                <w:sz w:val="28"/>
                <w:szCs w:val="28"/>
                <w:lang w:val="kk-KZ"/>
              </w:rPr>
              <w:t>.</w:t>
            </w:r>
          </w:p>
        </w:tc>
        <w:tc>
          <w:tcPr>
            <w:tcW w:w="986" w:type="dxa"/>
            <w:vAlign w:val="bottom"/>
          </w:tcPr>
          <w:p w14:paraId="55DD5BDD" w14:textId="5AFBC12B" w:rsidR="005D4A88" w:rsidRPr="00235320" w:rsidRDefault="005051D4" w:rsidP="008F0791">
            <w:pPr>
              <w:ind w:left="-203" w:firstLine="0"/>
              <w:jc w:val="right"/>
              <w:rPr>
                <w:sz w:val="28"/>
                <w:szCs w:val="28"/>
                <w:lang w:val="kk-KZ"/>
              </w:rPr>
            </w:pPr>
            <w:r>
              <w:rPr>
                <w:sz w:val="28"/>
                <w:szCs w:val="28"/>
                <w:lang w:val="kk-KZ"/>
              </w:rPr>
              <w:t>202</w:t>
            </w:r>
          </w:p>
        </w:tc>
      </w:tr>
      <w:tr w:rsidR="005D4A88" w:rsidRPr="00F45B00" w14:paraId="7DE4C833" w14:textId="77777777" w:rsidTr="00E458EC">
        <w:tc>
          <w:tcPr>
            <w:tcW w:w="8642" w:type="dxa"/>
          </w:tcPr>
          <w:p w14:paraId="649DF921" w14:textId="5EAB460F" w:rsidR="005D4A88" w:rsidRDefault="005D4A88" w:rsidP="008F0791">
            <w:pPr>
              <w:ind w:right="-134" w:firstLine="0"/>
              <w:rPr>
                <w:b/>
                <w:sz w:val="28"/>
                <w:szCs w:val="28"/>
              </w:rPr>
            </w:pPr>
            <w:r>
              <w:rPr>
                <w:b/>
                <w:sz w:val="28"/>
                <w:szCs w:val="28"/>
              </w:rPr>
              <w:t xml:space="preserve">ПРИЛОЖЕНИЕ </w:t>
            </w:r>
            <w:r w:rsidR="00E458EC">
              <w:rPr>
                <w:b/>
                <w:sz w:val="28"/>
                <w:szCs w:val="28"/>
                <w:lang w:val="kk-KZ"/>
              </w:rPr>
              <w:t>И</w:t>
            </w:r>
            <w:r w:rsidRPr="005D4A88">
              <w:rPr>
                <w:b/>
                <w:sz w:val="28"/>
                <w:szCs w:val="28"/>
              </w:rPr>
              <w:t xml:space="preserve"> </w:t>
            </w:r>
            <w:r>
              <w:rPr>
                <w:b/>
                <w:sz w:val="28"/>
                <w:szCs w:val="28"/>
                <w:lang w:val="kk-KZ"/>
              </w:rPr>
              <w:t xml:space="preserve">– </w:t>
            </w:r>
            <w:r w:rsidRPr="005D4A88">
              <w:rPr>
                <w:sz w:val="28"/>
                <w:szCs w:val="28"/>
                <w:lang w:val="kk-KZ"/>
              </w:rPr>
              <w:t>Результаты линейной регрессии по блоку «Человеческие ресурсы»</w:t>
            </w:r>
            <w:r w:rsidR="008F0791" w:rsidRPr="008F0791">
              <w:rPr>
                <w:sz w:val="28"/>
                <w:szCs w:val="28"/>
                <w:lang w:val="kk-KZ"/>
              </w:rPr>
              <w:t>....................................................................................</w:t>
            </w:r>
            <w:r w:rsidR="008F0791">
              <w:rPr>
                <w:sz w:val="28"/>
                <w:szCs w:val="28"/>
                <w:lang w:val="kk-KZ"/>
              </w:rPr>
              <w:t>.</w:t>
            </w:r>
          </w:p>
        </w:tc>
        <w:tc>
          <w:tcPr>
            <w:tcW w:w="986" w:type="dxa"/>
            <w:vAlign w:val="bottom"/>
          </w:tcPr>
          <w:p w14:paraId="1B6B4939" w14:textId="37898B97" w:rsidR="005D4A88" w:rsidRPr="00235320" w:rsidRDefault="005051D4" w:rsidP="008F0791">
            <w:pPr>
              <w:ind w:left="-203" w:firstLine="0"/>
              <w:jc w:val="right"/>
              <w:rPr>
                <w:sz w:val="28"/>
                <w:szCs w:val="28"/>
                <w:lang w:val="kk-KZ"/>
              </w:rPr>
            </w:pPr>
            <w:r>
              <w:rPr>
                <w:sz w:val="28"/>
                <w:szCs w:val="28"/>
                <w:lang w:val="kk-KZ"/>
              </w:rPr>
              <w:t>204</w:t>
            </w:r>
          </w:p>
        </w:tc>
      </w:tr>
      <w:tr w:rsidR="005D4A88" w:rsidRPr="00F45B00" w14:paraId="79A1D296" w14:textId="77777777" w:rsidTr="00E458EC">
        <w:tc>
          <w:tcPr>
            <w:tcW w:w="8642" w:type="dxa"/>
          </w:tcPr>
          <w:p w14:paraId="5EEF0D3E" w14:textId="430E8151" w:rsidR="005D4A88" w:rsidRDefault="005D4A88" w:rsidP="008F0791">
            <w:pPr>
              <w:ind w:right="-134" w:firstLine="0"/>
              <w:rPr>
                <w:b/>
                <w:sz w:val="28"/>
                <w:szCs w:val="28"/>
              </w:rPr>
            </w:pPr>
            <w:r>
              <w:rPr>
                <w:b/>
                <w:sz w:val="28"/>
                <w:szCs w:val="28"/>
              </w:rPr>
              <w:t xml:space="preserve">ПРИЛОЖЕНИЕ </w:t>
            </w:r>
            <w:r w:rsidR="00E458EC">
              <w:rPr>
                <w:b/>
                <w:sz w:val="28"/>
                <w:szCs w:val="28"/>
                <w:lang w:val="kk-KZ"/>
              </w:rPr>
              <w:t>К</w:t>
            </w:r>
            <w:r w:rsidRPr="005D4A88">
              <w:rPr>
                <w:b/>
                <w:sz w:val="28"/>
                <w:szCs w:val="28"/>
              </w:rPr>
              <w:t xml:space="preserve"> </w:t>
            </w:r>
            <w:r>
              <w:rPr>
                <w:b/>
                <w:sz w:val="28"/>
                <w:szCs w:val="28"/>
                <w:lang w:val="kk-KZ"/>
              </w:rPr>
              <w:t xml:space="preserve">– </w:t>
            </w:r>
            <w:r w:rsidRPr="005D4A88">
              <w:rPr>
                <w:sz w:val="28"/>
                <w:szCs w:val="28"/>
                <w:lang w:val="kk-KZ"/>
              </w:rPr>
              <w:t>Результаты однофакторного дисперсионного анализа (Welch’s ANOVA)</w:t>
            </w:r>
            <w:r w:rsidR="008F0791" w:rsidRPr="008F0791">
              <w:rPr>
                <w:sz w:val="28"/>
                <w:szCs w:val="28"/>
                <w:lang w:val="kk-KZ"/>
              </w:rPr>
              <w:t>..................................................................</w:t>
            </w:r>
            <w:r w:rsidR="008F0791">
              <w:rPr>
                <w:sz w:val="28"/>
                <w:szCs w:val="28"/>
                <w:lang w:val="kk-KZ"/>
              </w:rPr>
              <w:t>................</w:t>
            </w:r>
          </w:p>
        </w:tc>
        <w:tc>
          <w:tcPr>
            <w:tcW w:w="986" w:type="dxa"/>
            <w:vAlign w:val="bottom"/>
          </w:tcPr>
          <w:p w14:paraId="13DBFDBC" w14:textId="7F822972" w:rsidR="005D4A88" w:rsidRPr="00235320" w:rsidRDefault="005051D4" w:rsidP="008F0791">
            <w:pPr>
              <w:ind w:left="-203" w:firstLine="0"/>
              <w:jc w:val="right"/>
              <w:rPr>
                <w:sz w:val="28"/>
                <w:szCs w:val="28"/>
                <w:lang w:val="kk-KZ"/>
              </w:rPr>
            </w:pPr>
            <w:r>
              <w:rPr>
                <w:sz w:val="28"/>
                <w:szCs w:val="28"/>
                <w:lang w:val="kk-KZ"/>
              </w:rPr>
              <w:t>207</w:t>
            </w:r>
          </w:p>
        </w:tc>
      </w:tr>
      <w:tr w:rsidR="005D4A88" w:rsidRPr="00F45B00" w14:paraId="48F388FE" w14:textId="77777777" w:rsidTr="00E458EC">
        <w:tc>
          <w:tcPr>
            <w:tcW w:w="8642" w:type="dxa"/>
          </w:tcPr>
          <w:p w14:paraId="7C73842A" w14:textId="4D18209E" w:rsidR="005D4A88" w:rsidRDefault="005D4A88" w:rsidP="008F0791">
            <w:pPr>
              <w:ind w:right="-134" w:firstLine="0"/>
              <w:rPr>
                <w:b/>
                <w:sz w:val="28"/>
                <w:szCs w:val="28"/>
              </w:rPr>
            </w:pPr>
            <w:r>
              <w:rPr>
                <w:b/>
                <w:sz w:val="28"/>
                <w:szCs w:val="28"/>
              </w:rPr>
              <w:t xml:space="preserve">ПРИЛОЖЕНИЕ </w:t>
            </w:r>
            <w:r w:rsidR="00E458EC">
              <w:rPr>
                <w:b/>
                <w:sz w:val="28"/>
                <w:szCs w:val="28"/>
                <w:lang w:val="kk-KZ"/>
              </w:rPr>
              <w:t>Л</w:t>
            </w:r>
            <w:r w:rsidRPr="005D4A88">
              <w:rPr>
                <w:b/>
                <w:sz w:val="28"/>
                <w:szCs w:val="28"/>
              </w:rPr>
              <w:t xml:space="preserve"> </w:t>
            </w:r>
            <w:r>
              <w:rPr>
                <w:b/>
                <w:sz w:val="28"/>
                <w:szCs w:val="28"/>
                <w:lang w:val="kk-KZ"/>
              </w:rPr>
              <w:t xml:space="preserve">– </w:t>
            </w:r>
            <w:r w:rsidRPr="005D4A88">
              <w:rPr>
                <w:sz w:val="28"/>
                <w:szCs w:val="28"/>
                <w:lang w:val="kk-KZ"/>
              </w:rPr>
              <w:t xml:space="preserve">Результаты </w:t>
            </w:r>
            <w:r>
              <w:rPr>
                <w:sz w:val="28"/>
                <w:szCs w:val="28"/>
                <w:lang w:val="kk-KZ"/>
              </w:rPr>
              <w:t xml:space="preserve">латентного </w:t>
            </w:r>
            <w:r w:rsidRPr="005D4A88">
              <w:rPr>
                <w:sz w:val="28"/>
                <w:szCs w:val="28"/>
                <w:lang w:val="kk-KZ"/>
              </w:rPr>
              <w:t xml:space="preserve">кластерного анализа </w:t>
            </w:r>
            <w:r>
              <w:rPr>
                <w:sz w:val="28"/>
                <w:szCs w:val="28"/>
                <w:lang w:val="kk-KZ"/>
              </w:rPr>
              <w:t>(</w:t>
            </w:r>
            <w:r w:rsidRPr="005D4A88">
              <w:rPr>
                <w:sz w:val="28"/>
                <w:szCs w:val="28"/>
                <w:lang w:val="kk-KZ"/>
              </w:rPr>
              <w:t>LCA) по  блоку «Инновационная культура»</w:t>
            </w:r>
            <w:r w:rsidR="008F0791" w:rsidRPr="008F0791">
              <w:rPr>
                <w:sz w:val="28"/>
                <w:szCs w:val="28"/>
                <w:lang w:val="kk-KZ"/>
              </w:rPr>
              <w:t>..............................................................</w:t>
            </w:r>
            <w:r w:rsidR="008F0791">
              <w:rPr>
                <w:sz w:val="28"/>
                <w:szCs w:val="28"/>
                <w:lang w:val="kk-KZ"/>
              </w:rPr>
              <w:t>.</w:t>
            </w:r>
          </w:p>
        </w:tc>
        <w:tc>
          <w:tcPr>
            <w:tcW w:w="986" w:type="dxa"/>
            <w:vAlign w:val="bottom"/>
          </w:tcPr>
          <w:p w14:paraId="76A23C63" w14:textId="07778444" w:rsidR="005D4A88" w:rsidRPr="00235320" w:rsidRDefault="005051D4" w:rsidP="008F0791">
            <w:pPr>
              <w:ind w:left="-203" w:firstLine="0"/>
              <w:jc w:val="right"/>
              <w:rPr>
                <w:sz w:val="28"/>
                <w:szCs w:val="28"/>
                <w:lang w:val="kk-KZ"/>
              </w:rPr>
            </w:pPr>
            <w:r>
              <w:rPr>
                <w:sz w:val="28"/>
                <w:szCs w:val="28"/>
                <w:lang w:val="kk-KZ"/>
              </w:rPr>
              <w:t>208</w:t>
            </w:r>
          </w:p>
        </w:tc>
      </w:tr>
      <w:tr w:rsidR="005D4A88" w:rsidRPr="00F45B00" w14:paraId="30454798" w14:textId="77777777" w:rsidTr="00E458EC">
        <w:tc>
          <w:tcPr>
            <w:tcW w:w="8642" w:type="dxa"/>
          </w:tcPr>
          <w:p w14:paraId="67A5DD8B" w14:textId="03C22958" w:rsidR="005D4A88" w:rsidRDefault="005D4A88" w:rsidP="008F0791">
            <w:pPr>
              <w:ind w:right="-134" w:firstLine="0"/>
              <w:rPr>
                <w:b/>
                <w:sz w:val="28"/>
                <w:szCs w:val="28"/>
              </w:rPr>
            </w:pPr>
            <w:r>
              <w:rPr>
                <w:b/>
                <w:sz w:val="28"/>
                <w:szCs w:val="28"/>
              </w:rPr>
              <w:t xml:space="preserve">ПРИЛОЖЕНИЕ </w:t>
            </w:r>
            <w:r w:rsidR="00E458EC">
              <w:rPr>
                <w:b/>
                <w:sz w:val="28"/>
                <w:szCs w:val="28"/>
                <w:lang w:val="kk-KZ"/>
              </w:rPr>
              <w:t>М</w:t>
            </w:r>
            <w:r w:rsidRPr="005D4A88">
              <w:rPr>
                <w:b/>
                <w:sz w:val="28"/>
                <w:szCs w:val="28"/>
              </w:rPr>
              <w:t xml:space="preserve"> </w:t>
            </w:r>
            <w:r>
              <w:rPr>
                <w:b/>
                <w:sz w:val="28"/>
                <w:szCs w:val="28"/>
                <w:lang w:val="kk-KZ"/>
              </w:rPr>
              <w:t xml:space="preserve">– </w:t>
            </w:r>
            <w:r w:rsidRPr="005D4A88">
              <w:rPr>
                <w:sz w:val="28"/>
                <w:szCs w:val="28"/>
                <w:lang w:val="kk-KZ"/>
              </w:rPr>
              <w:t>Результаты CFA-анализа по блоку «Факторы, способствующие и препятствующие инноваациям»</w:t>
            </w:r>
            <w:r w:rsidR="008F0791" w:rsidRPr="008F0791">
              <w:rPr>
                <w:sz w:val="28"/>
                <w:szCs w:val="28"/>
                <w:lang w:val="kk-KZ"/>
              </w:rPr>
              <w:t>........................................</w:t>
            </w:r>
          </w:p>
        </w:tc>
        <w:tc>
          <w:tcPr>
            <w:tcW w:w="986" w:type="dxa"/>
            <w:vAlign w:val="bottom"/>
          </w:tcPr>
          <w:p w14:paraId="613102CC" w14:textId="13227895" w:rsidR="005D4A88" w:rsidRPr="00235320" w:rsidRDefault="005051D4" w:rsidP="008F0791">
            <w:pPr>
              <w:ind w:left="-203" w:firstLine="0"/>
              <w:jc w:val="right"/>
              <w:rPr>
                <w:sz w:val="28"/>
                <w:szCs w:val="28"/>
                <w:lang w:val="kk-KZ"/>
              </w:rPr>
            </w:pPr>
            <w:r>
              <w:rPr>
                <w:sz w:val="28"/>
                <w:szCs w:val="28"/>
                <w:lang w:val="kk-KZ"/>
              </w:rPr>
              <w:t>209</w:t>
            </w:r>
          </w:p>
        </w:tc>
      </w:tr>
      <w:tr w:rsidR="005D4A88" w:rsidRPr="00F45B00" w14:paraId="4F94B68C" w14:textId="77777777" w:rsidTr="00E458EC">
        <w:tc>
          <w:tcPr>
            <w:tcW w:w="8642" w:type="dxa"/>
          </w:tcPr>
          <w:p w14:paraId="5F6EDC18" w14:textId="149D9B28" w:rsidR="005D4A88" w:rsidRDefault="005D4A88" w:rsidP="008F0791">
            <w:pPr>
              <w:ind w:right="-134" w:firstLine="0"/>
              <w:rPr>
                <w:b/>
                <w:sz w:val="28"/>
                <w:szCs w:val="28"/>
              </w:rPr>
            </w:pPr>
            <w:r>
              <w:rPr>
                <w:b/>
                <w:sz w:val="28"/>
                <w:szCs w:val="28"/>
              </w:rPr>
              <w:t xml:space="preserve">ПРИЛОЖЕНИЕ </w:t>
            </w:r>
            <w:r w:rsidR="00E458EC">
              <w:rPr>
                <w:b/>
                <w:sz w:val="28"/>
                <w:szCs w:val="28"/>
                <w:lang w:val="kk-KZ"/>
              </w:rPr>
              <w:t>Н</w:t>
            </w:r>
            <w:r w:rsidRPr="005D4A88">
              <w:rPr>
                <w:b/>
                <w:sz w:val="28"/>
                <w:szCs w:val="28"/>
              </w:rPr>
              <w:t xml:space="preserve"> </w:t>
            </w:r>
            <w:r>
              <w:rPr>
                <w:b/>
                <w:sz w:val="28"/>
                <w:szCs w:val="28"/>
                <w:lang w:val="kk-KZ"/>
              </w:rPr>
              <w:t xml:space="preserve">– </w:t>
            </w:r>
            <w:r w:rsidRPr="005D4A88">
              <w:rPr>
                <w:sz w:val="28"/>
                <w:szCs w:val="28"/>
                <w:lang w:val="kk-KZ"/>
              </w:rPr>
              <w:t>Результаты анализа логистической регресии по блоку «Государственная  поддержка»</w:t>
            </w:r>
            <w:r w:rsidR="008F0791" w:rsidRPr="008F0791">
              <w:rPr>
                <w:sz w:val="28"/>
                <w:szCs w:val="28"/>
                <w:lang w:val="kk-KZ"/>
              </w:rPr>
              <w:t>..............................................................</w:t>
            </w:r>
            <w:r w:rsidR="008F0791">
              <w:rPr>
                <w:sz w:val="28"/>
                <w:szCs w:val="28"/>
                <w:lang w:val="kk-KZ"/>
              </w:rPr>
              <w:t>.</w:t>
            </w:r>
          </w:p>
        </w:tc>
        <w:tc>
          <w:tcPr>
            <w:tcW w:w="986" w:type="dxa"/>
            <w:vAlign w:val="bottom"/>
          </w:tcPr>
          <w:p w14:paraId="3AFE79D5" w14:textId="0EF7BB04" w:rsidR="005D4A88" w:rsidRPr="00235320" w:rsidRDefault="005051D4" w:rsidP="008F0791">
            <w:pPr>
              <w:ind w:left="-203" w:firstLine="0"/>
              <w:jc w:val="right"/>
              <w:rPr>
                <w:sz w:val="28"/>
                <w:szCs w:val="28"/>
                <w:lang w:val="kk-KZ"/>
              </w:rPr>
            </w:pPr>
            <w:r>
              <w:rPr>
                <w:sz w:val="28"/>
                <w:szCs w:val="28"/>
                <w:lang w:val="kk-KZ"/>
              </w:rPr>
              <w:t>210</w:t>
            </w:r>
          </w:p>
        </w:tc>
      </w:tr>
      <w:tr w:rsidR="005D4A88" w:rsidRPr="00F45B00" w14:paraId="6498E778" w14:textId="77777777" w:rsidTr="00E458EC">
        <w:tc>
          <w:tcPr>
            <w:tcW w:w="8642" w:type="dxa"/>
          </w:tcPr>
          <w:p w14:paraId="09D6055E" w14:textId="32328B6E" w:rsidR="005D4A88" w:rsidRDefault="005D4A88" w:rsidP="008F0791">
            <w:pPr>
              <w:ind w:right="-134" w:firstLine="0"/>
              <w:rPr>
                <w:b/>
                <w:sz w:val="28"/>
                <w:szCs w:val="28"/>
              </w:rPr>
            </w:pPr>
            <w:r>
              <w:rPr>
                <w:b/>
                <w:sz w:val="28"/>
                <w:szCs w:val="28"/>
              </w:rPr>
              <w:t xml:space="preserve">ПРИЛОЖЕНИЕ </w:t>
            </w:r>
            <w:r w:rsidR="00E458EC">
              <w:rPr>
                <w:b/>
                <w:sz w:val="28"/>
                <w:szCs w:val="28"/>
                <w:lang w:val="kk-KZ"/>
              </w:rPr>
              <w:t>П</w:t>
            </w:r>
            <w:r w:rsidRPr="005D4A88">
              <w:rPr>
                <w:b/>
                <w:sz w:val="28"/>
                <w:szCs w:val="28"/>
              </w:rPr>
              <w:t xml:space="preserve"> </w:t>
            </w:r>
            <w:r>
              <w:rPr>
                <w:b/>
                <w:sz w:val="28"/>
                <w:szCs w:val="28"/>
                <w:lang w:val="kk-KZ"/>
              </w:rPr>
              <w:t xml:space="preserve">– </w:t>
            </w:r>
            <w:r w:rsidRPr="005D4A88">
              <w:rPr>
                <w:sz w:val="28"/>
                <w:szCs w:val="28"/>
                <w:lang w:val="kk-KZ"/>
              </w:rPr>
              <w:t>Структурное моделирование медиирующего эффекта цифровой адаптации (SEM)</w:t>
            </w:r>
            <w:r w:rsidR="008F0791" w:rsidRPr="008F0791">
              <w:rPr>
                <w:sz w:val="28"/>
                <w:szCs w:val="28"/>
                <w:lang w:val="kk-KZ"/>
              </w:rPr>
              <w:t>................................................................</w:t>
            </w:r>
            <w:r w:rsidR="008F0791">
              <w:rPr>
                <w:sz w:val="28"/>
                <w:szCs w:val="28"/>
                <w:lang w:val="kk-KZ"/>
              </w:rPr>
              <w:t>.</w:t>
            </w:r>
          </w:p>
        </w:tc>
        <w:tc>
          <w:tcPr>
            <w:tcW w:w="986" w:type="dxa"/>
            <w:vAlign w:val="bottom"/>
          </w:tcPr>
          <w:p w14:paraId="7298A257" w14:textId="11C9FD60" w:rsidR="005D4A88" w:rsidRPr="008F0791" w:rsidRDefault="005051D4" w:rsidP="008F0791">
            <w:pPr>
              <w:ind w:left="-203" w:firstLine="0"/>
              <w:jc w:val="right"/>
              <w:rPr>
                <w:sz w:val="28"/>
                <w:szCs w:val="28"/>
                <w:lang w:val="kk-KZ"/>
              </w:rPr>
            </w:pPr>
            <w:r>
              <w:rPr>
                <w:sz w:val="28"/>
                <w:szCs w:val="28"/>
                <w:lang w:val="kk-KZ"/>
              </w:rPr>
              <w:t>211</w:t>
            </w:r>
          </w:p>
        </w:tc>
      </w:tr>
    </w:tbl>
    <w:p w14:paraId="24B87B2E" w14:textId="77777777" w:rsidR="009545B3" w:rsidRPr="001B13C7" w:rsidRDefault="009545B3" w:rsidP="0013045C">
      <w:pPr>
        <w:pStyle w:val="af2"/>
        <w:spacing w:before="0" w:beforeAutospacing="0" w:after="0" w:afterAutospacing="0"/>
        <w:jc w:val="center"/>
        <w:rPr>
          <w:sz w:val="28"/>
          <w:szCs w:val="28"/>
          <w:lang w:val="kk-KZ"/>
        </w:rPr>
      </w:pPr>
    </w:p>
    <w:p w14:paraId="0D274DB4" w14:textId="77777777" w:rsidR="0013045C" w:rsidRDefault="0013045C">
      <w:pPr>
        <w:rPr>
          <w:rFonts w:ascii="Times New Roman" w:hAnsi="Times New Roman" w:cs="Times New Roman"/>
          <w:b/>
          <w:sz w:val="28"/>
          <w:szCs w:val="28"/>
        </w:rPr>
      </w:pPr>
    </w:p>
    <w:p w14:paraId="3B3E99AF" w14:textId="41739CA5" w:rsidR="009545B3" w:rsidRPr="009545B3" w:rsidRDefault="0067192C" w:rsidP="00B637C0">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76672" behindDoc="0" locked="0" layoutInCell="1" allowOverlap="1" wp14:anchorId="0B4D5058" wp14:editId="04B53484">
                <wp:simplePos x="0" y="0"/>
                <wp:positionH relativeFrom="column">
                  <wp:posOffset>5920740</wp:posOffset>
                </wp:positionH>
                <wp:positionV relativeFrom="paragraph">
                  <wp:posOffset>5663565</wp:posOffset>
                </wp:positionV>
                <wp:extent cx="276225" cy="342900"/>
                <wp:effectExtent l="0" t="0" r="28575" b="19050"/>
                <wp:wrapNone/>
                <wp:docPr id="126" name="Прямоугольник 126"/>
                <wp:cNvGraphicFramePr/>
                <a:graphic xmlns:a="http://schemas.openxmlformats.org/drawingml/2006/main">
                  <a:graphicData uri="http://schemas.microsoft.com/office/word/2010/wordprocessingShape">
                    <wps:wsp>
                      <wps:cNvSpPr/>
                      <wps:spPr>
                        <a:xfrm>
                          <a:off x="0" y="0"/>
                          <a:ext cx="276225" cy="342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FA1BE1" id="Прямоугольник 126" o:spid="_x0000_s1026" style="position:absolute;margin-left:466.2pt;margin-top:445.95pt;width:21.75pt;height:27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v+BugIAAMAFAAAOAAAAZHJzL2Uyb0RvYy54bWysVM1u2zAMvg/YOwi6r3a8tF2DOkWQIsOA&#10;oi3WDj0rshQbkCVNUuJkpwG7Ftgj7CF2GfbTZ3DeaJT8k64rdiiWgyKa5EfyE8njk3Up0IoZWyiZ&#10;4sFejBGTVGWFXKT43fXsxSuMrCMyI0JJluINs/hk/PzZcaVHLFG5EhkzCECkHVU6xblzehRFluas&#10;JHZPaSZByZUpiQPRLKLMkArQSxElcXwQVcpk2ijKrIWvp40SjwM+54y6C84tc0ikGHJz4TThnPsz&#10;Gh+T0cIQnRe0TYM8IYuSFBKC9lCnxBG0NMVfUGVBjbKKuz2qykhxXlAWaoBqBvGDaq5yolmoBcix&#10;uqfJ/j9Yer66NKjI4O2SA4wkKeGR6i/bj9vP9c/6bvup/lrf1T+2t/Wv+lv9HXkr4KzSdgSuV/rS&#10;tJKFqydgzU3p/6E0tA48b3qe2dohCh+Tw4Mk2ceIgurlMDmKwztEO2dtrHvNVIn8JcUGnjGwS1Zn&#10;1kFAMO1MfCyrRJHNCiGC4FuHTYVBKwKPPl8MfMLg8YeVkE9yBBjvGfn6m4rDzW0E83hCvmUc2PQ1&#10;hoRDH++SIZQy6QaNKicZa3Lcj+HXZdmlH3IOgB6ZQ3U9dgvQWTYgHXZTbGvvXVkYg945/ldijXPv&#10;ESIr6XrnspDKPAYgoKo2cmPfkdRQ41maq2wDvWZUM4RW01kBz3tGrLskBqYO5hM2ibuAgwtVpVi1&#10;N4xyZT489t3bwzCAFqMKpjjF9v2SGIaReCNhTI4Gw6Ef+yAM9w8TEMx9zfy+Ri7LqYKeGcDO0jRc&#10;vb0T3ZUbVd7Awpn4qKAikkLsFFNnOmHqmu0CK4uyySSYwahr4s7klaYe3LPq2/d6fUOMbnvcwXCc&#10;q27iyehBqze23lOqydIpXoQ52PHa8g1rIjROu9L8HrovB6vd4h3/BgAA//8DAFBLAwQUAAYACAAA&#10;ACEAxD/hEeAAAAALAQAADwAAAGRycy9kb3ducmV2LnhtbEyPwU7DMAyG70i8Q2QkbixdGWwpTSeE&#10;QAhpB9iQ4Oi1TlvRJFWTduXtMSe4fZZ//f6cb2fbiYmG0HqnYblIQJArfdW6WsP74elqAyJEdBV2&#10;3pGGbwqwLc7Pcswqf3JvNO1jLbjEhQw1NDH2mZShbMhiWPieHO+MHyxGHodaVgOeuNx2Mk2SW2mx&#10;dXyhwZ4eGiq/9qPV8Gnw+fD4EnbSpJNR7ev4Ydaj1pcX8/0diEhz/AvDrz6rQ8FORz+6KohOg7pO&#10;VxzVsFFLBYITan3DcGRYMcgil/9/KH4AAAD//wMAUEsBAi0AFAAGAAgAAAAhALaDOJL+AAAA4QEA&#10;ABMAAAAAAAAAAAAAAAAAAAAAAFtDb250ZW50X1R5cGVzXS54bWxQSwECLQAUAAYACAAAACEAOP0h&#10;/9YAAACUAQAACwAAAAAAAAAAAAAAAAAvAQAAX3JlbHMvLnJlbHNQSwECLQAUAAYACAAAACEA2rL/&#10;gboCAADABQAADgAAAAAAAAAAAAAAAAAuAgAAZHJzL2Uyb0RvYy54bWxQSwECLQAUAAYACAAAACEA&#10;xD/hEeAAAAALAQAADwAAAAAAAAAAAAAAAAAUBQAAZHJzL2Rvd25yZXYueG1sUEsFBgAAAAAEAAQA&#10;8wAAACEGAAAAAA==&#10;" fillcolor="white [3212]" strokecolor="white [3212]" strokeweight="1pt"/>
            </w:pict>
          </mc:Fallback>
        </mc:AlternateContent>
      </w:r>
      <w:r w:rsidR="009545B3">
        <w:rPr>
          <w:rFonts w:ascii="Times New Roman" w:hAnsi="Times New Roman" w:cs="Times New Roman"/>
          <w:b/>
          <w:sz w:val="28"/>
          <w:szCs w:val="28"/>
        </w:rPr>
        <w:br w:type="page"/>
      </w:r>
      <w:r w:rsidR="009545B3" w:rsidRPr="009545B3">
        <w:rPr>
          <w:rFonts w:ascii="Times New Roman" w:hAnsi="Times New Roman" w:cs="Times New Roman"/>
          <w:b/>
          <w:sz w:val="28"/>
          <w:szCs w:val="28"/>
        </w:rPr>
        <w:lastRenderedPageBreak/>
        <w:t>ОБОЗНАЧЕНИЯ И СОКРАЩЕНИЯ</w:t>
      </w:r>
    </w:p>
    <w:p w14:paraId="7ED4A4DF" w14:textId="77777777" w:rsidR="009545B3" w:rsidRDefault="009545B3" w:rsidP="00B637C0">
      <w:pPr>
        <w:spacing w:after="0" w:line="240" w:lineRule="auto"/>
        <w:rPr>
          <w:rFonts w:ascii="Times New Roman" w:hAnsi="Times New Roman" w:cs="Times New Roman"/>
          <w:b/>
          <w:sz w:val="28"/>
          <w:szCs w:val="28"/>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1"/>
        <w:gridCol w:w="7630"/>
      </w:tblGrid>
      <w:tr w:rsidR="00B637C0" w:rsidRPr="00B637C0" w14:paraId="7A284FE3" w14:textId="77777777" w:rsidTr="00B637C0">
        <w:tc>
          <w:tcPr>
            <w:tcW w:w="0" w:type="auto"/>
            <w:hideMark/>
          </w:tcPr>
          <w:p w14:paraId="48E2DB18" w14:textId="07257A53" w:rsidR="00B637C0" w:rsidRPr="00B637C0" w:rsidRDefault="00B637C0" w:rsidP="00B637C0">
            <w:pPr>
              <w:rPr>
                <w:rFonts w:ascii="Times New Roman" w:eastAsia="Times New Roman" w:hAnsi="Times New Roman" w:cs="Times New Roman"/>
                <w:sz w:val="28"/>
                <w:szCs w:val="28"/>
                <w:lang w:val="kk-KZ" w:eastAsia="ru-RU"/>
              </w:rPr>
            </w:pPr>
            <w:r w:rsidRPr="00B637C0">
              <w:rPr>
                <w:rFonts w:ascii="Times New Roman" w:eastAsia="Times New Roman" w:hAnsi="Times New Roman" w:cs="Times New Roman"/>
                <w:bCs/>
                <w:sz w:val="28"/>
                <w:szCs w:val="28"/>
                <w:lang w:eastAsia="ru-RU"/>
              </w:rPr>
              <w:t>БНС</w:t>
            </w:r>
            <w:r w:rsidRPr="00B637C0">
              <w:rPr>
                <w:rFonts w:ascii="Times New Roman" w:eastAsia="Times New Roman" w:hAnsi="Times New Roman" w:cs="Times New Roman"/>
                <w:bCs/>
                <w:sz w:val="28"/>
                <w:szCs w:val="28"/>
                <w:lang w:val="kk-KZ" w:eastAsia="ru-RU"/>
              </w:rPr>
              <w:t xml:space="preserve"> РК</w:t>
            </w:r>
          </w:p>
        </w:tc>
        <w:tc>
          <w:tcPr>
            <w:tcW w:w="0" w:type="auto"/>
            <w:hideMark/>
          </w:tcPr>
          <w:p w14:paraId="41FBF665"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Бюро национальной статистики Республики Казахстан</w:t>
            </w:r>
          </w:p>
        </w:tc>
      </w:tr>
      <w:tr w:rsidR="00B637C0" w:rsidRPr="00B637C0" w14:paraId="6974C389" w14:textId="77777777" w:rsidTr="00B637C0">
        <w:tc>
          <w:tcPr>
            <w:tcW w:w="0" w:type="auto"/>
            <w:hideMark/>
          </w:tcPr>
          <w:p w14:paraId="778DB770"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ГЧП</w:t>
            </w:r>
          </w:p>
        </w:tc>
        <w:tc>
          <w:tcPr>
            <w:tcW w:w="0" w:type="auto"/>
            <w:hideMark/>
          </w:tcPr>
          <w:p w14:paraId="12C34D2F"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государственно-частное партнёрство</w:t>
            </w:r>
          </w:p>
        </w:tc>
      </w:tr>
      <w:tr w:rsidR="00B637C0" w:rsidRPr="00B637C0" w14:paraId="72949DBA" w14:textId="77777777" w:rsidTr="00B637C0">
        <w:tc>
          <w:tcPr>
            <w:tcW w:w="0" w:type="auto"/>
            <w:hideMark/>
          </w:tcPr>
          <w:p w14:paraId="431E7EDA"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ИИ</w:t>
            </w:r>
          </w:p>
        </w:tc>
        <w:tc>
          <w:tcPr>
            <w:tcW w:w="0" w:type="auto"/>
            <w:hideMark/>
          </w:tcPr>
          <w:p w14:paraId="03F53F93"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искусственный интеллект</w:t>
            </w:r>
          </w:p>
        </w:tc>
      </w:tr>
      <w:tr w:rsidR="00B637C0" w:rsidRPr="00B637C0" w14:paraId="54467897" w14:textId="77777777" w:rsidTr="00B637C0">
        <w:tc>
          <w:tcPr>
            <w:tcW w:w="0" w:type="auto"/>
            <w:hideMark/>
          </w:tcPr>
          <w:p w14:paraId="4A73D2AB"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ИКТ</w:t>
            </w:r>
          </w:p>
        </w:tc>
        <w:tc>
          <w:tcPr>
            <w:tcW w:w="0" w:type="auto"/>
            <w:hideMark/>
          </w:tcPr>
          <w:p w14:paraId="5865CBC0"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информационно-коммуникационные технологии</w:t>
            </w:r>
          </w:p>
        </w:tc>
      </w:tr>
      <w:tr w:rsidR="00B637C0" w:rsidRPr="00B637C0" w14:paraId="7858C2E8" w14:textId="77777777" w:rsidTr="00B637C0">
        <w:tc>
          <w:tcPr>
            <w:tcW w:w="0" w:type="auto"/>
            <w:hideMark/>
          </w:tcPr>
          <w:p w14:paraId="2E8D0BA7"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ИП</w:t>
            </w:r>
          </w:p>
        </w:tc>
        <w:tc>
          <w:tcPr>
            <w:tcW w:w="0" w:type="auto"/>
            <w:hideMark/>
          </w:tcPr>
          <w:p w14:paraId="7404D47D"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инновационный потенциал</w:t>
            </w:r>
          </w:p>
        </w:tc>
      </w:tr>
      <w:tr w:rsidR="00B637C0" w:rsidRPr="00B637C0" w14:paraId="4F69B45A" w14:textId="77777777" w:rsidTr="00B637C0">
        <w:tc>
          <w:tcPr>
            <w:tcW w:w="0" w:type="auto"/>
            <w:hideMark/>
          </w:tcPr>
          <w:p w14:paraId="003A3619" w14:textId="39176CC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 xml:space="preserve">МНВО </w:t>
            </w:r>
          </w:p>
        </w:tc>
        <w:tc>
          <w:tcPr>
            <w:tcW w:w="0" w:type="auto"/>
            <w:hideMark/>
          </w:tcPr>
          <w:p w14:paraId="5439FB47" w14:textId="14631CCC"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 xml:space="preserve">Министерство науки и высшего образования </w:t>
            </w:r>
          </w:p>
        </w:tc>
      </w:tr>
      <w:tr w:rsidR="00B637C0" w:rsidRPr="00B637C0" w14:paraId="5C25DAA8" w14:textId="77777777" w:rsidTr="00B637C0">
        <w:tc>
          <w:tcPr>
            <w:tcW w:w="0" w:type="auto"/>
            <w:hideMark/>
          </w:tcPr>
          <w:p w14:paraId="2538B597"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МСП</w:t>
            </w:r>
          </w:p>
        </w:tc>
        <w:tc>
          <w:tcPr>
            <w:tcW w:w="0" w:type="auto"/>
            <w:hideMark/>
          </w:tcPr>
          <w:p w14:paraId="0B9B33FB"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малое и среднее предпринимательство</w:t>
            </w:r>
          </w:p>
        </w:tc>
      </w:tr>
      <w:tr w:rsidR="00B637C0" w:rsidRPr="00B637C0" w14:paraId="639E0202" w14:textId="77777777" w:rsidTr="00B637C0">
        <w:tc>
          <w:tcPr>
            <w:tcW w:w="0" w:type="auto"/>
            <w:hideMark/>
          </w:tcPr>
          <w:p w14:paraId="33423AE5" w14:textId="1D960C22" w:rsidR="00B637C0" w:rsidRPr="00B637C0" w:rsidRDefault="00691939" w:rsidP="00B637C0">
            <w:pP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МЦРИ</w:t>
            </w:r>
            <w:r w:rsidR="00B637C0" w:rsidRPr="00B637C0">
              <w:rPr>
                <w:rFonts w:ascii="Times New Roman" w:eastAsia="Times New Roman" w:hAnsi="Times New Roman" w:cs="Times New Roman"/>
                <w:bCs/>
                <w:sz w:val="28"/>
                <w:szCs w:val="28"/>
                <w:lang w:eastAsia="ru-RU"/>
              </w:rPr>
              <w:t xml:space="preserve"> </w:t>
            </w:r>
          </w:p>
        </w:tc>
        <w:tc>
          <w:tcPr>
            <w:tcW w:w="0" w:type="auto"/>
            <w:hideMark/>
          </w:tcPr>
          <w:p w14:paraId="0EDA3132" w14:textId="695DF1E8" w:rsidR="00B637C0" w:rsidRPr="00B637C0" w:rsidRDefault="00B637C0" w:rsidP="00691939">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М</w:t>
            </w:r>
            <w:r w:rsidR="00691939">
              <w:rPr>
                <w:rFonts w:ascii="Times New Roman" w:eastAsia="Times New Roman" w:hAnsi="Times New Roman" w:cs="Times New Roman"/>
                <w:sz w:val="28"/>
                <w:szCs w:val="28"/>
                <w:lang w:eastAsia="ru-RU"/>
              </w:rPr>
              <w:t>инистерство цифрового развития</w:t>
            </w:r>
            <w:r w:rsidR="00691939">
              <w:rPr>
                <w:rFonts w:ascii="Times New Roman" w:eastAsia="Times New Roman" w:hAnsi="Times New Roman" w:cs="Times New Roman"/>
                <w:sz w:val="28"/>
                <w:szCs w:val="28"/>
                <w:lang w:val="kk-KZ" w:eastAsia="ru-RU"/>
              </w:rPr>
              <w:t xml:space="preserve"> и </w:t>
            </w:r>
            <w:r w:rsidRPr="00B637C0">
              <w:rPr>
                <w:rFonts w:ascii="Times New Roman" w:eastAsia="Times New Roman" w:hAnsi="Times New Roman" w:cs="Times New Roman"/>
                <w:sz w:val="28"/>
                <w:szCs w:val="28"/>
                <w:lang w:eastAsia="ru-RU"/>
              </w:rPr>
              <w:t xml:space="preserve">инноваций </w:t>
            </w:r>
          </w:p>
        </w:tc>
      </w:tr>
      <w:tr w:rsidR="00B637C0" w:rsidRPr="00B637C0" w14:paraId="5CC96DED" w14:textId="77777777" w:rsidTr="00B637C0">
        <w:tc>
          <w:tcPr>
            <w:tcW w:w="0" w:type="auto"/>
            <w:hideMark/>
          </w:tcPr>
          <w:p w14:paraId="3FC0056E"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НИИ</w:t>
            </w:r>
          </w:p>
        </w:tc>
        <w:tc>
          <w:tcPr>
            <w:tcW w:w="0" w:type="auto"/>
            <w:hideMark/>
          </w:tcPr>
          <w:p w14:paraId="449D2CB8"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научно-исследовательский институт</w:t>
            </w:r>
          </w:p>
        </w:tc>
      </w:tr>
      <w:tr w:rsidR="00B637C0" w:rsidRPr="00B637C0" w14:paraId="62FFED36" w14:textId="77777777" w:rsidTr="00B637C0">
        <w:tc>
          <w:tcPr>
            <w:tcW w:w="0" w:type="auto"/>
            <w:hideMark/>
          </w:tcPr>
          <w:p w14:paraId="368B0A32"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НИОКР</w:t>
            </w:r>
          </w:p>
        </w:tc>
        <w:tc>
          <w:tcPr>
            <w:tcW w:w="0" w:type="auto"/>
            <w:hideMark/>
          </w:tcPr>
          <w:p w14:paraId="0F12E5A0"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научно-исследовательские и опытно-конструкторские работы</w:t>
            </w:r>
          </w:p>
        </w:tc>
      </w:tr>
      <w:tr w:rsidR="00B637C0" w:rsidRPr="00B637C0" w14:paraId="5F23FC25" w14:textId="77777777" w:rsidTr="00B637C0">
        <w:tc>
          <w:tcPr>
            <w:tcW w:w="0" w:type="auto"/>
            <w:hideMark/>
          </w:tcPr>
          <w:p w14:paraId="0F3C1267"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ОЭСР</w:t>
            </w:r>
          </w:p>
        </w:tc>
        <w:tc>
          <w:tcPr>
            <w:tcW w:w="0" w:type="auto"/>
            <w:hideMark/>
          </w:tcPr>
          <w:p w14:paraId="0E9AAE78"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Организация экономического сотрудничества и развития</w:t>
            </w:r>
          </w:p>
        </w:tc>
      </w:tr>
      <w:tr w:rsidR="00B637C0" w:rsidRPr="00B637C0" w14:paraId="0BE9CB25" w14:textId="77777777" w:rsidTr="00B637C0">
        <w:tc>
          <w:tcPr>
            <w:tcW w:w="0" w:type="auto"/>
            <w:hideMark/>
          </w:tcPr>
          <w:p w14:paraId="3CCA962D"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ЦКП</w:t>
            </w:r>
          </w:p>
        </w:tc>
        <w:tc>
          <w:tcPr>
            <w:tcW w:w="0" w:type="auto"/>
            <w:hideMark/>
          </w:tcPr>
          <w:p w14:paraId="42EFFDD6"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центр коллективного пользования</w:t>
            </w:r>
          </w:p>
        </w:tc>
      </w:tr>
      <w:tr w:rsidR="00B637C0" w:rsidRPr="00B637C0" w14:paraId="0EA46748" w14:textId="77777777" w:rsidTr="00B637C0">
        <w:tc>
          <w:tcPr>
            <w:tcW w:w="0" w:type="auto"/>
            <w:hideMark/>
          </w:tcPr>
          <w:p w14:paraId="1A436F86"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AIC</w:t>
            </w:r>
          </w:p>
        </w:tc>
        <w:tc>
          <w:tcPr>
            <w:tcW w:w="0" w:type="auto"/>
            <w:hideMark/>
          </w:tcPr>
          <w:p w14:paraId="281A2905" w14:textId="6CA64A10" w:rsidR="00B637C0" w:rsidRPr="00B637C0" w:rsidRDefault="00B637C0" w:rsidP="00B637C0">
            <w:pPr>
              <w:rPr>
                <w:rFonts w:ascii="Times New Roman" w:eastAsia="Times New Roman" w:hAnsi="Times New Roman" w:cs="Times New Roman"/>
                <w:sz w:val="28"/>
                <w:szCs w:val="28"/>
                <w:lang w:val="en-US" w:eastAsia="ru-RU"/>
              </w:rPr>
            </w:pPr>
            <w:r w:rsidRPr="00B637C0">
              <w:rPr>
                <w:rFonts w:ascii="Times New Roman" w:eastAsia="Times New Roman" w:hAnsi="Times New Roman" w:cs="Times New Roman"/>
                <w:sz w:val="28"/>
                <w:szCs w:val="28"/>
                <w:lang w:val="en-US" w:eastAsia="ru-RU"/>
              </w:rPr>
              <w:t xml:space="preserve">Akaike Information Criterion </w:t>
            </w:r>
          </w:p>
        </w:tc>
      </w:tr>
      <w:tr w:rsidR="00B637C0" w:rsidRPr="00B637C0" w14:paraId="61CD359E" w14:textId="77777777" w:rsidTr="00B637C0">
        <w:tc>
          <w:tcPr>
            <w:tcW w:w="0" w:type="auto"/>
            <w:hideMark/>
          </w:tcPr>
          <w:p w14:paraId="541AED0D"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AI</w:t>
            </w:r>
          </w:p>
        </w:tc>
        <w:tc>
          <w:tcPr>
            <w:tcW w:w="0" w:type="auto"/>
            <w:hideMark/>
          </w:tcPr>
          <w:p w14:paraId="2804F8E5" w14:textId="7BD66968"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 xml:space="preserve">Artificial Intelligence </w:t>
            </w:r>
          </w:p>
        </w:tc>
      </w:tr>
      <w:tr w:rsidR="00B637C0" w:rsidRPr="00B637C0" w14:paraId="6CC9B675" w14:textId="77777777" w:rsidTr="00B637C0">
        <w:tc>
          <w:tcPr>
            <w:tcW w:w="0" w:type="auto"/>
            <w:hideMark/>
          </w:tcPr>
          <w:p w14:paraId="188ED2BB"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API</w:t>
            </w:r>
          </w:p>
        </w:tc>
        <w:tc>
          <w:tcPr>
            <w:tcW w:w="0" w:type="auto"/>
            <w:hideMark/>
          </w:tcPr>
          <w:p w14:paraId="3A370BBA" w14:textId="4DE8C673" w:rsidR="00B637C0" w:rsidRPr="00B637C0" w:rsidRDefault="00B637C0" w:rsidP="00B637C0">
            <w:pPr>
              <w:rPr>
                <w:rFonts w:ascii="Times New Roman" w:eastAsia="Times New Roman" w:hAnsi="Times New Roman" w:cs="Times New Roman"/>
                <w:sz w:val="28"/>
                <w:szCs w:val="28"/>
                <w:lang w:val="en-US" w:eastAsia="ru-RU"/>
              </w:rPr>
            </w:pPr>
            <w:r w:rsidRPr="00B637C0">
              <w:rPr>
                <w:rFonts w:ascii="Times New Roman" w:eastAsia="Times New Roman" w:hAnsi="Times New Roman" w:cs="Times New Roman"/>
                <w:sz w:val="28"/>
                <w:szCs w:val="28"/>
                <w:lang w:val="en-US" w:eastAsia="ru-RU"/>
              </w:rPr>
              <w:t xml:space="preserve">Application Programming Interface </w:t>
            </w:r>
          </w:p>
        </w:tc>
      </w:tr>
      <w:tr w:rsidR="00B637C0" w:rsidRPr="00B637C0" w14:paraId="22FAB862" w14:textId="77777777" w:rsidTr="00B637C0">
        <w:tc>
          <w:tcPr>
            <w:tcW w:w="0" w:type="auto"/>
            <w:hideMark/>
          </w:tcPr>
          <w:p w14:paraId="1169A92F"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BIC</w:t>
            </w:r>
          </w:p>
        </w:tc>
        <w:tc>
          <w:tcPr>
            <w:tcW w:w="0" w:type="auto"/>
            <w:hideMark/>
          </w:tcPr>
          <w:p w14:paraId="1D8C1B29" w14:textId="25484831"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 xml:space="preserve">Bayesian Information Criterion </w:t>
            </w:r>
          </w:p>
        </w:tc>
      </w:tr>
      <w:tr w:rsidR="00B637C0" w:rsidRPr="00B637C0" w14:paraId="2BCCD67C" w14:textId="77777777" w:rsidTr="00B637C0">
        <w:tc>
          <w:tcPr>
            <w:tcW w:w="0" w:type="auto"/>
            <w:hideMark/>
          </w:tcPr>
          <w:p w14:paraId="07803BD5"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CFA</w:t>
            </w:r>
          </w:p>
        </w:tc>
        <w:tc>
          <w:tcPr>
            <w:tcW w:w="0" w:type="auto"/>
            <w:hideMark/>
          </w:tcPr>
          <w:p w14:paraId="5D83FEA5" w14:textId="0466B9F1"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 xml:space="preserve">Confirmatory Factor Analysis </w:t>
            </w:r>
          </w:p>
        </w:tc>
      </w:tr>
      <w:tr w:rsidR="00B637C0" w:rsidRPr="00B637C0" w14:paraId="0A0BF3AA" w14:textId="77777777" w:rsidTr="00B637C0">
        <w:tc>
          <w:tcPr>
            <w:tcW w:w="0" w:type="auto"/>
            <w:hideMark/>
          </w:tcPr>
          <w:p w14:paraId="6C4D2504"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CFI</w:t>
            </w:r>
          </w:p>
        </w:tc>
        <w:tc>
          <w:tcPr>
            <w:tcW w:w="0" w:type="auto"/>
            <w:hideMark/>
          </w:tcPr>
          <w:p w14:paraId="6691FFB7" w14:textId="7C8745A8"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 xml:space="preserve">Comparative Fit Index </w:t>
            </w:r>
          </w:p>
        </w:tc>
      </w:tr>
      <w:tr w:rsidR="00B637C0" w:rsidRPr="00B637C0" w14:paraId="446A162F" w14:textId="77777777" w:rsidTr="00B637C0">
        <w:tc>
          <w:tcPr>
            <w:tcW w:w="0" w:type="auto"/>
            <w:hideMark/>
          </w:tcPr>
          <w:p w14:paraId="078F6E9E"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CRM</w:t>
            </w:r>
          </w:p>
        </w:tc>
        <w:tc>
          <w:tcPr>
            <w:tcW w:w="0" w:type="auto"/>
            <w:hideMark/>
          </w:tcPr>
          <w:p w14:paraId="24935D2C" w14:textId="657C18DA"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 xml:space="preserve">Customer Relationship Management </w:t>
            </w:r>
          </w:p>
        </w:tc>
      </w:tr>
      <w:tr w:rsidR="00B637C0" w:rsidRPr="001D4931" w14:paraId="3D590692" w14:textId="77777777" w:rsidTr="00B637C0">
        <w:tc>
          <w:tcPr>
            <w:tcW w:w="0" w:type="auto"/>
            <w:hideMark/>
          </w:tcPr>
          <w:p w14:paraId="34E1E191"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DARPA</w:t>
            </w:r>
          </w:p>
        </w:tc>
        <w:tc>
          <w:tcPr>
            <w:tcW w:w="0" w:type="auto"/>
            <w:hideMark/>
          </w:tcPr>
          <w:p w14:paraId="58973F02" w14:textId="77777777" w:rsidR="00B637C0" w:rsidRPr="00B637C0" w:rsidRDefault="00B637C0" w:rsidP="00B637C0">
            <w:pPr>
              <w:rPr>
                <w:rFonts w:ascii="Times New Roman" w:eastAsia="Times New Roman" w:hAnsi="Times New Roman" w:cs="Times New Roman"/>
                <w:sz w:val="28"/>
                <w:szCs w:val="28"/>
                <w:lang w:val="en-US" w:eastAsia="ru-RU"/>
              </w:rPr>
            </w:pPr>
            <w:r w:rsidRPr="00B637C0">
              <w:rPr>
                <w:rFonts w:ascii="Times New Roman" w:eastAsia="Times New Roman" w:hAnsi="Times New Roman" w:cs="Times New Roman"/>
                <w:sz w:val="28"/>
                <w:szCs w:val="28"/>
                <w:lang w:val="en-US" w:eastAsia="ru-RU"/>
              </w:rPr>
              <w:t>Defense Advanced Research Projects Agency</w:t>
            </w:r>
          </w:p>
        </w:tc>
      </w:tr>
      <w:tr w:rsidR="00B637C0" w:rsidRPr="00B637C0" w14:paraId="4A61C13A" w14:textId="77777777" w:rsidTr="00B637C0">
        <w:tc>
          <w:tcPr>
            <w:tcW w:w="0" w:type="auto"/>
            <w:hideMark/>
          </w:tcPr>
          <w:p w14:paraId="125CCE52"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EFA</w:t>
            </w:r>
          </w:p>
        </w:tc>
        <w:tc>
          <w:tcPr>
            <w:tcW w:w="0" w:type="auto"/>
            <w:hideMark/>
          </w:tcPr>
          <w:p w14:paraId="0D63D7FD" w14:textId="21C77B1D"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 xml:space="preserve">Exploratory Factor Analysis </w:t>
            </w:r>
          </w:p>
        </w:tc>
      </w:tr>
      <w:tr w:rsidR="00B637C0" w:rsidRPr="00B637C0" w14:paraId="44E92576" w14:textId="77777777" w:rsidTr="00B637C0">
        <w:tc>
          <w:tcPr>
            <w:tcW w:w="0" w:type="auto"/>
            <w:hideMark/>
          </w:tcPr>
          <w:p w14:paraId="233EB061"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EGDI</w:t>
            </w:r>
          </w:p>
        </w:tc>
        <w:tc>
          <w:tcPr>
            <w:tcW w:w="0" w:type="auto"/>
            <w:hideMark/>
          </w:tcPr>
          <w:p w14:paraId="370138B4" w14:textId="2C957B48"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E-Government Development Index</w:t>
            </w:r>
          </w:p>
        </w:tc>
      </w:tr>
      <w:tr w:rsidR="00B637C0" w:rsidRPr="00B637C0" w14:paraId="402E0C24" w14:textId="77777777" w:rsidTr="00B637C0">
        <w:tc>
          <w:tcPr>
            <w:tcW w:w="0" w:type="auto"/>
            <w:hideMark/>
          </w:tcPr>
          <w:p w14:paraId="3F4EF210"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ERP</w:t>
            </w:r>
          </w:p>
        </w:tc>
        <w:tc>
          <w:tcPr>
            <w:tcW w:w="0" w:type="auto"/>
            <w:hideMark/>
          </w:tcPr>
          <w:p w14:paraId="52A9339E" w14:textId="28BEF810"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 xml:space="preserve">Enterprise Resource Planning </w:t>
            </w:r>
          </w:p>
        </w:tc>
      </w:tr>
      <w:tr w:rsidR="00B637C0" w:rsidRPr="00B637C0" w14:paraId="4E21651D" w14:textId="77777777" w:rsidTr="00B637C0">
        <w:tc>
          <w:tcPr>
            <w:tcW w:w="0" w:type="auto"/>
            <w:hideMark/>
          </w:tcPr>
          <w:p w14:paraId="41948F74"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ESG</w:t>
            </w:r>
          </w:p>
        </w:tc>
        <w:tc>
          <w:tcPr>
            <w:tcW w:w="0" w:type="auto"/>
            <w:hideMark/>
          </w:tcPr>
          <w:p w14:paraId="7B502ED4" w14:textId="1D263B05"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 xml:space="preserve">Environmental, Social and Governance </w:t>
            </w:r>
          </w:p>
        </w:tc>
      </w:tr>
      <w:tr w:rsidR="00B637C0" w:rsidRPr="00B637C0" w14:paraId="674FF807" w14:textId="77777777" w:rsidTr="00B637C0">
        <w:tc>
          <w:tcPr>
            <w:tcW w:w="0" w:type="auto"/>
            <w:hideMark/>
          </w:tcPr>
          <w:p w14:paraId="7230EB2A"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HR</w:t>
            </w:r>
          </w:p>
        </w:tc>
        <w:tc>
          <w:tcPr>
            <w:tcW w:w="0" w:type="auto"/>
            <w:hideMark/>
          </w:tcPr>
          <w:p w14:paraId="59BA9E19" w14:textId="4E50791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 xml:space="preserve">Human Resources </w:t>
            </w:r>
          </w:p>
        </w:tc>
      </w:tr>
      <w:tr w:rsidR="00B637C0" w:rsidRPr="00B637C0" w14:paraId="56FCC38E" w14:textId="77777777" w:rsidTr="00B637C0">
        <w:tc>
          <w:tcPr>
            <w:tcW w:w="0" w:type="auto"/>
            <w:hideMark/>
          </w:tcPr>
          <w:p w14:paraId="01EB014F"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LCA</w:t>
            </w:r>
          </w:p>
        </w:tc>
        <w:tc>
          <w:tcPr>
            <w:tcW w:w="0" w:type="auto"/>
            <w:hideMark/>
          </w:tcPr>
          <w:p w14:paraId="2F9DE23B" w14:textId="3D94984A"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 xml:space="preserve">Latent Class Analysis </w:t>
            </w:r>
          </w:p>
        </w:tc>
      </w:tr>
      <w:tr w:rsidR="00B637C0" w:rsidRPr="00B637C0" w14:paraId="455A9B84" w14:textId="77777777" w:rsidTr="00B637C0">
        <w:tc>
          <w:tcPr>
            <w:tcW w:w="0" w:type="auto"/>
            <w:hideMark/>
          </w:tcPr>
          <w:p w14:paraId="39E7126D"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MES</w:t>
            </w:r>
          </w:p>
        </w:tc>
        <w:tc>
          <w:tcPr>
            <w:tcW w:w="0" w:type="auto"/>
            <w:hideMark/>
          </w:tcPr>
          <w:p w14:paraId="70BAB264" w14:textId="0A3B806C"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 xml:space="preserve">Manufacturing Execution System </w:t>
            </w:r>
          </w:p>
        </w:tc>
      </w:tr>
      <w:tr w:rsidR="00B637C0" w:rsidRPr="00B637C0" w14:paraId="4052AE73" w14:textId="77777777" w:rsidTr="00B637C0">
        <w:tc>
          <w:tcPr>
            <w:tcW w:w="0" w:type="auto"/>
            <w:hideMark/>
          </w:tcPr>
          <w:p w14:paraId="400CF417"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ML</w:t>
            </w:r>
          </w:p>
        </w:tc>
        <w:tc>
          <w:tcPr>
            <w:tcW w:w="0" w:type="auto"/>
            <w:hideMark/>
          </w:tcPr>
          <w:p w14:paraId="4BFCE7BA" w14:textId="24376E9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 xml:space="preserve">Machine Learning </w:t>
            </w:r>
          </w:p>
        </w:tc>
      </w:tr>
      <w:tr w:rsidR="00B637C0" w:rsidRPr="00B637C0" w14:paraId="1CE3FB33" w14:textId="77777777" w:rsidTr="00B637C0">
        <w:tc>
          <w:tcPr>
            <w:tcW w:w="0" w:type="auto"/>
            <w:hideMark/>
          </w:tcPr>
          <w:p w14:paraId="75C382DD"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NRI</w:t>
            </w:r>
          </w:p>
        </w:tc>
        <w:tc>
          <w:tcPr>
            <w:tcW w:w="0" w:type="auto"/>
            <w:hideMark/>
          </w:tcPr>
          <w:p w14:paraId="68804BAC" w14:textId="6653D998"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 xml:space="preserve">Network Readiness Index </w:t>
            </w:r>
          </w:p>
        </w:tc>
      </w:tr>
      <w:tr w:rsidR="00B637C0" w:rsidRPr="00B637C0" w14:paraId="2B19D103" w14:textId="77777777" w:rsidTr="00B637C0">
        <w:tc>
          <w:tcPr>
            <w:tcW w:w="0" w:type="auto"/>
            <w:hideMark/>
          </w:tcPr>
          <w:p w14:paraId="62D3DB98"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OJT</w:t>
            </w:r>
          </w:p>
        </w:tc>
        <w:tc>
          <w:tcPr>
            <w:tcW w:w="0" w:type="auto"/>
            <w:hideMark/>
          </w:tcPr>
          <w:p w14:paraId="749C4BEE" w14:textId="16D2257C"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 xml:space="preserve">On-the-Job Training </w:t>
            </w:r>
          </w:p>
        </w:tc>
      </w:tr>
      <w:tr w:rsidR="00B637C0" w:rsidRPr="00B637C0" w14:paraId="1AD35CFF" w14:textId="77777777" w:rsidTr="00B637C0">
        <w:tc>
          <w:tcPr>
            <w:tcW w:w="0" w:type="auto"/>
            <w:hideMark/>
          </w:tcPr>
          <w:p w14:paraId="18743B21"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RPA</w:t>
            </w:r>
          </w:p>
        </w:tc>
        <w:tc>
          <w:tcPr>
            <w:tcW w:w="0" w:type="auto"/>
            <w:hideMark/>
          </w:tcPr>
          <w:p w14:paraId="3E0D2F10" w14:textId="53063CD8"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 xml:space="preserve">Robotic Process Automation </w:t>
            </w:r>
          </w:p>
        </w:tc>
      </w:tr>
      <w:tr w:rsidR="00B637C0" w:rsidRPr="001D4931" w14:paraId="2FA88CD8" w14:textId="77777777" w:rsidTr="00B637C0">
        <w:tc>
          <w:tcPr>
            <w:tcW w:w="0" w:type="auto"/>
            <w:hideMark/>
          </w:tcPr>
          <w:p w14:paraId="39A3507E"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RMSEA</w:t>
            </w:r>
          </w:p>
        </w:tc>
        <w:tc>
          <w:tcPr>
            <w:tcW w:w="0" w:type="auto"/>
            <w:hideMark/>
          </w:tcPr>
          <w:p w14:paraId="4953D1E8" w14:textId="78E7C3AB" w:rsidR="00B637C0" w:rsidRPr="00B637C0" w:rsidRDefault="00B637C0" w:rsidP="00B637C0">
            <w:pPr>
              <w:rPr>
                <w:rFonts w:ascii="Times New Roman" w:eastAsia="Times New Roman" w:hAnsi="Times New Roman" w:cs="Times New Roman"/>
                <w:sz w:val="28"/>
                <w:szCs w:val="28"/>
                <w:lang w:val="en-US" w:eastAsia="ru-RU"/>
              </w:rPr>
            </w:pPr>
            <w:r w:rsidRPr="00B637C0">
              <w:rPr>
                <w:rFonts w:ascii="Times New Roman" w:eastAsia="Times New Roman" w:hAnsi="Times New Roman" w:cs="Times New Roman"/>
                <w:sz w:val="28"/>
                <w:szCs w:val="28"/>
                <w:lang w:val="en-US" w:eastAsia="ru-RU"/>
              </w:rPr>
              <w:t>Root Mean Square Error of Approximation</w:t>
            </w:r>
          </w:p>
        </w:tc>
      </w:tr>
      <w:tr w:rsidR="00B637C0" w:rsidRPr="00B637C0" w14:paraId="5B905FDE" w14:textId="77777777" w:rsidTr="00B637C0">
        <w:tc>
          <w:tcPr>
            <w:tcW w:w="0" w:type="auto"/>
            <w:hideMark/>
          </w:tcPr>
          <w:p w14:paraId="703012F5"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SEM</w:t>
            </w:r>
          </w:p>
        </w:tc>
        <w:tc>
          <w:tcPr>
            <w:tcW w:w="0" w:type="auto"/>
            <w:hideMark/>
          </w:tcPr>
          <w:p w14:paraId="7F542EB2" w14:textId="7685AF60"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 xml:space="preserve">Structural Equation Modeling </w:t>
            </w:r>
          </w:p>
        </w:tc>
      </w:tr>
      <w:tr w:rsidR="00B637C0" w:rsidRPr="001D4931" w14:paraId="3C907BB7" w14:textId="77777777" w:rsidTr="00B637C0">
        <w:tc>
          <w:tcPr>
            <w:tcW w:w="0" w:type="auto"/>
            <w:hideMark/>
          </w:tcPr>
          <w:p w14:paraId="4CBAB591"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SRMR</w:t>
            </w:r>
          </w:p>
        </w:tc>
        <w:tc>
          <w:tcPr>
            <w:tcW w:w="0" w:type="auto"/>
            <w:hideMark/>
          </w:tcPr>
          <w:p w14:paraId="31D4676D" w14:textId="43C98E50" w:rsidR="00B637C0" w:rsidRPr="009D2F87" w:rsidRDefault="00B637C0" w:rsidP="00B637C0">
            <w:pPr>
              <w:rPr>
                <w:rFonts w:ascii="Times New Roman" w:eastAsia="Times New Roman" w:hAnsi="Times New Roman" w:cs="Times New Roman"/>
                <w:sz w:val="28"/>
                <w:szCs w:val="28"/>
                <w:lang w:val="en-US" w:eastAsia="ru-RU"/>
              </w:rPr>
            </w:pPr>
            <w:r w:rsidRPr="009D2F87">
              <w:rPr>
                <w:rFonts w:ascii="Times New Roman" w:eastAsia="Times New Roman" w:hAnsi="Times New Roman" w:cs="Times New Roman"/>
                <w:sz w:val="28"/>
                <w:szCs w:val="28"/>
                <w:lang w:val="en-US" w:eastAsia="ru-RU"/>
              </w:rPr>
              <w:t xml:space="preserve">Standardized Root Mean Square Residual </w:t>
            </w:r>
          </w:p>
        </w:tc>
      </w:tr>
      <w:tr w:rsidR="00B637C0" w:rsidRPr="00B637C0" w14:paraId="3FBF4CA7" w14:textId="77777777" w:rsidTr="00B637C0">
        <w:tc>
          <w:tcPr>
            <w:tcW w:w="0" w:type="auto"/>
            <w:hideMark/>
          </w:tcPr>
          <w:p w14:paraId="0DE70163" w14:textId="77777777"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bCs/>
                <w:sz w:val="28"/>
                <w:szCs w:val="28"/>
                <w:lang w:eastAsia="ru-RU"/>
              </w:rPr>
              <w:t>TLI</w:t>
            </w:r>
          </w:p>
        </w:tc>
        <w:tc>
          <w:tcPr>
            <w:tcW w:w="0" w:type="auto"/>
            <w:hideMark/>
          </w:tcPr>
          <w:p w14:paraId="722CE7A3" w14:textId="5F386EEE" w:rsidR="00B637C0" w:rsidRPr="00B637C0" w:rsidRDefault="00B637C0" w:rsidP="00B637C0">
            <w:pPr>
              <w:rPr>
                <w:rFonts w:ascii="Times New Roman" w:eastAsia="Times New Roman" w:hAnsi="Times New Roman" w:cs="Times New Roman"/>
                <w:sz w:val="28"/>
                <w:szCs w:val="28"/>
                <w:lang w:eastAsia="ru-RU"/>
              </w:rPr>
            </w:pPr>
            <w:r w:rsidRPr="00B637C0">
              <w:rPr>
                <w:rFonts w:ascii="Times New Roman" w:eastAsia="Times New Roman" w:hAnsi="Times New Roman" w:cs="Times New Roman"/>
                <w:sz w:val="28"/>
                <w:szCs w:val="28"/>
                <w:lang w:eastAsia="ru-RU"/>
              </w:rPr>
              <w:t xml:space="preserve">Tucker–Lewis Index </w:t>
            </w:r>
          </w:p>
        </w:tc>
      </w:tr>
    </w:tbl>
    <w:p w14:paraId="5EF3CE88" w14:textId="3201B3BD" w:rsidR="009545B3" w:rsidRPr="00B637C0" w:rsidRDefault="009545B3" w:rsidP="00B637C0">
      <w:pPr>
        <w:spacing w:after="0" w:line="240" w:lineRule="auto"/>
        <w:rPr>
          <w:rFonts w:ascii="Times New Roman" w:hAnsi="Times New Roman" w:cs="Times New Roman"/>
          <w:b/>
          <w:sz w:val="28"/>
          <w:szCs w:val="28"/>
        </w:rPr>
      </w:pPr>
    </w:p>
    <w:p w14:paraId="625F0650" w14:textId="5A87A482" w:rsidR="00D07F44" w:rsidRPr="009C1AB2" w:rsidRDefault="00D07F44" w:rsidP="00D07F44">
      <w:pPr>
        <w:pStyle w:val="11"/>
        <w:spacing w:before="0"/>
      </w:pPr>
      <w:r>
        <w:rPr>
          <w:b w:val="0"/>
        </w:rPr>
        <w:br w:type="page"/>
      </w:r>
      <w:r w:rsidRPr="009C1AB2">
        <w:lastRenderedPageBreak/>
        <w:t>ВВЕДЕНИЕ</w:t>
      </w:r>
    </w:p>
    <w:p w14:paraId="72821B4D" w14:textId="77777777" w:rsidR="00D07F44" w:rsidRPr="009C1AB2" w:rsidRDefault="00D07F44" w:rsidP="00D07F44">
      <w:pPr>
        <w:spacing w:after="0" w:line="240" w:lineRule="auto"/>
        <w:jc w:val="center"/>
        <w:rPr>
          <w:rFonts w:ascii="Times New Roman" w:hAnsi="Times New Roman" w:cs="Times New Roman"/>
          <w:sz w:val="28"/>
          <w:szCs w:val="28"/>
        </w:rPr>
      </w:pPr>
    </w:p>
    <w:p w14:paraId="700FAA34" w14:textId="651C74A6" w:rsidR="00433083" w:rsidRPr="00433083" w:rsidRDefault="00D07F44" w:rsidP="00433083">
      <w:pPr>
        <w:spacing w:after="0" w:line="240" w:lineRule="auto"/>
        <w:ind w:firstLine="567"/>
        <w:jc w:val="both"/>
        <w:rPr>
          <w:rFonts w:ascii="Times New Roman" w:hAnsi="Times New Roman" w:cs="Times New Roman"/>
          <w:sz w:val="28"/>
          <w:szCs w:val="28"/>
        </w:rPr>
      </w:pPr>
      <w:r w:rsidRPr="00F32E1D">
        <w:rPr>
          <w:rFonts w:ascii="Times New Roman" w:hAnsi="Times New Roman" w:cs="Times New Roman"/>
          <w:b/>
          <w:sz w:val="28"/>
          <w:szCs w:val="28"/>
        </w:rPr>
        <w:t>Общая характеристика работы.</w:t>
      </w:r>
      <w:r w:rsidRPr="009C1AB2">
        <w:rPr>
          <w:rFonts w:ascii="Times New Roman" w:hAnsi="Times New Roman" w:cs="Times New Roman"/>
          <w:i/>
          <w:sz w:val="28"/>
          <w:szCs w:val="28"/>
        </w:rPr>
        <w:t xml:space="preserve"> </w:t>
      </w:r>
      <w:r w:rsidR="00433083" w:rsidRPr="00433083">
        <w:rPr>
          <w:rFonts w:ascii="Times New Roman" w:hAnsi="Times New Roman" w:cs="Times New Roman"/>
          <w:sz w:val="28"/>
          <w:szCs w:val="28"/>
        </w:rPr>
        <w:t xml:space="preserve">Современная экономика характеризуется ускоряющейся цифровизацией, усложнением технологических процессов и ростом требований к инновационной устойчивости предприятий. В этих условиях ключевым фактором конкурентоспособности становится инновационный потенциал, представляющий собой интегрированную систему ресурсов, компетенций, институциональных условий и цифровых возможностей, обеспечивающих воспроизводство инноваций. </w:t>
      </w:r>
      <w:r w:rsidR="008E2AA2" w:rsidRPr="008E2AA2">
        <w:rPr>
          <w:rFonts w:ascii="Times New Roman" w:hAnsi="Times New Roman" w:cs="Times New Roman"/>
          <w:sz w:val="28"/>
          <w:szCs w:val="28"/>
        </w:rPr>
        <w:t>Формирование эффективного инновационного потенциала предпринимательских структур является ключевой задачей национальной экономической политики, отражающей стремление Казахстана к переходу на новую технологическую траекторию развития, повышению производительности, расширению научно-инновационного взаимодействия и укреплению позиций страны в глобальной экономике.</w:t>
      </w:r>
    </w:p>
    <w:p w14:paraId="045E5CED" w14:textId="314ADAA5" w:rsidR="00D07F44" w:rsidRPr="009C1AB2" w:rsidRDefault="00433083" w:rsidP="00433083">
      <w:pPr>
        <w:spacing w:after="0" w:line="240" w:lineRule="auto"/>
        <w:ind w:firstLine="567"/>
        <w:jc w:val="both"/>
        <w:rPr>
          <w:rFonts w:ascii="Times New Roman" w:hAnsi="Times New Roman" w:cs="Times New Roman"/>
          <w:sz w:val="28"/>
          <w:szCs w:val="28"/>
        </w:rPr>
      </w:pPr>
      <w:r w:rsidRPr="00433083">
        <w:rPr>
          <w:rFonts w:ascii="Times New Roman" w:hAnsi="Times New Roman" w:cs="Times New Roman"/>
          <w:sz w:val="28"/>
          <w:szCs w:val="28"/>
        </w:rPr>
        <w:t>Диссертационная работа посвящена разработке теоретических, методологических и практических основ проектирования инновационного потенциала предпринимательских структур в условиях цифровой трансформации экономики Республики Казахстан</w:t>
      </w:r>
      <w:r w:rsidR="00540759">
        <w:rPr>
          <w:rFonts w:ascii="Times New Roman" w:hAnsi="Times New Roman" w:cs="Times New Roman"/>
          <w:sz w:val="28"/>
          <w:szCs w:val="28"/>
          <w:lang w:val="kk-KZ"/>
        </w:rPr>
        <w:t>а</w:t>
      </w:r>
      <w:r w:rsidRPr="00433083">
        <w:rPr>
          <w:rFonts w:ascii="Times New Roman" w:hAnsi="Times New Roman" w:cs="Times New Roman"/>
          <w:sz w:val="28"/>
          <w:szCs w:val="28"/>
        </w:rPr>
        <w:t>.</w:t>
      </w:r>
    </w:p>
    <w:p w14:paraId="1DC818F3" w14:textId="77777777" w:rsidR="00540759" w:rsidRPr="00540759" w:rsidRDefault="00D07F44" w:rsidP="00540759">
      <w:pPr>
        <w:spacing w:after="0" w:line="240" w:lineRule="auto"/>
        <w:ind w:firstLine="567"/>
        <w:jc w:val="both"/>
        <w:rPr>
          <w:rFonts w:ascii="Times New Roman" w:hAnsi="Times New Roman" w:cs="Times New Roman"/>
          <w:sz w:val="28"/>
          <w:szCs w:val="28"/>
        </w:rPr>
      </w:pPr>
      <w:r w:rsidRPr="00F32E1D">
        <w:rPr>
          <w:rFonts w:ascii="Times New Roman" w:hAnsi="Times New Roman" w:cs="Times New Roman"/>
          <w:b/>
          <w:sz w:val="28"/>
          <w:szCs w:val="28"/>
        </w:rPr>
        <w:t xml:space="preserve">Актуальность темы исследования. </w:t>
      </w:r>
      <w:r w:rsidR="00540759" w:rsidRPr="00540759">
        <w:rPr>
          <w:rFonts w:ascii="Times New Roman" w:hAnsi="Times New Roman" w:cs="Times New Roman"/>
          <w:sz w:val="28"/>
          <w:szCs w:val="28"/>
        </w:rPr>
        <w:t>Современная экономика Республики Казахстан переживает масштабную цифровую трансформацию, затрагивающую все отрасли и сферы деятельности. В этих условиях предпринимательские структуры становятся ключевыми драйверами экономического роста, устойчивости и технологического обновления. Однако для эффективной адаптации к цифровым вызовам предпринимательскому сектору необходима переориентация с традиционных моделей развития на инновационно-ориентированные стратегии, основанные на системном проектировании инновационного потенциала.</w:t>
      </w:r>
    </w:p>
    <w:p w14:paraId="4ACE9706" w14:textId="301C83E0" w:rsidR="00540759" w:rsidRPr="00540759" w:rsidRDefault="008E2AA2" w:rsidP="00540759">
      <w:pPr>
        <w:spacing w:after="0" w:line="240" w:lineRule="auto"/>
        <w:ind w:firstLine="567"/>
        <w:jc w:val="both"/>
        <w:rPr>
          <w:rFonts w:ascii="Times New Roman" w:hAnsi="Times New Roman" w:cs="Times New Roman"/>
          <w:sz w:val="28"/>
          <w:szCs w:val="28"/>
        </w:rPr>
      </w:pPr>
      <w:r w:rsidRPr="008E2AA2">
        <w:rPr>
          <w:rFonts w:ascii="Times New Roman" w:hAnsi="Times New Roman" w:cs="Times New Roman"/>
          <w:sz w:val="28"/>
          <w:szCs w:val="28"/>
        </w:rPr>
        <w:t>Современный этап социально-экономического развития Казахстана характеризуется усилением внимания к задачам цифровой модернизации, развитию инновационной инфраструктуры и повышению технологической конкурентоспособности предпринимательского сектора. В этих условиях формирование и развитие инновационного потенциала предпринимательских структур становится одним из ключевых направлений государственной экономической политики и важнейшим фактором обеспечения устойчивого экономического роста. Это предопределяет необходимость комплексного исследования факторов, механизмов и инструментов, определяющих способность предприятий адаптироваться к цифровой среде и эффективно внедрять инновации.</w:t>
      </w:r>
    </w:p>
    <w:p w14:paraId="675AFC89" w14:textId="6BDF889E" w:rsidR="00540759" w:rsidRPr="00540759" w:rsidRDefault="00540759" w:rsidP="00540759">
      <w:pPr>
        <w:spacing w:after="0" w:line="240" w:lineRule="auto"/>
        <w:ind w:firstLine="567"/>
        <w:jc w:val="both"/>
        <w:rPr>
          <w:rFonts w:ascii="Times New Roman" w:hAnsi="Times New Roman" w:cs="Times New Roman"/>
          <w:sz w:val="28"/>
          <w:szCs w:val="28"/>
        </w:rPr>
      </w:pPr>
      <w:r w:rsidRPr="00540759">
        <w:rPr>
          <w:rFonts w:ascii="Times New Roman" w:hAnsi="Times New Roman" w:cs="Times New Roman"/>
          <w:sz w:val="28"/>
          <w:szCs w:val="28"/>
        </w:rPr>
        <w:t xml:space="preserve">Тем не менее, на практике наблюдается фрагментарность подходов к развитию инновационного потенциала субъектов </w:t>
      </w:r>
      <w:r w:rsidR="00927FF7">
        <w:rPr>
          <w:rFonts w:ascii="Times New Roman" w:hAnsi="Times New Roman" w:cs="Times New Roman"/>
          <w:sz w:val="28"/>
          <w:szCs w:val="28"/>
        </w:rPr>
        <w:t>МСП</w:t>
      </w:r>
      <w:r w:rsidRPr="00540759">
        <w:rPr>
          <w:rFonts w:ascii="Times New Roman" w:hAnsi="Times New Roman" w:cs="Times New Roman"/>
          <w:sz w:val="28"/>
          <w:szCs w:val="28"/>
        </w:rPr>
        <w:t xml:space="preserve">, недостаточная методическая база для его проектирования, а также слабая связь между цифровыми инициативами и реальными потребностями бизнеса. Всё это обуславливает необходимость научного осмысления и разработки системных подходов к развитию предпринимательских структур с акцентом на </w:t>
      </w:r>
      <w:r w:rsidRPr="00540759">
        <w:rPr>
          <w:rFonts w:ascii="Times New Roman" w:hAnsi="Times New Roman" w:cs="Times New Roman"/>
          <w:sz w:val="28"/>
          <w:szCs w:val="28"/>
        </w:rPr>
        <w:lastRenderedPageBreak/>
        <w:t>проектирование и реализацию их инновационного потенциала в условиях цифровой экономики.</w:t>
      </w:r>
    </w:p>
    <w:p w14:paraId="50C84F5E" w14:textId="155630C3" w:rsidR="00433083" w:rsidRPr="00433083" w:rsidRDefault="00433083" w:rsidP="00540759">
      <w:pPr>
        <w:spacing w:after="0" w:line="240" w:lineRule="auto"/>
        <w:ind w:firstLine="567"/>
        <w:jc w:val="both"/>
        <w:rPr>
          <w:rFonts w:ascii="Times New Roman" w:hAnsi="Times New Roman" w:cs="Times New Roman"/>
          <w:sz w:val="28"/>
          <w:szCs w:val="28"/>
          <w:lang w:val="kk-KZ"/>
        </w:rPr>
      </w:pPr>
      <w:r w:rsidRPr="00433083">
        <w:rPr>
          <w:rFonts w:ascii="Times New Roman" w:hAnsi="Times New Roman" w:cs="Times New Roman"/>
          <w:sz w:val="28"/>
          <w:szCs w:val="28"/>
          <w:lang w:val="kk-KZ"/>
        </w:rPr>
        <w:t xml:space="preserve">Инновационный потенциал предприятий Казахстана формируется в условиях неоднородной цифровой зрелости, дефицита человеческого капитала, ограниченного доступа МСП к инновационной инфраструктуре и сохраняющихся институциональных барьеров. Несмотря на значительные усилия государства в рамках программ цифровизации, совершенствования инновационного законодательства и создания инструментов поддержки, инновационная активность предприятий остаётся фрагментарной, а межфирменные различия </w:t>
      </w:r>
      <w:r w:rsidR="00927FF7">
        <w:rPr>
          <w:rFonts w:ascii="Times New Roman" w:hAnsi="Times New Roman" w:cs="Times New Roman"/>
          <w:sz w:val="28"/>
          <w:szCs w:val="28"/>
          <w:lang w:val="kk-KZ"/>
        </w:rPr>
        <w:t>–</w:t>
      </w:r>
      <w:r w:rsidRPr="00433083">
        <w:rPr>
          <w:rFonts w:ascii="Times New Roman" w:hAnsi="Times New Roman" w:cs="Times New Roman"/>
          <w:sz w:val="28"/>
          <w:szCs w:val="28"/>
          <w:lang w:val="kk-KZ"/>
        </w:rPr>
        <w:t xml:space="preserve"> существенными.</w:t>
      </w:r>
    </w:p>
    <w:p w14:paraId="341FD4CF" w14:textId="77777777" w:rsidR="00433083" w:rsidRPr="00433083" w:rsidRDefault="00433083" w:rsidP="00433083">
      <w:pPr>
        <w:spacing w:after="0" w:line="240" w:lineRule="auto"/>
        <w:ind w:firstLine="567"/>
        <w:jc w:val="both"/>
        <w:rPr>
          <w:rFonts w:ascii="Times New Roman" w:hAnsi="Times New Roman" w:cs="Times New Roman"/>
          <w:sz w:val="28"/>
          <w:szCs w:val="28"/>
          <w:lang w:val="kk-KZ"/>
        </w:rPr>
      </w:pPr>
      <w:r w:rsidRPr="00433083">
        <w:rPr>
          <w:rFonts w:ascii="Times New Roman" w:hAnsi="Times New Roman" w:cs="Times New Roman"/>
          <w:sz w:val="28"/>
          <w:szCs w:val="28"/>
          <w:lang w:val="kk-KZ"/>
        </w:rPr>
        <w:t>Анализ современных исследований показывает, что в странах с переходной экономикой ключевым условием повышения инновационной результативности является не столько абсолютный уровень ресурсов, сколько способность предприятий к цифровой адаптации, интеграции данных, применению современных управленческих практик и снижению институциональных издержек. Однако существующие подходы в Казахстане преимущественно ориентированы на измерение инновационной активности, тогда как потенциал как управляемая система остаётся недостаточно исследованным.</w:t>
      </w:r>
    </w:p>
    <w:p w14:paraId="11D3F3C3" w14:textId="77777777" w:rsidR="00433083" w:rsidRPr="00433083" w:rsidRDefault="00433083" w:rsidP="00433083">
      <w:pPr>
        <w:spacing w:after="0" w:line="240" w:lineRule="auto"/>
        <w:ind w:firstLine="567"/>
        <w:jc w:val="both"/>
        <w:rPr>
          <w:rFonts w:ascii="Times New Roman" w:hAnsi="Times New Roman" w:cs="Times New Roman"/>
          <w:sz w:val="28"/>
          <w:szCs w:val="28"/>
          <w:lang w:val="kk-KZ"/>
        </w:rPr>
      </w:pPr>
      <w:r w:rsidRPr="00433083">
        <w:rPr>
          <w:rFonts w:ascii="Times New Roman" w:hAnsi="Times New Roman" w:cs="Times New Roman"/>
          <w:sz w:val="28"/>
          <w:szCs w:val="28"/>
          <w:lang w:val="kk-KZ"/>
        </w:rPr>
        <w:t>Дополнительным вызовом является институциональное неравенство в доступе к мерам поддержки инноваций: малые предприятия сталкиваются с более высокими транзакционными издержками, чем крупные, что снижает их инновационные возможности. Это требует разработки новой методологии, позволяющей выявлять структурные дисбалансы, учитывать цифровую специфику и переходить от констатации фактов к управленческому проектированию инновационного потенциала.</w:t>
      </w:r>
    </w:p>
    <w:p w14:paraId="6A129816" w14:textId="2317FE3B" w:rsidR="00D07F44" w:rsidRPr="00EF0966" w:rsidRDefault="00540759" w:rsidP="00433083">
      <w:pPr>
        <w:spacing w:after="0" w:line="240" w:lineRule="auto"/>
        <w:ind w:firstLine="567"/>
        <w:jc w:val="both"/>
        <w:rPr>
          <w:rFonts w:ascii="Times New Roman" w:hAnsi="Times New Roman" w:cs="Times New Roman"/>
          <w:sz w:val="28"/>
          <w:szCs w:val="28"/>
          <w:lang w:val="kk-KZ"/>
        </w:rPr>
      </w:pPr>
      <w:r w:rsidRPr="00540759">
        <w:rPr>
          <w:rFonts w:ascii="Times New Roman" w:hAnsi="Times New Roman" w:cs="Times New Roman"/>
          <w:sz w:val="28"/>
          <w:szCs w:val="28"/>
        </w:rPr>
        <w:t>Таким образом, исследование механизмов и инструментов проектирования инновационного потенциала предпринимательских структур в условиях цифровой трансформации является крайне актуальным для обеспечения устойчивого и конкурентоспособного развития экономики Казахстана.</w:t>
      </w:r>
      <w:r>
        <w:rPr>
          <w:rFonts w:ascii="Times New Roman" w:hAnsi="Times New Roman" w:cs="Times New Roman"/>
          <w:sz w:val="28"/>
          <w:szCs w:val="28"/>
          <w:lang w:val="kk-KZ"/>
        </w:rPr>
        <w:t xml:space="preserve"> </w:t>
      </w:r>
      <w:r w:rsidR="00433083" w:rsidRPr="00433083">
        <w:rPr>
          <w:rFonts w:ascii="Times New Roman" w:hAnsi="Times New Roman" w:cs="Times New Roman"/>
          <w:sz w:val="28"/>
          <w:szCs w:val="28"/>
          <w:lang w:val="kk-KZ"/>
        </w:rPr>
        <w:t>Совокупность указанных факторов определяет необходимость разработки научно обоснованного инструментария оценки, диагностики и проектирования инновационного потенциала предпринимательских структур Казахстана.</w:t>
      </w:r>
    </w:p>
    <w:p w14:paraId="64B33884" w14:textId="178A10A6" w:rsidR="00261B71" w:rsidRPr="00261B71" w:rsidRDefault="00D07F44" w:rsidP="00261B71">
      <w:pPr>
        <w:spacing w:after="0" w:line="240" w:lineRule="auto"/>
        <w:ind w:firstLine="567"/>
        <w:jc w:val="both"/>
        <w:rPr>
          <w:rFonts w:ascii="Times New Roman" w:hAnsi="Times New Roman" w:cs="Times New Roman"/>
          <w:sz w:val="28"/>
          <w:szCs w:val="28"/>
          <w:lang w:val="kk-KZ"/>
        </w:rPr>
      </w:pPr>
      <w:r w:rsidRPr="00F32E1D">
        <w:rPr>
          <w:rFonts w:ascii="Times New Roman" w:hAnsi="Times New Roman" w:cs="Times New Roman"/>
          <w:b/>
          <w:sz w:val="28"/>
          <w:szCs w:val="28"/>
          <w:lang w:val="kk-KZ"/>
        </w:rPr>
        <w:t>Степень разработанности проблемы.</w:t>
      </w:r>
      <w:r w:rsidRPr="009C1AB2">
        <w:rPr>
          <w:rFonts w:ascii="Times New Roman" w:hAnsi="Times New Roman" w:cs="Times New Roman"/>
          <w:i/>
          <w:sz w:val="28"/>
          <w:szCs w:val="28"/>
          <w:lang w:val="kk-KZ"/>
        </w:rPr>
        <w:t xml:space="preserve"> </w:t>
      </w:r>
      <w:r w:rsidR="00261B71" w:rsidRPr="00261B71">
        <w:rPr>
          <w:rFonts w:ascii="Times New Roman" w:hAnsi="Times New Roman" w:cs="Times New Roman"/>
          <w:sz w:val="28"/>
          <w:szCs w:val="28"/>
          <w:lang w:val="kk-KZ"/>
        </w:rPr>
        <w:t>Проблематика формирования и развития предпринимательских структур и их инновационного потенциала получила широкое освещение в научной литературе. Теоретические основы предпринимательства и инновационного раз</w:t>
      </w:r>
      <w:r w:rsidR="00604E89">
        <w:rPr>
          <w:rFonts w:ascii="Times New Roman" w:hAnsi="Times New Roman" w:cs="Times New Roman"/>
          <w:sz w:val="28"/>
          <w:szCs w:val="28"/>
          <w:lang w:val="kk-KZ"/>
        </w:rPr>
        <w:t xml:space="preserve">вития были заложены в трудах </w:t>
      </w:r>
      <w:r w:rsidR="00604E89" w:rsidRPr="00604E89">
        <w:rPr>
          <w:rFonts w:ascii="Times New Roman" w:hAnsi="Times New Roman" w:cs="Times New Roman"/>
          <w:sz w:val="28"/>
          <w:szCs w:val="28"/>
          <w:lang w:val="kk-KZ"/>
        </w:rPr>
        <w:t>R</w:t>
      </w:r>
      <w:r w:rsidR="00604E89">
        <w:rPr>
          <w:rFonts w:ascii="Times New Roman" w:hAnsi="Times New Roman" w:cs="Times New Roman"/>
          <w:sz w:val="28"/>
          <w:szCs w:val="28"/>
          <w:lang w:val="kk-KZ"/>
        </w:rPr>
        <w:t xml:space="preserve">. Cantillon, </w:t>
      </w:r>
      <w:r w:rsidR="00604E89" w:rsidRPr="00604E89">
        <w:rPr>
          <w:rFonts w:ascii="Times New Roman" w:hAnsi="Times New Roman" w:cs="Times New Roman"/>
          <w:sz w:val="28"/>
          <w:szCs w:val="28"/>
          <w:lang w:val="kk-KZ"/>
        </w:rPr>
        <w:t>J.</w:t>
      </w:r>
      <w:r w:rsidR="00604E89">
        <w:rPr>
          <w:rFonts w:ascii="Times New Roman" w:hAnsi="Times New Roman" w:cs="Times New Roman"/>
          <w:sz w:val="28"/>
          <w:szCs w:val="28"/>
          <w:lang w:val="kk-KZ"/>
        </w:rPr>
        <w:t xml:space="preserve"> </w:t>
      </w:r>
      <w:r w:rsidR="00604E89" w:rsidRPr="00604E89">
        <w:rPr>
          <w:rFonts w:ascii="Times New Roman" w:hAnsi="Times New Roman" w:cs="Times New Roman"/>
          <w:sz w:val="28"/>
          <w:szCs w:val="28"/>
          <w:lang w:val="kk-KZ"/>
        </w:rPr>
        <w:t>Schumpeter</w:t>
      </w:r>
      <w:r w:rsidR="00261B71" w:rsidRPr="00261B71">
        <w:rPr>
          <w:rFonts w:ascii="Times New Roman" w:hAnsi="Times New Roman" w:cs="Times New Roman"/>
          <w:sz w:val="28"/>
          <w:szCs w:val="28"/>
          <w:lang w:val="kk-KZ"/>
        </w:rPr>
        <w:t xml:space="preserve">, </w:t>
      </w:r>
      <w:r w:rsidR="00604E89" w:rsidRPr="00604E89">
        <w:rPr>
          <w:rFonts w:ascii="Times New Roman" w:hAnsi="Times New Roman" w:cs="Times New Roman"/>
          <w:sz w:val="28"/>
          <w:szCs w:val="28"/>
          <w:lang w:val="kk-KZ"/>
        </w:rPr>
        <w:t>P.</w:t>
      </w:r>
      <w:r w:rsidR="00604E89">
        <w:rPr>
          <w:rFonts w:ascii="Times New Roman" w:hAnsi="Times New Roman" w:cs="Times New Roman"/>
          <w:sz w:val="28"/>
          <w:szCs w:val="28"/>
          <w:lang w:val="kk-KZ"/>
        </w:rPr>
        <w:t xml:space="preserve"> Drucker </w:t>
      </w:r>
      <w:r w:rsidR="00261B71" w:rsidRPr="00261B71">
        <w:rPr>
          <w:rFonts w:ascii="Times New Roman" w:hAnsi="Times New Roman" w:cs="Times New Roman"/>
          <w:sz w:val="28"/>
          <w:szCs w:val="28"/>
          <w:lang w:val="kk-KZ"/>
        </w:rPr>
        <w:t xml:space="preserve">и </w:t>
      </w:r>
      <w:r w:rsidR="00604E89" w:rsidRPr="00604E89">
        <w:rPr>
          <w:rFonts w:ascii="Times New Roman" w:hAnsi="Times New Roman" w:cs="Times New Roman"/>
          <w:sz w:val="28"/>
          <w:szCs w:val="28"/>
          <w:lang w:val="kk-KZ"/>
        </w:rPr>
        <w:t>M.</w:t>
      </w:r>
      <w:r w:rsidR="00604E89">
        <w:rPr>
          <w:rFonts w:ascii="Times New Roman" w:hAnsi="Times New Roman" w:cs="Times New Roman"/>
          <w:sz w:val="28"/>
          <w:szCs w:val="28"/>
          <w:lang w:val="kk-KZ"/>
        </w:rPr>
        <w:t xml:space="preserve"> </w:t>
      </w:r>
      <w:r w:rsidR="00604E89" w:rsidRPr="00604E89">
        <w:rPr>
          <w:rFonts w:ascii="Times New Roman" w:hAnsi="Times New Roman" w:cs="Times New Roman"/>
          <w:sz w:val="28"/>
          <w:szCs w:val="28"/>
          <w:lang w:val="kk-KZ"/>
        </w:rPr>
        <w:t xml:space="preserve">Porter </w:t>
      </w:r>
      <w:r w:rsidR="00261B71" w:rsidRPr="00261B71">
        <w:rPr>
          <w:rFonts w:ascii="Times New Roman" w:hAnsi="Times New Roman" w:cs="Times New Roman"/>
          <w:sz w:val="28"/>
          <w:szCs w:val="28"/>
          <w:lang w:val="kk-KZ"/>
        </w:rPr>
        <w:t>, в которых предпринимательство и инновации рассматриваются как ключевые факторы экономического развития и конкурентоспособности. Современные подходы к анализу предпринимательских структур развиваются в рамках концепции открытых инноваций (</w:t>
      </w:r>
      <w:r w:rsidR="00604E89" w:rsidRPr="00604E89">
        <w:rPr>
          <w:rFonts w:ascii="Times New Roman" w:hAnsi="Times New Roman" w:cs="Times New Roman"/>
          <w:sz w:val="28"/>
          <w:szCs w:val="28"/>
          <w:lang w:val="kk-KZ"/>
        </w:rPr>
        <w:t>H.</w:t>
      </w:r>
      <w:r w:rsidR="00604E89">
        <w:rPr>
          <w:rFonts w:ascii="Times New Roman" w:hAnsi="Times New Roman" w:cs="Times New Roman"/>
          <w:sz w:val="28"/>
          <w:szCs w:val="28"/>
          <w:lang w:val="kk-KZ"/>
        </w:rPr>
        <w:t xml:space="preserve"> Chesbrough</w:t>
      </w:r>
      <w:r w:rsidR="00261B71" w:rsidRPr="00261B71">
        <w:rPr>
          <w:rFonts w:ascii="Times New Roman" w:hAnsi="Times New Roman" w:cs="Times New Roman"/>
          <w:sz w:val="28"/>
          <w:szCs w:val="28"/>
          <w:lang w:val="kk-KZ"/>
        </w:rPr>
        <w:t>), а также исследований предпринимательских экосистем и сетевых взаимодействий (A. Fernandes, J. Ferreira; B. Fischer; A. Grandori; B. Spigel; G. Elia и др.), акцентирующих роль цифровых технологий, кооперации и институциональной среды.</w:t>
      </w:r>
    </w:p>
    <w:p w14:paraId="414D398C" w14:textId="366056A2" w:rsidR="005530C8" w:rsidRPr="00540759" w:rsidRDefault="00261B71" w:rsidP="00261B71">
      <w:pPr>
        <w:spacing w:after="0" w:line="240" w:lineRule="auto"/>
        <w:ind w:firstLine="567"/>
        <w:jc w:val="both"/>
        <w:rPr>
          <w:rFonts w:ascii="Times New Roman" w:hAnsi="Times New Roman" w:cs="Times New Roman"/>
          <w:sz w:val="28"/>
          <w:szCs w:val="28"/>
          <w:lang w:val="kk-KZ"/>
        </w:rPr>
      </w:pPr>
      <w:r w:rsidRPr="00261B71">
        <w:rPr>
          <w:rFonts w:ascii="Times New Roman" w:hAnsi="Times New Roman" w:cs="Times New Roman"/>
          <w:sz w:val="28"/>
          <w:szCs w:val="28"/>
          <w:lang w:val="kk-KZ"/>
        </w:rPr>
        <w:lastRenderedPageBreak/>
        <w:t>В отечественной и постсоветской научной литературе представлены исследования, посвящённые институциональным, инновационно-ориентированным и системно-диагностическим аспектам развития предпринимательских структур (О.Ф. Алехина и др.; С.А. Байзулаев и др.; А.М. Касимгазинова и др.; Т.А. Головина, И.Л. Авдеева; Е.А. Литау, А.Н. Сологуб; З.К. Самайбекова; Н.А. Кулагина и др.). Значительное внимание уделяется разграничению понятий «инновационный потенциал» и «инновационная активность», где инновационный потенциал трактуется как совокупность ресурсов, возможностей и организационной готовности к инновациям, а инновационная активность — как их практическая реализация (И.В. Писарев; И.С. Андрошина и др.; Н.Ф. Бондалетова, Д.Н. Греченкова; Т.О. Толстых, Ф.О. Клюка; G. Elia и др.).</w:t>
      </w:r>
    </w:p>
    <w:p w14:paraId="5659719C" w14:textId="77777777" w:rsidR="00540759" w:rsidRPr="00540759" w:rsidRDefault="00540759" w:rsidP="005530C8">
      <w:pPr>
        <w:tabs>
          <w:tab w:val="left" w:pos="851"/>
        </w:tabs>
        <w:spacing w:after="0" w:line="240" w:lineRule="auto"/>
        <w:ind w:firstLine="567"/>
        <w:jc w:val="both"/>
        <w:rPr>
          <w:rFonts w:ascii="Times New Roman" w:hAnsi="Times New Roman" w:cs="Times New Roman"/>
          <w:sz w:val="28"/>
          <w:szCs w:val="28"/>
          <w:lang w:val="kk-KZ"/>
        </w:rPr>
      </w:pPr>
      <w:r w:rsidRPr="00540759">
        <w:rPr>
          <w:rFonts w:ascii="Times New Roman" w:hAnsi="Times New Roman" w:cs="Times New Roman"/>
          <w:sz w:val="28"/>
          <w:szCs w:val="28"/>
          <w:lang w:val="kk-KZ"/>
        </w:rPr>
        <w:t>Однако, несмотря на богатство теоретических наработок, анализ актуальных научных публикаций выявил ряд нерешённых вопросов:</w:t>
      </w:r>
    </w:p>
    <w:p w14:paraId="5E9F476F" w14:textId="59708080" w:rsidR="005530C8" w:rsidRPr="005530C8" w:rsidRDefault="00927FF7" w:rsidP="00B20582">
      <w:pPr>
        <w:pStyle w:val="a3"/>
        <w:numPr>
          <w:ilvl w:val="0"/>
          <w:numId w:val="37"/>
        </w:numPr>
        <w:tabs>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w:t>
      </w:r>
      <w:r w:rsidR="005530C8" w:rsidRPr="005530C8">
        <w:rPr>
          <w:rFonts w:ascii="Times New Roman" w:hAnsi="Times New Roman" w:cs="Times New Roman"/>
          <w:sz w:val="28"/>
          <w:szCs w:val="28"/>
          <w:lang w:val="kk-KZ"/>
        </w:rPr>
        <w:t>тсутствие комплексной модели инновационного потенциала, учитывающей сквозной фактор цифровой адаптации, особенно в применении к малым и средним предприятиям</w:t>
      </w:r>
      <w:r>
        <w:rPr>
          <w:rFonts w:ascii="Times New Roman" w:hAnsi="Times New Roman" w:cs="Times New Roman"/>
          <w:sz w:val="28"/>
          <w:szCs w:val="28"/>
          <w:lang w:val="kk-KZ"/>
        </w:rPr>
        <w:t>;</w:t>
      </w:r>
    </w:p>
    <w:p w14:paraId="31689F65" w14:textId="28E7FE5B" w:rsidR="005530C8" w:rsidRPr="005530C8" w:rsidRDefault="00927FF7" w:rsidP="00B20582">
      <w:pPr>
        <w:pStyle w:val="a3"/>
        <w:numPr>
          <w:ilvl w:val="0"/>
          <w:numId w:val="37"/>
        </w:numPr>
        <w:tabs>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5530C8" w:rsidRPr="005530C8">
        <w:rPr>
          <w:rFonts w:ascii="Times New Roman" w:hAnsi="Times New Roman" w:cs="Times New Roman"/>
          <w:sz w:val="28"/>
          <w:szCs w:val="28"/>
          <w:lang w:val="kk-KZ"/>
        </w:rPr>
        <w:t>лабая проработка ресурсно-процессного подхода, способного интегрировать ресурсы, управленческие процессы и институциональную среду в единую систему проектирования инновационного потенциала</w:t>
      </w:r>
      <w:r>
        <w:rPr>
          <w:rFonts w:ascii="Times New Roman" w:hAnsi="Times New Roman" w:cs="Times New Roman"/>
          <w:sz w:val="28"/>
          <w:szCs w:val="28"/>
          <w:lang w:val="kk-KZ"/>
        </w:rPr>
        <w:t>;</w:t>
      </w:r>
    </w:p>
    <w:p w14:paraId="44A61CCE" w14:textId="0A1C911E" w:rsidR="005530C8" w:rsidRPr="005530C8" w:rsidRDefault="00927FF7" w:rsidP="00B20582">
      <w:pPr>
        <w:pStyle w:val="a3"/>
        <w:numPr>
          <w:ilvl w:val="0"/>
          <w:numId w:val="37"/>
        </w:numPr>
        <w:tabs>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005530C8" w:rsidRPr="005530C8">
        <w:rPr>
          <w:rFonts w:ascii="Times New Roman" w:hAnsi="Times New Roman" w:cs="Times New Roman"/>
          <w:sz w:val="28"/>
          <w:szCs w:val="28"/>
          <w:lang w:val="kk-KZ"/>
        </w:rPr>
        <w:t>реобладание качественных и экспертных оценок, при недостатке формализованных и верифицированных методов диагностики, пригодных для использования в цифровой среде</w:t>
      </w:r>
      <w:r>
        <w:rPr>
          <w:rFonts w:ascii="Times New Roman" w:hAnsi="Times New Roman" w:cs="Times New Roman"/>
          <w:sz w:val="28"/>
          <w:szCs w:val="28"/>
          <w:lang w:val="kk-KZ"/>
        </w:rPr>
        <w:t>;</w:t>
      </w:r>
    </w:p>
    <w:p w14:paraId="61FDEEB6" w14:textId="16FF5434" w:rsidR="005530C8" w:rsidRPr="005530C8" w:rsidRDefault="00927FF7" w:rsidP="00B20582">
      <w:pPr>
        <w:pStyle w:val="a3"/>
        <w:numPr>
          <w:ilvl w:val="0"/>
          <w:numId w:val="37"/>
        </w:numPr>
        <w:tabs>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н</w:t>
      </w:r>
      <w:r w:rsidR="005530C8" w:rsidRPr="005530C8">
        <w:rPr>
          <w:rFonts w:ascii="Times New Roman" w:hAnsi="Times New Roman" w:cs="Times New Roman"/>
          <w:sz w:val="28"/>
          <w:szCs w:val="28"/>
          <w:lang w:val="kk-KZ"/>
        </w:rPr>
        <w:t>едостаток прикладных исследований в контексте Казахстана, учитывающих специфические институциональные ограничения, цифровой разрыв и ограниченные ресурсы МСП</w:t>
      </w:r>
      <w:r>
        <w:rPr>
          <w:rFonts w:ascii="Times New Roman" w:hAnsi="Times New Roman" w:cs="Times New Roman"/>
          <w:sz w:val="28"/>
          <w:szCs w:val="28"/>
          <w:lang w:val="kk-KZ"/>
        </w:rPr>
        <w:t>;</w:t>
      </w:r>
    </w:p>
    <w:p w14:paraId="3D2DF7F1" w14:textId="62B9A123" w:rsidR="005530C8" w:rsidRPr="005530C8" w:rsidRDefault="00927FF7" w:rsidP="00B20582">
      <w:pPr>
        <w:pStyle w:val="a3"/>
        <w:numPr>
          <w:ilvl w:val="0"/>
          <w:numId w:val="37"/>
        </w:numPr>
        <w:tabs>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w:t>
      </w:r>
      <w:r w:rsidR="005530C8" w:rsidRPr="005530C8">
        <w:rPr>
          <w:rFonts w:ascii="Times New Roman" w:hAnsi="Times New Roman" w:cs="Times New Roman"/>
          <w:sz w:val="28"/>
          <w:szCs w:val="28"/>
          <w:lang w:val="kk-KZ"/>
        </w:rPr>
        <w:t>тсутствие методик, сочетающих визуализацию «узких мест», проектирование целевых сценариев развития потенциала и автоматизированную генерацию стратегических решений.</w:t>
      </w:r>
    </w:p>
    <w:p w14:paraId="41870CE3" w14:textId="744F2E79" w:rsidR="00EF0966" w:rsidRPr="00EF0966" w:rsidRDefault="005530C8" w:rsidP="005530C8">
      <w:pPr>
        <w:tabs>
          <w:tab w:val="left" w:pos="851"/>
        </w:tabs>
        <w:spacing w:after="0" w:line="240" w:lineRule="auto"/>
        <w:ind w:firstLine="567"/>
        <w:jc w:val="both"/>
        <w:rPr>
          <w:rFonts w:ascii="Times New Roman" w:hAnsi="Times New Roman" w:cs="Times New Roman"/>
          <w:sz w:val="28"/>
          <w:szCs w:val="28"/>
          <w:lang w:val="kk-KZ"/>
        </w:rPr>
      </w:pPr>
      <w:r w:rsidRPr="005530C8">
        <w:rPr>
          <w:rFonts w:ascii="Times New Roman" w:hAnsi="Times New Roman" w:cs="Times New Roman"/>
          <w:sz w:val="28"/>
          <w:szCs w:val="28"/>
          <w:lang w:val="kk-KZ"/>
        </w:rPr>
        <w:t>Таким образом, несмотря на значительное количество теоретических и эмпирических работ, проблема системного проектирования инновационного потенциала предпринимательских структур в условиях цифровой трансформации остаётся недостаточно разработанной. Особенно актуальной представляется задача адаптации существующих теорий к условиям развивающихся экономик, в частности Республики Казахстан, с учётом разнородной цифровой зрелости, ограниченных ресурсов и институциональных барьеров.</w:t>
      </w:r>
    </w:p>
    <w:p w14:paraId="2A1C6D38" w14:textId="2162F774" w:rsidR="00D07F44" w:rsidRPr="005530C8" w:rsidRDefault="00D07F44" w:rsidP="005530C8">
      <w:pPr>
        <w:spacing w:after="0" w:line="240" w:lineRule="auto"/>
        <w:ind w:firstLine="567"/>
        <w:jc w:val="both"/>
        <w:rPr>
          <w:rFonts w:ascii="Times New Roman" w:hAnsi="Times New Roman" w:cs="Times New Roman"/>
          <w:sz w:val="28"/>
          <w:szCs w:val="28"/>
        </w:rPr>
      </w:pPr>
      <w:r w:rsidRPr="00F32E1D">
        <w:rPr>
          <w:rFonts w:ascii="Times New Roman" w:hAnsi="Times New Roman" w:cs="Times New Roman"/>
          <w:b/>
          <w:sz w:val="28"/>
          <w:szCs w:val="28"/>
        </w:rPr>
        <w:t>Цель и задачи исследования.</w:t>
      </w:r>
      <w:r w:rsidRPr="009C1AB2">
        <w:rPr>
          <w:rFonts w:ascii="Times New Roman" w:hAnsi="Times New Roman" w:cs="Times New Roman"/>
          <w:sz w:val="28"/>
          <w:szCs w:val="28"/>
        </w:rPr>
        <w:t xml:space="preserve"> Целью диссертационной работы является </w:t>
      </w:r>
      <w:r w:rsidR="00EF0966" w:rsidRPr="00EF0966">
        <w:rPr>
          <w:rFonts w:ascii="Times New Roman" w:hAnsi="Times New Roman" w:cs="Times New Roman"/>
          <w:sz w:val="28"/>
          <w:szCs w:val="28"/>
        </w:rPr>
        <w:t xml:space="preserve">разработка теоретических положений, методологических подходов и практических рекомендаций по проектированию инновационного потенциала предпринимательских структур в условиях цифровой трансформации экономики </w:t>
      </w:r>
      <w:r w:rsidR="00EF0966" w:rsidRPr="005530C8">
        <w:rPr>
          <w:rFonts w:ascii="Times New Roman" w:hAnsi="Times New Roman" w:cs="Times New Roman"/>
          <w:sz w:val="28"/>
          <w:szCs w:val="28"/>
        </w:rPr>
        <w:t>Казахстана.</w:t>
      </w:r>
    </w:p>
    <w:p w14:paraId="1F96C414" w14:textId="77777777" w:rsidR="00D07F44" w:rsidRPr="005530C8" w:rsidRDefault="00D07F44" w:rsidP="005530C8">
      <w:pPr>
        <w:spacing w:after="0" w:line="240" w:lineRule="auto"/>
        <w:ind w:firstLine="567"/>
        <w:jc w:val="both"/>
        <w:rPr>
          <w:rFonts w:ascii="Times New Roman" w:hAnsi="Times New Roman" w:cs="Times New Roman"/>
          <w:sz w:val="28"/>
          <w:szCs w:val="28"/>
        </w:rPr>
      </w:pPr>
      <w:r w:rsidRPr="005530C8">
        <w:rPr>
          <w:rFonts w:ascii="Times New Roman" w:hAnsi="Times New Roman" w:cs="Times New Roman"/>
          <w:sz w:val="28"/>
          <w:szCs w:val="28"/>
        </w:rPr>
        <w:t xml:space="preserve">В соответствии с поставленной целью решаются следующие </w:t>
      </w:r>
      <w:r w:rsidRPr="00927FF7">
        <w:rPr>
          <w:rFonts w:ascii="Times New Roman" w:hAnsi="Times New Roman" w:cs="Times New Roman"/>
          <w:sz w:val="28"/>
          <w:szCs w:val="28"/>
        </w:rPr>
        <w:t>задачи</w:t>
      </w:r>
      <w:r w:rsidRPr="005530C8">
        <w:rPr>
          <w:rFonts w:ascii="Times New Roman" w:hAnsi="Times New Roman" w:cs="Times New Roman"/>
          <w:sz w:val="28"/>
          <w:szCs w:val="28"/>
        </w:rPr>
        <w:t>:</w:t>
      </w:r>
    </w:p>
    <w:p w14:paraId="49EAB40F" w14:textId="33B57E13" w:rsidR="005530C8" w:rsidRPr="005530C8" w:rsidRDefault="00927FF7" w:rsidP="00B20582">
      <w:pPr>
        <w:pStyle w:val="a3"/>
        <w:numPr>
          <w:ilvl w:val="0"/>
          <w:numId w:val="36"/>
        </w:numPr>
        <w:tabs>
          <w:tab w:val="left" w:pos="709"/>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kk-KZ"/>
        </w:rPr>
        <w:lastRenderedPageBreak/>
        <w:t>р</w:t>
      </w:r>
      <w:r w:rsidR="005530C8" w:rsidRPr="005530C8">
        <w:rPr>
          <w:rFonts w:ascii="Times New Roman" w:hAnsi="Times New Roman" w:cs="Times New Roman"/>
          <w:sz w:val="28"/>
          <w:szCs w:val="28"/>
        </w:rPr>
        <w:t>аскрыть сущность и структуру инновационного потенциала предпринимательских структур</w:t>
      </w:r>
      <w:r>
        <w:rPr>
          <w:rFonts w:ascii="Times New Roman" w:hAnsi="Times New Roman" w:cs="Times New Roman"/>
          <w:sz w:val="28"/>
          <w:szCs w:val="28"/>
          <w:lang w:val="kk-KZ"/>
        </w:rPr>
        <w:t>:</w:t>
      </w:r>
      <w:r w:rsidR="005530C8" w:rsidRPr="005530C8">
        <w:rPr>
          <w:rFonts w:ascii="Times New Roman" w:hAnsi="Times New Roman" w:cs="Times New Roman"/>
          <w:sz w:val="28"/>
          <w:szCs w:val="28"/>
          <w:lang w:val="kk-KZ"/>
        </w:rPr>
        <w:t xml:space="preserve"> </w:t>
      </w:r>
      <w:r>
        <w:rPr>
          <w:rFonts w:ascii="Times New Roman" w:hAnsi="Times New Roman" w:cs="Times New Roman"/>
          <w:sz w:val="28"/>
          <w:szCs w:val="28"/>
          <w:lang w:val="kk-KZ"/>
        </w:rPr>
        <w:t>п</w:t>
      </w:r>
      <w:r w:rsidR="005530C8" w:rsidRPr="005530C8">
        <w:rPr>
          <w:rFonts w:ascii="Times New Roman" w:hAnsi="Times New Roman" w:cs="Times New Roman"/>
          <w:sz w:val="28"/>
          <w:szCs w:val="28"/>
        </w:rPr>
        <w:t>ровести терминологический анализ понятий «инновационный потенциал» и «предпринимательские структуры» с учётом цифровой специфики и современных теоретических подходов</w:t>
      </w:r>
      <w:r>
        <w:rPr>
          <w:rFonts w:ascii="Times New Roman" w:hAnsi="Times New Roman" w:cs="Times New Roman"/>
          <w:sz w:val="28"/>
          <w:szCs w:val="28"/>
          <w:lang w:val="kk-KZ"/>
        </w:rPr>
        <w:t>;</w:t>
      </w:r>
    </w:p>
    <w:p w14:paraId="36FCC559" w14:textId="0AB019BA" w:rsidR="005530C8" w:rsidRPr="005530C8" w:rsidRDefault="00927FF7" w:rsidP="00B20582">
      <w:pPr>
        <w:pStyle w:val="a3"/>
        <w:numPr>
          <w:ilvl w:val="0"/>
          <w:numId w:val="36"/>
        </w:numPr>
        <w:tabs>
          <w:tab w:val="left" w:pos="709"/>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kk-KZ"/>
        </w:rPr>
        <w:t>с</w:t>
      </w:r>
      <w:r w:rsidR="005530C8" w:rsidRPr="005530C8">
        <w:rPr>
          <w:rFonts w:ascii="Times New Roman" w:hAnsi="Times New Roman" w:cs="Times New Roman"/>
          <w:sz w:val="28"/>
          <w:szCs w:val="28"/>
        </w:rPr>
        <w:t>истематизировать методологические подходы к оценке и проектированию инновационного потенциала</w:t>
      </w:r>
      <w:r>
        <w:rPr>
          <w:rFonts w:ascii="Times New Roman" w:hAnsi="Times New Roman" w:cs="Times New Roman"/>
          <w:sz w:val="28"/>
          <w:szCs w:val="28"/>
          <w:lang w:val="kk-KZ"/>
        </w:rPr>
        <w:t>:</w:t>
      </w:r>
      <w:r w:rsidR="005530C8" w:rsidRPr="005530C8">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sidR="005530C8" w:rsidRPr="005530C8">
        <w:rPr>
          <w:rFonts w:ascii="Times New Roman" w:hAnsi="Times New Roman" w:cs="Times New Roman"/>
          <w:sz w:val="28"/>
          <w:szCs w:val="28"/>
        </w:rPr>
        <w:t>формировать концептуальную модель, отражающую внутренние и внешние компоненты потенциала и роль цифровой адаптации</w:t>
      </w:r>
      <w:r>
        <w:rPr>
          <w:rFonts w:ascii="Times New Roman" w:hAnsi="Times New Roman" w:cs="Times New Roman"/>
          <w:sz w:val="28"/>
          <w:szCs w:val="28"/>
          <w:lang w:val="kk-KZ"/>
        </w:rPr>
        <w:t>;</w:t>
      </w:r>
    </w:p>
    <w:p w14:paraId="17C1B326" w14:textId="5B3D8E1B" w:rsidR="005530C8" w:rsidRPr="005530C8" w:rsidRDefault="00927FF7" w:rsidP="00B20582">
      <w:pPr>
        <w:pStyle w:val="a3"/>
        <w:numPr>
          <w:ilvl w:val="0"/>
          <w:numId w:val="36"/>
        </w:numPr>
        <w:tabs>
          <w:tab w:val="left" w:pos="709"/>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kk-KZ"/>
        </w:rPr>
        <w:t>о</w:t>
      </w:r>
      <w:r w:rsidR="005530C8" w:rsidRPr="005530C8">
        <w:rPr>
          <w:rFonts w:ascii="Times New Roman" w:hAnsi="Times New Roman" w:cs="Times New Roman"/>
          <w:sz w:val="28"/>
          <w:szCs w:val="28"/>
        </w:rPr>
        <w:t>ценить текущее состояние и динамику инновационного развития предпринимательских структур в Казахстане</w:t>
      </w:r>
      <w:r>
        <w:rPr>
          <w:rFonts w:ascii="Times New Roman" w:hAnsi="Times New Roman" w:cs="Times New Roman"/>
          <w:sz w:val="28"/>
          <w:szCs w:val="28"/>
          <w:lang w:val="kk-KZ"/>
        </w:rPr>
        <w:t>:</w:t>
      </w:r>
      <w:r w:rsidR="005530C8" w:rsidRPr="005530C8">
        <w:rPr>
          <w:rFonts w:ascii="Times New Roman" w:hAnsi="Times New Roman" w:cs="Times New Roman"/>
          <w:sz w:val="28"/>
          <w:szCs w:val="28"/>
          <w:lang w:val="kk-KZ"/>
        </w:rPr>
        <w:t xml:space="preserve"> </w:t>
      </w:r>
      <w:r>
        <w:rPr>
          <w:rFonts w:ascii="Times New Roman" w:hAnsi="Times New Roman" w:cs="Times New Roman"/>
          <w:sz w:val="28"/>
          <w:szCs w:val="28"/>
          <w:lang w:val="kk-KZ"/>
        </w:rPr>
        <w:t>в</w:t>
      </w:r>
      <w:r w:rsidR="005530C8" w:rsidRPr="005530C8">
        <w:rPr>
          <w:rFonts w:ascii="Times New Roman" w:hAnsi="Times New Roman" w:cs="Times New Roman"/>
          <w:sz w:val="28"/>
          <w:szCs w:val="28"/>
        </w:rPr>
        <w:t>ыявить ключевые факторы, влияющие на развитие потенциала, а также барьеры и стимулы в условиях цифровой экономики</w:t>
      </w:r>
      <w:r>
        <w:rPr>
          <w:rFonts w:ascii="Times New Roman" w:hAnsi="Times New Roman" w:cs="Times New Roman"/>
          <w:sz w:val="28"/>
          <w:szCs w:val="28"/>
          <w:lang w:val="kk-KZ"/>
        </w:rPr>
        <w:t>;</w:t>
      </w:r>
    </w:p>
    <w:p w14:paraId="0C2450B0" w14:textId="0777543E" w:rsidR="005530C8" w:rsidRPr="005530C8" w:rsidRDefault="00927FF7" w:rsidP="00B20582">
      <w:pPr>
        <w:pStyle w:val="a3"/>
        <w:numPr>
          <w:ilvl w:val="0"/>
          <w:numId w:val="36"/>
        </w:numPr>
        <w:tabs>
          <w:tab w:val="left" w:pos="709"/>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kk-KZ"/>
        </w:rPr>
        <w:t>р</w:t>
      </w:r>
      <w:r w:rsidR="005530C8" w:rsidRPr="005530C8">
        <w:rPr>
          <w:rFonts w:ascii="Times New Roman" w:hAnsi="Times New Roman" w:cs="Times New Roman"/>
          <w:sz w:val="28"/>
          <w:szCs w:val="28"/>
        </w:rPr>
        <w:t>азработать ресурсно-процессный подход к проектированию инновационного потенциала</w:t>
      </w:r>
      <w:r>
        <w:rPr>
          <w:rFonts w:ascii="Times New Roman" w:hAnsi="Times New Roman" w:cs="Times New Roman"/>
          <w:sz w:val="28"/>
          <w:szCs w:val="28"/>
          <w:lang w:val="kk-KZ"/>
        </w:rPr>
        <w:t>:</w:t>
      </w:r>
      <w:r w:rsidR="005530C8" w:rsidRPr="005530C8">
        <w:rPr>
          <w:rFonts w:ascii="Times New Roman" w:hAnsi="Times New Roman" w:cs="Times New Roman"/>
          <w:sz w:val="28"/>
          <w:szCs w:val="28"/>
          <w:lang w:val="kk-KZ"/>
        </w:rPr>
        <w:t xml:space="preserve"> </w:t>
      </w:r>
      <w:r>
        <w:rPr>
          <w:rFonts w:ascii="Times New Roman" w:hAnsi="Times New Roman" w:cs="Times New Roman"/>
          <w:sz w:val="28"/>
          <w:szCs w:val="28"/>
          <w:lang w:val="kk-KZ"/>
        </w:rPr>
        <w:t>п</w:t>
      </w:r>
      <w:r w:rsidR="005530C8" w:rsidRPr="005530C8">
        <w:rPr>
          <w:rFonts w:ascii="Times New Roman" w:hAnsi="Times New Roman" w:cs="Times New Roman"/>
          <w:sz w:val="28"/>
          <w:szCs w:val="28"/>
        </w:rPr>
        <w:t>редложить методические инструменты диагностики и визуализации критических зон развития с учётом цифровой зрелости субъектов</w:t>
      </w:r>
      <w:r>
        <w:rPr>
          <w:rFonts w:ascii="Times New Roman" w:hAnsi="Times New Roman" w:cs="Times New Roman"/>
          <w:sz w:val="28"/>
          <w:szCs w:val="28"/>
          <w:lang w:val="kk-KZ"/>
        </w:rPr>
        <w:t>;</w:t>
      </w:r>
    </w:p>
    <w:p w14:paraId="45133C78" w14:textId="45DD942C" w:rsidR="005530C8" w:rsidRPr="005530C8" w:rsidRDefault="00927FF7" w:rsidP="00B20582">
      <w:pPr>
        <w:pStyle w:val="a3"/>
        <w:numPr>
          <w:ilvl w:val="0"/>
          <w:numId w:val="36"/>
        </w:numPr>
        <w:tabs>
          <w:tab w:val="left" w:pos="709"/>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kk-KZ"/>
        </w:rPr>
        <w:t>с</w:t>
      </w:r>
      <w:r w:rsidR="005530C8" w:rsidRPr="005530C8">
        <w:rPr>
          <w:rFonts w:ascii="Times New Roman" w:hAnsi="Times New Roman" w:cs="Times New Roman"/>
          <w:sz w:val="28"/>
          <w:szCs w:val="28"/>
        </w:rPr>
        <w:t>моделировать механизмы повышения инновационной активности через цифровую адаптацию</w:t>
      </w:r>
      <w:r>
        <w:rPr>
          <w:rFonts w:ascii="Times New Roman" w:hAnsi="Times New Roman" w:cs="Times New Roman"/>
          <w:sz w:val="28"/>
          <w:szCs w:val="28"/>
          <w:lang w:val="kk-KZ"/>
        </w:rPr>
        <w:t>:</w:t>
      </w:r>
      <w:r w:rsidR="005530C8" w:rsidRPr="005530C8">
        <w:rPr>
          <w:rFonts w:ascii="Times New Roman" w:hAnsi="Times New Roman" w:cs="Times New Roman"/>
          <w:sz w:val="28"/>
          <w:szCs w:val="28"/>
          <w:lang w:val="kk-KZ"/>
        </w:rPr>
        <w:t xml:space="preserve"> </w:t>
      </w:r>
      <w:r>
        <w:rPr>
          <w:rFonts w:ascii="Times New Roman" w:hAnsi="Times New Roman" w:cs="Times New Roman"/>
          <w:sz w:val="28"/>
          <w:szCs w:val="28"/>
          <w:lang w:val="kk-KZ"/>
        </w:rPr>
        <w:t>в</w:t>
      </w:r>
      <w:r w:rsidR="005530C8" w:rsidRPr="005530C8">
        <w:rPr>
          <w:rFonts w:ascii="Times New Roman" w:hAnsi="Times New Roman" w:cs="Times New Roman"/>
          <w:sz w:val="28"/>
          <w:szCs w:val="28"/>
        </w:rPr>
        <w:t>ыделить приоритетные направления цифрового развития и обосновать их связь с ростом инновационного потенциала МСП и крупных предприятий</w:t>
      </w:r>
      <w:r>
        <w:rPr>
          <w:rFonts w:ascii="Times New Roman" w:hAnsi="Times New Roman" w:cs="Times New Roman"/>
          <w:sz w:val="28"/>
          <w:szCs w:val="28"/>
          <w:lang w:val="kk-KZ"/>
        </w:rPr>
        <w:t>;</w:t>
      </w:r>
    </w:p>
    <w:p w14:paraId="2B071031" w14:textId="75CDA0D4" w:rsidR="00EF0966" w:rsidRPr="005530C8" w:rsidRDefault="00927FF7" w:rsidP="00B20582">
      <w:pPr>
        <w:pStyle w:val="a3"/>
        <w:numPr>
          <w:ilvl w:val="0"/>
          <w:numId w:val="36"/>
        </w:numPr>
        <w:tabs>
          <w:tab w:val="left" w:pos="709"/>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kk-KZ"/>
        </w:rPr>
        <w:t>р</w:t>
      </w:r>
      <w:r w:rsidR="005530C8" w:rsidRPr="005530C8">
        <w:rPr>
          <w:rFonts w:ascii="Times New Roman" w:hAnsi="Times New Roman" w:cs="Times New Roman"/>
          <w:sz w:val="28"/>
          <w:szCs w:val="28"/>
        </w:rPr>
        <w:t>азработать практические рекомендации по управлению инновационным потенциалом</w:t>
      </w:r>
      <w:r>
        <w:rPr>
          <w:rFonts w:ascii="Times New Roman" w:hAnsi="Times New Roman" w:cs="Times New Roman"/>
          <w:sz w:val="28"/>
          <w:szCs w:val="28"/>
          <w:lang w:val="kk-KZ"/>
        </w:rPr>
        <w:t>:</w:t>
      </w:r>
      <w:r w:rsidR="005530C8" w:rsidRPr="005530C8">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sidR="005530C8" w:rsidRPr="005530C8">
        <w:rPr>
          <w:rFonts w:ascii="Times New Roman" w:hAnsi="Times New Roman" w:cs="Times New Roman"/>
          <w:sz w:val="28"/>
          <w:szCs w:val="28"/>
        </w:rPr>
        <w:t>формулировать предложения по институциональной поддержке, цифровой инфраструктуре и организационным практикам для повышения инновационной устойчивости бизнеса в РК.</w:t>
      </w:r>
    </w:p>
    <w:p w14:paraId="5E12606C" w14:textId="059CBA8C" w:rsidR="00D07F44" w:rsidRPr="007550C8" w:rsidRDefault="00D07F44" w:rsidP="005530C8">
      <w:pPr>
        <w:tabs>
          <w:tab w:val="left" w:pos="709"/>
          <w:tab w:val="left" w:pos="851"/>
        </w:tabs>
        <w:spacing w:after="0" w:line="240" w:lineRule="auto"/>
        <w:ind w:firstLine="567"/>
        <w:jc w:val="both"/>
        <w:rPr>
          <w:rFonts w:ascii="Times New Roman" w:hAnsi="Times New Roman" w:cs="Times New Roman"/>
          <w:sz w:val="28"/>
          <w:szCs w:val="28"/>
        </w:rPr>
      </w:pPr>
      <w:r w:rsidRPr="005530C8">
        <w:rPr>
          <w:rFonts w:ascii="Times New Roman" w:hAnsi="Times New Roman" w:cs="Times New Roman"/>
          <w:b/>
          <w:sz w:val="28"/>
          <w:szCs w:val="28"/>
        </w:rPr>
        <w:t>Объект исследования.</w:t>
      </w:r>
      <w:r w:rsidRPr="005530C8">
        <w:rPr>
          <w:rFonts w:ascii="Times New Roman" w:hAnsi="Times New Roman" w:cs="Times New Roman"/>
          <w:sz w:val="28"/>
          <w:szCs w:val="28"/>
        </w:rPr>
        <w:t xml:space="preserve"> Объектом диссертационного исследования </w:t>
      </w:r>
      <w:r w:rsidR="00EF0966" w:rsidRPr="005530C8">
        <w:rPr>
          <w:rFonts w:ascii="Times New Roman" w:hAnsi="Times New Roman" w:cs="Times New Roman"/>
          <w:sz w:val="28"/>
          <w:szCs w:val="28"/>
        </w:rPr>
        <w:t xml:space="preserve">являются предпринимательские </w:t>
      </w:r>
      <w:r w:rsidR="00EF0966" w:rsidRPr="00EF0966">
        <w:rPr>
          <w:rFonts w:ascii="Times New Roman" w:hAnsi="Times New Roman" w:cs="Times New Roman"/>
          <w:sz w:val="28"/>
          <w:szCs w:val="28"/>
        </w:rPr>
        <w:t>структуры Казахстана, включая малые, средние и крупные предприятия</w:t>
      </w:r>
      <w:r w:rsidRPr="007550C8">
        <w:rPr>
          <w:rFonts w:ascii="Times New Roman" w:hAnsi="Times New Roman" w:cs="Times New Roman"/>
          <w:sz w:val="28"/>
          <w:szCs w:val="28"/>
        </w:rPr>
        <w:t>.</w:t>
      </w:r>
    </w:p>
    <w:p w14:paraId="020A0194" w14:textId="0ED350AF" w:rsidR="00D07F44" w:rsidRPr="009C1AB2" w:rsidRDefault="00D07F44" w:rsidP="00D07F44">
      <w:pPr>
        <w:spacing w:after="0" w:line="240" w:lineRule="auto"/>
        <w:ind w:firstLine="567"/>
        <w:jc w:val="both"/>
        <w:rPr>
          <w:rFonts w:ascii="Times New Roman" w:hAnsi="Times New Roman" w:cs="Times New Roman"/>
          <w:sz w:val="28"/>
          <w:szCs w:val="28"/>
        </w:rPr>
      </w:pPr>
      <w:r w:rsidRPr="00F32E1D">
        <w:rPr>
          <w:rFonts w:ascii="Times New Roman" w:hAnsi="Times New Roman" w:cs="Times New Roman"/>
          <w:b/>
          <w:sz w:val="28"/>
          <w:szCs w:val="28"/>
        </w:rPr>
        <w:t>Предмет исследования.</w:t>
      </w:r>
      <w:r w:rsidRPr="009C1AB2">
        <w:rPr>
          <w:rFonts w:ascii="Times New Roman" w:hAnsi="Times New Roman" w:cs="Times New Roman"/>
          <w:sz w:val="28"/>
          <w:szCs w:val="28"/>
        </w:rPr>
        <w:t xml:space="preserve"> Предметом диссертационного исследования являются </w:t>
      </w:r>
      <w:r w:rsidR="00EF0966" w:rsidRPr="00EF0966">
        <w:rPr>
          <w:rFonts w:ascii="Times New Roman" w:hAnsi="Times New Roman" w:cs="Times New Roman"/>
          <w:sz w:val="28"/>
          <w:szCs w:val="28"/>
        </w:rPr>
        <w:t xml:space="preserve">экономические отношения, возникающие в процессе формирования, оценки и проектирования инновационного потенциала предпринимательских структур в цифровой </w:t>
      </w:r>
      <w:r w:rsidR="00433083">
        <w:rPr>
          <w:rFonts w:ascii="Times New Roman" w:hAnsi="Times New Roman" w:cs="Times New Roman"/>
          <w:sz w:val="28"/>
          <w:szCs w:val="28"/>
          <w:lang w:val="kk-KZ"/>
        </w:rPr>
        <w:t>экономике</w:t>
      </w:r>
      <w:r w:rsidR="00EF0966" w:rsidRPr="00EF0966">
        <w:rPr>
          <w:rFonts w:ascii="Times New Roman" w:hAnsi="Times New Roman" w:cs="Times New Roman"/>
          <w:sz w:val="28"/>
          <w:szCs w:val="28"/>
        </w:rPr>
        <w:t>.</w:t>
      </w:r>
    </w:p>
    <w:p w14:paraId="2A26F1ED" w14:textId="5C5F84A9" w:rsidR="00AF402C" w:rsidRPr="00AF402C" w:rsidRDefault="00D07F44" w:rsidP="00AF402C">
      <w:pPr>
        <w:tabs>
          <w:tab w:val="left" w:pos="840"/>
        </w:tabs>
        <w:spacing w:after="0" w:line="240" w:lineRule="auto"/>
        <w:ind w:firstLine="567"/>
        <w:jc w:val="both"/>
        <w:rPr>
          <w:rFonts w:ascii="Times New Roman" w:hAnsi="Times New Roman" w:cs="Times New Roman"/>
          <w:sz w:val="28"/>
          <w:szCs w:val="28"/>
          <w:lang w:val="kk-KZ"/>
        </w:rPr>
      </w:pPr>
      <w:r w:rsidRPr="00F32E1D">
        <w:rPr>
          <w:rFonts w:ascii="Times New Roman" w:hAnsi="Times New Roman" w:cs="Times New Roman"/>
          <w:b/>
          <w:sz w:val="28"/>
          <w:szCs w:val="28"/>
          <w:lang w:val="kk-KZ"/>
        </w:rPr>
        <w:t>Теоретическая и методологическая база исследования.</w:t>
      </w:r>
      <w:r w:rsidRPr="009C1AB2">
        <w:rPr>
          <w:rFonts w:ascii="Times New Roman" w:hAnsi="Times New Roman" w:cs="Times New Roman"/>
          <w:i/>
          <w:sz w:val="28"/>
          <w:szCs w:val="28"/>
          <w:lang w:val="kk-KZ"/>
        </w:rPr>
        <w:t xml:space="preserve"> </w:t>
      </w:r>
      <w:r w:rsidR="00AF402C" w:rsidRPr="00AF402C">
        <w:rPr>
          <w:rFonts w:ascii="Times New Roman" w:hAnsi="Times New Roman" w:cs="Times New Roman"/>
          <w:sz w:val="28"/>
          <w:szCs w:val="28"/>
          <w:lang w:val="kk-KZ"/>
        </w:rPr>
        <w:t>Диссертационное исследование проводилось на основе интегративного ресурсно-процессного подхода, дополненного системно-управленческой и институциональной перспективами. Такой комплексный методологический каркас обеспечил возможность всестороннего изучения инновационного потенциала предпринимательских структур в условиях цифровой трансформации и разработки обоснованной модели его проектирования.</w:t>
      </w:r>
    </w:p>
    <w:p w14:paraId="4F72DD7B" w14:textId="11ACD291" w:rsidR="00AF402C" w:rsidRPr="00AF402C" w:rsidRDefault="00AF402C" w:rsidP="00AF402C">
      <w:pPr>
        <w:tabs>
          <w:tab w:val="left" w:pos="851"/>
        </w:tabs>
        <w:spacing w:after="0" w:line="240" w:lineRule="auto"/>
        <w:ind w:firstLine="567"/>
        <w:jc w:val="both"/>
        <w:rPr>
          <w:rFonts w:ascii="Times New Roman" w:hAnsi="Times New Roman" w:cs="Times New Roman"/>
          <w:sz w:val="28"/>
          <w:szCs w:val="28"/>
          <w:lang w:val="kk-KZ"/>
        </w:rPr>
      </w:pPr>
      <w:r w:rsidRPr="00AF402C">
        <w:rPr>
          <w:rFonts w:ascii="Times New Roman" w:hAnsi="Times New Roman" w:cs="Times New Roman"/>
          <w:sz w:val="28"/>
          <w:szCs w:val="28"/>
          <w:lang w:val="kk-KZ"/>
        </w:rPr>
        <w:t xml:space="preserve">В процессе работы применены как </w:t>
      </w:r>
      <w:r w:rsidR="00927FF7">
        <w:rPr>
          <w:rFonts w:ascii="Times New Roman" w:hAnsi="Times New Roman" w:cs="Times New Roman"/>
          <w:sz w:val="28"/>
          <w:szCs w:val="28"/>
          <w:lang w:val="kk-KZ"/>
        </w:rPr>
        <w:t>качественные</w:t>
      </w:r>
      <w:r w:rsidRPr="00AF402C">
        <w:rPr>
          <w:rFonts w:ascii="Times New Roman" w:hAnsi="Times New Roman" w:cs="Times New Roman"/>
          <w:sz w:val="28"/>
          <w:szCs w:val="28"/>
          <w:lang w:val="kk-KZ"/>
        </w:rPr>
        <w:t xml:space="preserve">, так и </w:t>
      </w:r>
      <w:r w:rsidR="00927FF7" w:rsidRPr="00AF402C">
        <w:rPr>
          <w:rFonts w:ascii="Times New Roman" w:hAnsi="Times New Roman" w:cs="Times New Roman"/>
          <w:sz w:val="28"/>
          <w:szCs w:val="28"/>
          <w:lang w:val="kk-KZ"/>
        </w:rPr>
        <w:t>количественные</w:t>
      </w:r>
      <w:r w:rsidR="00927FF7">
        <w:rPr>
          <w:rFonts w:ascii="Times New Roman" w:hAnsi="Times New Roman" w:cs="Times New Roman"/>
          <w:sz w:val="28"/>
          <w:szCs w:val="28"/>
          <w:lang w:val="kk-KZ"/>
        </w:rPr>
        <w:t xml:space="preserve"> </w:t>
      </w:r>
      <w:r w:rsidRPr="00AF402C">
        <w:rPr>
          <w:rFonts w:ascii="Times New Roman" w:hAnsi="Times New Roman" w:cs="Times New Roman"/>
          <w:sz w:val="28"/>
          <w:szCs w:val="28"/>
          <w:lang w:val="kk-KZ"/>
        </w:rPr>
        <w:t>методы, соответствующие задачам теоретического осмысления, эмпирической проверки и прикладного моделирования.</w:t>
      </w:r>
    </w:p>
    <w:p w14:paraId="6E5CA3DF" w14:textId="659122D3" w:rsidR="00AF402C" w:rsidRPr="00AF402C" w:rsidRDefault="00AF402C" w:rsidP="00AF402C">
      <w:pPr>
        <w:tabs>
          <w:tab w:val="left" w:pos="851"/>
        </w:tabs>
        <w:spacing w:after="0" w:line="240" w:lineRule="auto"/>
        <w:ind w:firstLine="567"/>
        <w:jc w:val="both"/>
        <w:rPr>
          <w:rFonts w:ascii="Times New Roman" w:hAnsi="Times New Roman" w:cs="Times New Roman"/>
          <w:sz w:val="28"/>
          <w:szCs w:val="28"/>
          <w:lang w:val="kk-KZ"/>
        </w:rPr>
      </w:pPr>
      <w:r w:rsidRPr="00AF402C">
        <w:rPr>
          <w:rFonts w:ascii="Times New Roman" w:hAnsi="Times New Roman" w:cs="Times New Roman"/>
          <w:sz w:val="28"/>
          <w:szCs w:val="28"/>
          <w:lang w:val="kk-KZ"/>
        </w:rPr>
        <w:t>Качественные и теоретические методы:</w:t>
      </w:r>
    </w:p>
    <w:p w14:paraId="162C5DE5" w14:textId="180C129A" w:rsidR="00AF402C" w:rsidRPr="00AF402C" w:rsidRDefault="00927FF7" w:rsidP="00B20582">
      <w:pPr>
        <w:pStyle w:val="a3"/>
        <w:numPr>
          <w:ilvl w:val="0"/>
          <w:numId w:val="38"/>
        </w:numPr>
        <w:tabs>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и</w:t>
      </w:r>
      <w:r w:rsidR="00AF402C" w:rsidRPr="00AF402C">
        <w:rPr>
          <w:rFonts w:ascii="Times New Roman" w:hAnsi="Times New Roman" w:cs="Times New Roman"/>
          <w:sz w:val="28"/>
          <w:szCs w:val="28"/>
          <w:lang w:val="kk-KZ"/>
        </w:rPr>
        <w:t xml:space="preserve">сторико-логический анализ применялся для изучения эволюции понятий «инновационный потенциал», «предпринимательские структуры» и «цифровая </w:t>
      </w:r>
      <w:r w:rsidR="00AF402C" w:rsidRPr="00AF402C">
        <w:rPr>
          <w:rFonts w:ascii="Times New Roman" w:hAnsi="Times New Roman" w:cs="Times New Roman"/>
          <w:sz w:val="28"/>
          <w:szCs w:val="28"/>
          <w:lang w:val="kk-KZ"/>
        </w:rPr>
        <w:lastRenderedPageBreak/>
        <w:t>адаптация»</w:t>
      </w:r>
      <w:r>
        <w:rPr>
          <w:rFonts w:ascii="Times New Roman" w:hAnsi="Times New Roman" w:cs="Times New Roman"/>
          <w:sz w:val="28"/>
          <w:szCs w:val="28"/>
          <w:lang w:val="kk-KZ"/>
        </w:rPr>
        <w:t xml:space="preserve"> и</w:t>
      </w:r>
      <w:r w:rsidR="00AF402C" w:rsidRPr="00AF402C">
        <w:rPr>
          <w:rFonts w:ascii="Times New Roman" w:hAnsi="Times New Roman" w:cs="Times New Roman"/>
          <w:sz w:val="28"/>
          <w:szCs w:val="28"/>
          <w:lang w:val="kk-KZ"/>
        </w:rPr>
        <w:t xml:space="preserve"> </w:t>
      </w:r>
      <w:r>
        <w:rPr>
          <w:rFonts w:ascii="Times New Roman" w:hAnsi="Times New Roman" w:cs="Times New Roman"/>
          <w:sz w:val="28"/>
          <w:szCs w:val="28"/>
          <w:lang w:val="kk-KZ"/>
        </w:rPr>
        <w:t>и</w:t>
      </w:r>
      <w:r w:rsidR="00AF402C" w:rsidRPr="00AF402C">
        <w:rPr>
          <w:rFonts w:ascii="Times New Roman" w:hAnsi="Times New Roman" w:cs="Times New Roman"/>
          <w:sz w:val="28"/>
          <w:szCs w:val="28"/>
          <w:lang w:val="kk-KZ"/>
        </w:rPr>
        <w:t>спользован при анализе международного опыта управления инновациями и цифровыми трансформациями</w:t>
      </w:r>
      <w:r>
        <w:rPr>
          <w:rFonts w:ascii="Times New Roman" w:hAnsi="Times New Roman" w:cs="Times New Roman"/>
          <w:sz w:val="28"/>
          <w:szCs w:val="28"/>
          <w:lang w:val="kk-KZ"/>
        </w:rPr>
        <w:t>;</w:t>
      </w:r>
    </w:p>
    <w:p w14:paraId="2AF3E47E" w14:textId="66D4B079" w:rsidR="00AF402C" w:rsidRPr="00EA4C1A" w:rsidRDefault="00927FF7" w:rsidP="00B20582">
      <w:pPr>
        <w:pStyle w:val="a3"/>
        <w:numPr>
          <w:ilvl w:val="0"/>
          <w:numId w:val="38"/>
        </w:numPr>
        <w:tabs>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w:t>
      </w:r>
      <w:r w:rsidR="00AF402C" w:rsidRPr="00AF402C">
        <w:rPr>
          <w:rFonts w:ascii="Times New Roman" w:hAnsi="Times New Roman" w:cs="Times New Roman"/>
          <w:sz w:val="28"/>
          <w:szCs w:val="28"/>
          <w:lang w:val="kk-KZ"/>
        </w:rPr>
        <w:t>бобщение и систематизация обеспечили формирование понятийного аппарата исследования</w:t>
      </w:r>
      <w:r>
        <w:rPr>
          <w:rFonts w:ascii="Times New Roman" w:hAnsi="Times New Roman" w:cs="Times New Roman"/>
          <w:sz w:val="28"/>
          <w:szCs w:val="28"/>
          <w:lang w:val="kk-KZ"/>
        </w:rPr>
        <w:t xml:space="preserve"> и</w:t>
      </w:r>
      <w:r w:rsidR="00AF402C" w:rsidRPr="00AF402C">
        <w:rPr>
          <w:rFonts w:ascii="Times New Roman" w:hAnsi="Times New Roman" w:cs="Times New Roman"/>
          <w:sz w:val="28"/>
          <w:szCs w:val="28"/>
          <w:lang w:val="kk-KZ"/>
        </w:rPr>
        <w:t xml:space="preserve"> </w:t>
      </w:r>
      <w:r>
        <w:rPr>
          <w:rFonts w:ascii="Times New Roman" w:hAnsi="Times New Roman" w:cs="Times New Roman"/>
          <w:sz w:val="28"/>
          <w:szCs w:val="28"/>
          <w:lang w:val="kk-KZ"/>
        </w:rPr>
        <w:t>л</w:t>
      </w:r>
      <w:r w:rsidR="00AF402C" w:rsidRPr="00AF402C">
        <w:rPr>
          <w:rFonts w:ascii="Times New Roman" w:hAnsi="Times New Roman" w:cs="Times New Roman"/>
          <w:sz w:val="28"/>
          <w:szCs w:val="28"/>
          <w:lang w:val="kk-KZ"/>
        </w:rPr>
        <w:t>егли в основу выделения внутренних и внешних компонентов инновационного потенциала, а также структуризации факторов в ресурсные блоки</w:t>
      </w:r>
      <w:r w:rsidRPr="00EA4C1A">
        <w:rPr>
          <w:rFonts w:ascii="Times New Roman" w:hAnsi="Times New Roman" w:cs="Times New Roman"/>
          <w:sz w:val="28"/>
          <w:szCs w:val="28"/>
          <w:lang w:val="kk-KZ"/>
        </w:rPr>
        <w:t>;</w:t>
      </w:r>
    </w:p>
    <w:p w14:paraId="534CDBB3" w14:textId="44DF391C" w:rsidR="00A94AE7" w:rsidRPr="00AF402C" w:rsidRDefault="00927FF7" w:rsidP="00B20582">
      <w:pPr>
        <w:pStyle w:val="a3"/>
        <w:numPr>
          <w:ilvl w:val="0"/>
          <w:numId w:val="38"/>
        </w:numPr>
        <w:tabs>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AF402C" w:rsidRPr="00AF402C">
        <w:rPr>
          <w:rFonts w:ascii="Times New Roman" w:hAnsi="Times New Roman" w:cs="Times New Roman"/>
          <w:sz w:val="28"/>
          <w:szCs w:val="28"/>
          <w:lang w:val="kk-KZ"/>
        </w:rPr>
        <w:t>истемно-управленческий подход служил методологической рамкой проектирования инновационного потенциала как адаптивной и управляемой системы</w:t>
      </w:r>
      <w:r>
        <w:rPr>
          <w:rFonts w:ascii="Times New Roman" w:hAnsi="Times New Roman" w:cs="Times New Roman"/>
          <w:sz w:val="28"/>
          <w:szCs w:val="28"/>
          <w:lang w:val="kk-KZ"/>
        </w:rPr>
        <w:t xml:space="preserve"> и</w:t>
      </w:r>
      <w:r w:rsidR="00AF402C" w:rsidRPr="00AF402C">
        <w:rPr>
          <w:rFonts w:ascii="Times New Roman" w:hAnsi="Times New Roman" w:cs="Times New Roman"/>
          <w:sz w:val="28"/>
          <w:szCs w:val="28"/>
          <w:lang w:val="kk-KZ"/>
        </w:rPr>
        <w:t xml:space="preserve"> </w:t>
      </w:r>
      <w:r>
        <w:rPr>
          <w:rFonts w:ascii="Times New Roman" w:hAnsi="Times New Roman" w:cs="Times New Roman"/>
          <w:sz w:val="28"/>
          <w:szCs w:val="28"/>
          <w:lang w:val="kk-KZ"/>
        </w:rPr>
        <w:t>о</w:t>
      </w:r>
      <w:r w:rsidR="00AF402C" w:rsidRPr="00AF402C">
        <w:rPr>
          <w:rFonts w:ascii="Times New Roman" w:hAnsi="Times New Roman" w:cs="Times New Roman"/>
          <w:sz w:val="28"/>
          <w:szCs w:val="28"/>
          <w:lang w:val="kk-KZ"/>
        </w:rPr>
        <w:t>беспечил логическую интеграцию всех этапов исследования – от теоретического анализа до модели стратегического развития.</w:t>
      </w:r>
    </w:p>
    <w:p w14:paraId="57628E2D" w14:textId="77777777" w:rsidR="00AF402C" w:rsidRPr="00AF402C" w:rsidRDefault="00AF402C" w:rsidP="00AF402C">
      <w:pPr>
        <w:tabs>
          <w:tab w:val="left" w:pos="851"/>
        </w:tabs>
        <w:spacing w:after="0" w:line="240" w:lineRule="auto"/>
        <w:ind w:firstLine="567"/>
        <w:jc w:val="both"/>
        <w:rPr>
          <w:rFonts w:ascii="Times New Roman" w:hAnsi="Times New Roman" w:cs="Times New Roman"/>
          <w:sz w:val="28"/>
          <w:szCs w:val="28"/>
          <w:lang w:val="kk-KZ"/>
        </w:rPr>
      </w:pPr>
      <w:r w:rsidRPr="00AF402C">
        <w:rPr>
          <w:rFonts w:ascii="Times New Roman" w:hAnsi="Times New Roman" w:cs="Times New Roman"/>
          <w:sz w:val="28"/>
          <w:szCs w:val="28"/>
          <w:lang w:val="kk-KZ"/>
        </w:rPr>
        <w:t>Количественные (статистические и эконометрические) методы:</w:t>
      </w:r>
    </w:p>
    <w:p w14:paraId="7AF53527" w14:textId="5C32EBB7" w:rsidR="00AF402C" w:rsidRPr="00AF402C" w:rsidRDefault="00927FF7" w:rsidP="00B20582">
      <w:pPr>
        <w:pStyle w:val="a3"/>
        <w:numPr>
          <w:ilvl w:val="0"/>
          <w:numId w:val="38"/>
        </w:numPr>
        <w:tabs>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AF402C" w:rsidRPr="00AF402C">
        <w:rPr>
          <w:rFonts w:ascii="Times New Roman" w:hAnsi="Times New Roman" w:cs="Times New Roman"/>
          <w:sz w:val="28"/>
          <w:szCs w:val="28"/>
          <w:lang w:val="kk-KZ"/>
        </w:rPr>
        <w:t>орреляционно-регрессионный анализ применялся для построения линейных моделей зависимости инновационного потенциала от совокупности soft- и hard-факторов</w:t>
      </w:r>
      <w:r>
        <w:rPr>
          <w:rFonts w:ascii="Times New Roman" w:hAnsi="Times New Roman" w:cs="Times New Roman"/>
          <w:sz w:val="28"/>
          <w:szCs w:val="28"/>
          <w:lang w:val="kk-KZ"/>
        </w:rPr>
        <w:t xml:space="preserve"> и</w:t>
      </w:r>
      <w:r w:rsidR="00AF402C" w:rsidRPr="00AF402C">
        <w:rPr>
          <w:rFonts w:ascii="Times New Roman" w:hAnsi="Times New Roman" w:cs="Times New Roman"/>
          <w:sz w:val="28"/>
          <w:szCs w:val="28"/>
          <w:lang w:val="kk-KZ"/>
        </w:rPr>
        <w:t xml:space="preserve"> </w:t>
      </w:r>
      <w:r>
        <w:rPr>
          <w:rFonts w:ascii="Times New Roman" w:hAnsi="Times New Roman" w:cs="Times New Roman"/>
          <w:sz w:val="28"/>
          <w:szCs w:val="28"/>
          <w:lang w:val="kk-KZ"/>
        </w:rPr>
        <w:t>п</w:t>
      </w:r>
      <w:r w:rsidR="00AF402C" w:rsidRPr="00AF402C">
        <w:rPr>
          <w:rFonts w:ascii="Times New Roman" w:hAnsi="Times New Roman" w:cs="Times New Roman"/>
          <w:sz w:val="28"/>
          <w:szCs w:val="28"/>
          <w:lang w:val="kk-KZ"/>
        </w:rPr>
        <w:t>озволил количественно оценить вклад отдельных ресурсных блоков в субъективную самооценку инновационного потенциала в разрезе предприятий разного масштаба</w:t>
      </w:r>
      <w:r>
        <w:rPr>
          <w:rFonts w:ascii="Times New Roman" w:hAnsi="Times New Roman" w:cs="Times New Roman"/>
          <w:sz w:val="28"/>
          <w:szCs w:val="28"/>
          <w:lang w:val="kk-KZ"/>
        </w:rPr>
        <w:t>;</w:t>
      </w:r>
    </w:p>
    <w:p w14:paraId="2C050D15" w14:textId="29BC1468" w:rsidR="00AF402C" w:rsidRPr="00AF402C" w:rsidRDefault="00927FF7" w:rsidP="00B20582">
      <w:pPr>
        <w:pStyle w:val="a3"/>
        <w:numPr>
          <w:ilvl w:val="0"/>
          <w:numId w:val="38"/>
        </w:numPr>
        <w:tabs>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л</w:t>
      </w:r>
      <w:r w:rsidR="00AF402C" w:rsidRPr="00AF402C">
        <w:rPr>
          <w:rFonts w:ascii="Times New Roman" w:hAnsi="Times New Roman" w:cs="Times New Roman"/>
          <w:sz w:val="28"/>
          <w:szCs w:val="28"/>
          <w:lang w:val="kk-KZ"/>
        </w:rPr>
        <w:t>огистическая регрессия использовалась для выявления институционального неравенства доступа к государственной поддержке</w:t>
      </w:r>
      <w:r>
        <w:rPr>
          <w:rFonts w:ascii="Times New Roman" w:hAnsi="Times New Roman" w:cs="Times New Roman"/>
          <w:sz w:val="28"/>
          <w:szCs w:val="28"/>
          <w:lang w:val="kk-KZ"/>
        </w:rPr>
        <w:t xml:space="preserve"> и</w:t>
      </w:r>
      <w:r w:rsidR="00AF402C" w:rsidRPr="00AF402C">
        <w:rPr>
          <w:rFonts w:ascii="Times New Roman" w:hAnsi="Times New Roman" w:cs="Times New Roman"/>
          <w:sz w:val="28"/>
          <w:szCs w:val="28"/>
          <w:lang w:val="kk-KZ"/>
        </w:rPr>
        <w:t xml:space="preserve"> </w:t>
      </w:r>
      <w:r>
        <w:rPr>
          <w:rFonts w:ascii="Times New Roman" w:hAnsi="Times New Roman" w:cs="Times New Roman"/>
          <w:sz w:val="28"/>
          <w:szCs w:val="28"/>
          <w:lang w:val="kk-KZ"/>
        </w:rPr>
        <w:t>о</w:t>
      </w:r>
      <w:r w:rsidR="00AF402C" w:rsidRPr="00AF402C">
        <w:rPr>
          <w:rFonts w:ascii="Times New Roman" w:hAnsi="Times New Roman" w:cs="Times New Roman"/>
          <w:sz w:val="28"/>
          <w:szCs w:val="28"/>
          <w:lang w:val="kk-KZ"/>
        </w:rPr>
        <w:t>ценивала вероятность участия предприятий в программах поддержки инноваций с учётом их цифровой зрелости и размера</w:t>
      </w:r>
      <w:r>
        <w:rPr>
          <w:rFonts w:ascii="Times New Roman" w:hAnsi="Times New Roman" w:cs="Times New Roman"/>
          <w:sz w:val="28"/>
          <w:szCs w:val="28"/>
          <w:lang w:val="kk-KZ"/>
        </w:rPr>
        <w:t>;</w:t>
      </w:r>
    </w:p>
    <w:p w14:paraId="58D3B877" w14:textId="0A11FCCA" w:rsidR="00AF402C" w:rsidRPr="00AF402C" w:rsidRDefault="00927FF7" w:rsidP="00B20582">
      <w:pPr>
        <w:pStyle w:val="a3"/>
        <w:numPr>
          <w:ilvl w:val="0"/>
          <w:numId w:val="38"/>
        </w:numPr>
        <w:tabs>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э</w:t>
      </w:r>
      <w:r w:rsidR="00AF402C" w:rsidRPr="00AF402C">
        <w:rPr>
          <w:rFonts w:ascii="Times New Roman" w:hAnsi="Times New Roman" w:cs="Times New Roman"/>
          <w:sz w:val="28"/>
          <w:szCs w:val="28"/>
          <w:lang w:val="kk-KZ"/>
        </w:rPr>
        <w:t xml:space="preserve">ксплораторный факторный анализ (EFA) </w:t>
      </w:r>
      <w:r>
        <w:rPr>
          <w:rFonts w:ascii="Times New Roman" w:hAnsi="Times New Roman" w:cs="Times New Roman"/>
          <w:sz w:val="28"/>
          <w:szCs w:val="28"/>
          <w:lang w:val="kk-KZ"/>
        </w:rPr>
        <w:t xml:space="preserve">был </w:t>
      </w:r>
      <w:r w:rsidR="00AF402C" w:rsidRPr="00AF402C">
        <w:rPr>
          <w:rFonts w:ascii="Times New Roman" w:hAnsi="Times New Roman" w:cs="Times New Roman"/>
          <w:sz w:val="28"/>
          <w:szCs w:val="28"/>
          <w:lang w:val="kk-KZ"/>
        </w:rPr>
        <w:t>применён для укрупнения и структурирования латентных переменных в блоках управленческих, технологических и финансовых ресурсов</w:t>
      </w:r>
      <w:r>
        <w:rPr>
          <w:rFonts w:ascii="Times New Roman" w:hAnsi="Times New Roman" w:cs="Times New Roman"/>
          <w:sz w:val="28"/>
          <w:szCs w:val="28"/>
          <w:lang w:val="kk-KZ"/>
        </w:rPr>
        <w:t>, а</w:t>
      </w:r>
      <w:r w:rsidR="00AF402C">
        <w:rPr>
          <w:rFonts w:ascii="Times New Roman" w:hAnsi="Times New Roman" w:cs="Times New Roman"/>
          <w:sz w:val="28"/>
          <w:szCs w:val="28"/>
          <w:lang w:val="kk-KZ"/>
        </w:rPr>
        <w:t xml:space="preserve"> </w:t>
      </w:r>
      <w:r>
        <w:rPr>
          <w:rFonts w:ascii="Times New Roman" w:hAnsi="Times New Roman" w:cs="Times New Roman"/>
          <w:sz w:val="28"/>
          <w:szCs w:val="28"/>
          <w:lang w:val="kk-KZ"/>
        </w:rPr>
        <w:t>п</w:t>
      </w:r>
      <w:r w:rsidR="00AF402C" w:rsidRPr="00AF402C">
        <w:rPr>
          <w:rFonts w:ascii="Times New Roman" w:hAnsi="Times New Roman" w:cs="Times New Roman"/>
          <w:sz w:val="28"/>
          <w:szCs w:val="28"/>
          <w:lang w:val="kk-KZ"/>
        </w:rPr>
        <w:t xml:space="preserve">одтверждающий факторный анализ </w:t>
      </w:r>
      <w:r w:rsidRPr="00AF402C">
        <w:rPr>
          <w:rFonts w:ascii="Times New Roman" w:hAnsi="Times New Roman" w:cs="Times New Roman"/>
          <w:sz w:val="28"/>
          <w:szCs w:val="28"/>
          <w:lang w:val="kk-KZ"/>
        </w:rPr>
        <w:t>(CFA)</w:t>
      </w:r>
      <w:r>
        <w:rPr>
          <w:rFonts w:ascii="Times New Roman" w:hAnsi="Times New Roman" w:cs="Times New Roman"/>
          <w:sz w:val="28"/>
          <w:szCs w:val="28"/>
          <w:lang w:val="kk-KZ"/>
        </w:rPr>
        <w:t xml:space="preserve"> был </w:t>
      </w:r>
      <w:r w:rsidR="00AF402C" w:rsidRPr="00AF402C">
        <w:rPr>
          <w:rFonts w:ascii="Times New Roman" w:hAnsi="Times New Roman" w:cs="Times New Roman"/>
          <w:sz w:val="28"/>
          <w:szCs w:val="28"/>
          <w:lang w:val="kk-KZ"/>
        </w:rPr>
        <w:t>использован для верификации теоретической модели драйверов и барьеров инновационного развития</w:t>
      </w:r>
      <w:r>
        <w:rPr>
          <w:rFonts w:ascii="Times New Roman" w:hAnsi="Times New Roman" w:cs="Times New Roman"/>
          <w:sz w:val="28"/>
          <w:szCs w:val="28"/>
          <w:lang w:val="kk-KZ"/>
        </w:rPr>
        <w:t>;</w:t>
      </w:r>
    </w:p>
    <w:p w14:paraId="4D58A544" w14:textId="31104E46" w:rsidR="00AF402C" w:rsidRPr="00AF402C" w:rsidRDefault="00927FF7" w:rsidP="00B20582">
      <w:pPr>
        <w:pStyle w:val="a3"/>
        <w:numPr>
          <w:ilvl w:val="0"/>
          <w:numId w:val="38"/>
        </w:numPr>
        <w:tabs>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AF402C" w:rsidRPr="00AF402C">
        <w:rPr>
          <w:rFonts w:ascii="Times New Roman" w:hAnsi="Times New Roman" w:cs="Times New Roman"/>
          <w:sz w:val="28"/>
          <w:szCs w:val="28"/>
          <w:lang w:val="kk-KZ"/>
        </w:rPr>
        <w:t>труктурное моделирование уравнений (SEM) являлось ключевым методом проверки гипотез исследования</w:t>
      </w:r>
      <w:r>
        <w:rPr>
          <w:rFonts w:ascii="Times New Roman" w:hAnsi="Times New Roman" w:cs="Times New Roman"/>
          <w:sz w:val="28"/>
          <w:szCs w:val="28"/>
          <w:lang w:val="kk-KZ"/>
        </w:rPr>
        <w:t xml:space="preserve"> и это п</w:t>
      </w:r>
      <w:r w:rsidR="00AF402C" w:rsidRPr="00AF402C">
        <w:rPr>
          <w:rFonts w:ascii="Times New Roman" w:hAnsi="Times New Roman" w:cs="Times New Roman"/>
          <w:sz w:val="28"/>
          <w:szCs w:val="28"/>
          <w:lang w:val="kk-KZ"/>
        </w:rPr>
        <w:t>озволило оценить силу и направленность влияния ресурсных факторов, медиирующую роль цифровой адаптации и устойчивость моде</w:t>
      </w:r>
      <w:r w:rsidR="00AF402C">
        <w:rPr>
          <w:rFonts w:ascii="Times New Roman" w:hAnsi="Times New Roman" w:cs="Times New Roman"/>
          <w:sz w:val="28"/>
          <w:szCs w:val="28"/>
          <w:lang w:val="kk-KZ"/>
        </w:rPr>
        <w:t>ли при многогрупповом сравнении</w:t>
      </w:r>
      <w:r w:rsidR="005852CC">
        <w:rPr>
          <w:rFonts w:ascii="Times New Roman" w:hAnsi="Times New Roman" w:cs="Times New Roman"/>
          <w:sz w:val="28"/>
          <w:szCs w:val="28"/>
          <w:lang w:val="kk-KZ"/>
        </w:rPr>
        <w:t>;</w:t>
      </w:r>
    </w:p>
    <w:p w14:paraId="5CC8FB17" w14:textId="748D37A5" w:rsidR="00AF402C" w:rsidRPr="00AF402C" w:rsidRDefault="005852CC" w:rsidP="00B20582">
      <w:pPr>
        <w:pStyle w:val="a3"/>
        <w:numPr>
          <w:ilvl w:val="0"/>
          <w:numId w:val="38"/>
        </w:numPr>
        <w:tabs>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л</w:t>
      </w:r>
      <w:r w:rsidR="00AF402C" w:rsidRPr="00AF402C">
        <w:rPr>
          <w:rFonts w:ascii="Times New Roman" w:hAnsi="Times New Roman" w:cs="Times New Roman"/>
          <w:sz w:val="28"/>
          <w:szCs w:val="28"/>
          <w:lang w:val="kk-KZ"/>
        </w:rPr>
        <w:t>атентный кластерный анализ (LCA) использовался для типологизации поведенческих паттернов в отношении инновационной культуры</w:t>
      </w:r>
      <w:r>
        <w:rPr>
          <w:rFonts w:ascii="Times New Roman" w:hAnsi="Times New Roman" w:cs="Times New Roman"/>
          <w:sz w:val="28"/>
          <w:szCs w:val="28"/>
          <w:lang w:val="kk-KZ"/>
        </w:rPr>
        <w:t>, а</w:t>
      </w:r>
      <w:r w:rsidR="00AF402C">
        <w:rPr>
          <w:rFonts w:ascii="Times New Roman" w:hAnsi="Times New Roman" w:cs="Times New Roman"/>
          <w:sz w:val="28"/>
          <w:szCs w:val="28"/>
          <w:lang w:val="kk-KZ"/>
        </w:rPr>
        <w:t xml:space="preserve"> </w:t>
      </w:r>
      <w:r>
        <w:rPr>
          <w:rFonts w:ascii="Times New Roman" w:hAnsi="Times New Roman" w:cs="Times New Roman"/>
          <w:sz w:val="28"/>
          <w:szCs w:val="28"/>
          <w:lang w:val="kk-KZ"/>
        </w:rPr>
        <w:t>р</w:t>
      </w:r>
      <w:r w:rsidR="00AF402C" w:rsidRPr="00AF402C">
        <w:rPr>
          <w:rFonts w:ascii="Times New Roman" w:hAnsi="Times New Roman" w:cs="Times New Roman"/>
          <w:sz w:val="28"/>
          <w:szCs w:val="28"/>
          <w:lang w:val="kk-KZ"/>
        </w:rPr>
        <w:t>езультаты легли в основу калибровки интегрального индекса инно</w:t>
      </w:r>
      <w:r w:rsidR="00AF402C">
        <w:rPr>
          <w:rFonts w:ascii="Times New Roman" w:hAnsi="Times New Roman" w:cs="Times New Roman"/>
          <w:sz w:val="28"/>
          <w:szCs w:val="28"/>
          <w:lang w:val="kk-KZ"/>
        </w:rPr>
        <w:t>вационного потенциала</w:t>
      </w:r>
      <w:r>
        <w:rPr>
          <w:rFonts w:ascii="Times New Roman" w:hAnsi="Times New Roman" w:cs="Times New Roman"/>
          <w:sz w:val="28"/>
          <w:szCs w:val="28"/>
          <w:lang w:val="kk-KZ"/>
        </w:rPr>
        <w:t>;</w:t>
      </w:r>
    </w:p>
    <w:p w14:paraId="255595F2" w14:textId="5C273C00" w:rsidR="00AF402C" w:rsidRPr="00AF402C" w:rsidRDefault="005852CC" w:rsidP="00B20582">
      <w:pPr>
        <w:pStyle w:val="a3"/>
        <w:numPr>
          <w:ilvl w:val="0"/>
          <w:numId w:val="38"/>
        </w:numPr>
        <w:tabs>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00AF402C" w:rsidRPr="00AF402C">
        <w:rPr>
          <w:rFonts w:ascii="Times New Roman" w:hAnsi="Times New Roman" w:cs="Times New Roman"/>
          <w:sz w:val="28"/>
          <w:szCs w:val="28"/>
          <w:lang w:val="kk-KZ"/>
        </w:rPr>
        <w:t>рочие статистические методы</w:t>
      </w:r>
      <w:r w:rsidR="00AF402C">
        <w:rPr>
          <w:rFonts w:ascii="Times New Roman" w:hAnsi="Times New Roman" w:cs="Times New Roman"/>
          <w:sz w:val="28"/>
          <w:szCs w:val="28"/>
          <w:lang w:val="kk-KZ"/>
        </w:rPr>
        <w:t xml:space="preserve"> в</w:t>
      </w:r>
      <w:r w:rsidR="00AF402C" w:rsidRPr="00AF402C">
        <w:rPr>
          <w:rFonts w:ascii="Times New Roman" w:hAnsi="Times New Roman" w:cs="Times New Roman"/>
          <w:sz w:val="28"/>
          <w:szCs w:val="28"/>
          <w:lang w:val="kk-KZ"/>
        </w:rPr>
        <w:t>ключали описательную статистику, анализ таблиц сопряжённости (</w:t>
      </w:r>
      <w:r w:rsidR="00AF402C" w:rsidRPr="00AF402C">
        <w:rPr>
          <w:rFonts w:ascii="Times New Roman" w:hAnsi="Times New Roman" w:cs="Times New Roman"/>
          <w:i/>
          <w:sz w:val="28"/>
          <w:szCs w:val="28"/>
          <w:lang w:val="kk-KZ"/>
        </w:rPr>
        <w:t>х</w:t>
      </w:r>
      <w:r w:rsidR="00AF402C" w:rsidRPr="00AF402C">
        <w:rPr>
          <w:rFonts w:ascii="Times New Roman" w:hAnsi="Times New Roman" w:cs="Times New Roman"/>
          <w:sz w:val="28"/>
          <w:szCs w:val="28"/>
          <w:lang w:val="kk-KZ"/>
        </w:rPr>
        <w:t>² Пирсона), непараметрические тесты (Kruskal–Wallis, Games–Howell и др.), а также алгоритмы эконометрического взвешивания β-коэффициентов при расчёте интегрального индекса инно</w:t>
      </w:r>
      <w:r w:rsidR="00AF402C">
        <w:rPr>
          <w:rFonts w:ascii="Times New Roman" w:hAnsi="Times New Roman" w:cs="Times New Roman"/>
          <w:sz w:val="28"/>
          <w:szCs w:val="28"/>
          <w:lang w:val="kk-KZ"/>
        </w:rPr>
        <w:t>вационного потенциала</w:t>
      </w:r>
      <w:r w:rsidR="00AF402C" w:rsidRPr="00AF402C">
        <w:rPr>
          <w:rFonts w:ascii="Times New Roman" w:hAnsi="Times New Roman" w:cs="Times New Roman"/>
          <w:sz w:val="28"/>
          <w:szCs w:val="28"/>
          <w:lang w:val="kk-KZ"/>
        </w:rPr>
        <w:t>.</w:t>
      </w:r>
    </w:p>
    <w:p w14:paraId="107A07DF" w14:textId="34027204" w:rsidR="00AF402C" w:rsidRDefault="00AF402C" w:rsidP="005852CC">
      <w:pPr>
        <w:tabs>
          <w:tab w:val="left" w:pos="851"/>
        </w:tabs>
        <w:spacing w:after="0" w:line="240" w:lineRule="auto"/>
        <w:ind w:firstLine="567"/>
        <w:jc w:val="both"/>
        <w:rPr>
          <w:rFonts w:ascii="Times New Roman" w:hAnsi="Times New Roman" w:cs="Times New Roman"/>
          <w:sz w:val="28"/>
          <w:szCs w:val="28"/>
          <w:lang w:val="kk-KZ"/>
        </w:rPr>
      </w:pPr>
      <w:r w:rsidRPr="00AF402C">
        <w:rPr>
          <w:rFonts w:ascii="Times New Roman" w:hAnsi="Times New Roman" w:cs="Times New Roman"/>
          <w:sz w:val="28"/>
          <w:szCs w:val="28"/>
          <w:lang w:val="kk-KZ"/>
        </w:rPr>
        <w:t>Обработка данных проводилась с использованием программного обеспечения Jamovi (версия 2.5), интегрированного с модулями R, что обеспечило визуализацию результатов, проверку на мультиколлинеарность и оценку надёжности моделей.</w:t>
      </w:r>
    </w:p>
    <w:p w14:paraId="3BD0DC98" w14:textId="7532420C" w:rsidR="00845EA2" w:rsidRPr="00845EA2" w:rsidRDefault="00D07F44" w:rsidP="00845EA2">
      <w:pPr>
        <w:tabs>
          <w:tab w:val="left" w:pos="851"/>
        </w:tabs>
        <w:spacing w:after="0" w:line="240" w:lineRule="auto"/>
        <w:ind w:firstLine="567"/>
        <w:jc w:val="both"/>
        <w:rPr>
          <w:rFonts w:ascii="Times New Roman" w:hAnsi="Times New Roman" w:cs="Times New Roman"/>
          <w:sz w:val="28"/>
          <w:szCs w:val="28"/>
          <w:lang w:val="kk-KZ"/>
        </w:rPr>
      </w:pPr>
      <w:r w:rsidRPr="00F32E1D">
        <w:rPr>
          <w:rFonts w:ascii="Times New Roman" w:hAnsi="Times New Roman" w:cs="Times New Roman"/>
          <w:b/>
          <w:sz w:val="28"/>
          <w:szCs w:val="28"/>
          <w:lang w:val="kk-KZ"/>
        </w:rPr>
        <w:t>Информационная база исследования.</w:t>
      </w:r>
      <w:r w:rsidRPr="009C1AB2">
        <w:rPr>
          <w:rFonts w:ascii="Times New Roman" w:hAnsi="Times New Roman" w:cs="Times New Roman"/>
          <w:i/>
          <w:sz w:val="28"/>
          <w:szCs w:val="28"/>
          <w:lang w:val="kk-KZ"/>
        </w:rPr>
        <w:t xml:space="preserve"> </w:t>
      </w:r>
      <w:r w:rsidR="00845EA2" w:rsidRPr="00845EA2">
        <w:rPr>
          <w:rFonts w:ascii="Times New Roman" w:hAnsi="Times New Roman" w:cs="Times New Roman"/>
          <w:sz w:val="28"/>
          <w:szCs w:val="28"/>
          <w:lang w:val="kk-KZ"/>
        </w:rPr>
        <w:t>Информационная база диссертационного исследования включает как первичные, так и вторичные данные, обеспечив тем самым всестороннюю эмпирическую и теоретико-</w:t>
      </w:r>
      <w:r w:rsidR="00845EA2" w:rsidRPr="00845EA2">
        <w:rPr>
          <w:rFonts w:ascii="Times New Roman" w:hAnsi="Times New Roman" w:cs="Times New Roman"/>
          <w:sz w:val="28"/>
          <w:szCs w:val="28"/>
          <w:lang w:val="kk-KZ"/>
        </w:rPr>
        <w:lastRenderedPageBreak/>
        <w:t xml:space="preserve">аналитическую основу работы. Основу первичного эмпирического материала составили результаты авторского анкетного опроса, проведённого среди 500 предпринимательских структур Республики Казахстан. Выборка охватывала 17 регионов страны и 3 города республиканского значения, а её состав был репрезентативным по масштабам бизнеса: 15% респондентов представляли крупные предприятия, 32% </w:t>
      </w:r>
      <w:r w:rsidR="00FA42F5">
        <w:rPr>
          <w:rFonts w:ascii="Times New Roman" w:hAnsi="Times New Roman" w:cs="Times New Roman"/>
          <w:sz w:val="28"/>
          <w:szCs w:val="28"/>
          <w:lang w:val="kk-KZ"/>
        </w:rPr>
        <w:t>–</w:t>
      </w:r>
      <w:r w:rsidR="00845EA2" w:rsidRPr="00845EA2">
        <w:rPr>
          <w:rFonts w:ascii="Times New Roman" w:hAnsi="Times New Roman" w:cs="Times New Roman"/>
          <w:sz w:val="28"/>
          <w:szCs w:val="28"/>
          <w:lang w:val="kk-KZ"/>
        </w:rPr>
        <w:t xml:space="preserve"> средние, 53% </w:t>
      </w:r>
      <w:r w:rsidR="00FA42F5">
        <w:rPr>
          <w:rFonts w:ascii="Times New Roman" w:hAnsi="Times New Roman" w:cs="Times New Roman"/>
          <w:sz w:val="28"/>
          <w:szCs w:val="28"/>
          <w:lang w:val="kk-KZ"/>
        </w:rPr>
        <w:t>–</w:t>
      </w:r>
      <w:r w:rsidR="00845EA2" w:rsidRPr="00845EA2">
        <w:rPr>
          <w:rFonts w:ascii="Times New Roman" w:hAnsi="Times New Roman" w:cs="Times New Roman"/>
          <w:sz w:val="28"/>
          <w:szCs w:val="28"/>
          <w:lang w:val="kk-KZ"/>
        </w:rPr>
        <w:t xml:space="preserve"> малые. Сбор данных осуществлялся в онлайн-формате с использованием платформы Google Forms. Полученные первичные данные легли в основу э</w:t>
      </w:r>
      <w:r w:rsidR="00E94B80">
        <w:rPr>
          <w:rFonts w:ascii="Times New Roman" w:hAnsi="Times New Roman" w:cs="Times New Roman"/>
          <w:sz w:val="28"/>
          <w:szCs w:val="28"/>
          <w:lang w:val="kk-KZ"/>
        </w:rPr>
        <w:t xml:space="preserve">конометрического моделирования </w:t>
      </w:r>
      <w:r w:rsidR="00845EA2" w:rsidRPr="00845EA2">
        <w:rPr>
          <w:rFonts w:ascii="Times New Roman" w:hAnsi="Times New Roman" w:cs="Times New Roman"/>
          <w:sz w:val="28"/>
          <w:szCs w:val="28"/>
          <w:lang w:val="kk-KZ"/>
        </w:rPr>
        <w:t>и использовались для количественной оценки внутренних компонентов инновационного потенциала: ресурсной базы, уровня цифровой зрелости, человеческого капитала, инновационной культуры и характера взаимодействия с институтами государственной поддержки.</w:t>
      </w:r>
    </w:p>
    <w:p w14:paraId="58D80569" w14:textId="613DEFA3" w:rsidR="00D07F44" w:rsidRPr="00E35101" w:rsidRDefault="00845EA2" w:rsidP="00845EA2">
      <w:pPr>
        <w:tabs>
          <w:tab w:val="left" w:pos="851"/>
        </w:tabs>
        <w:spacing w:after="0" w:line="240" w:lineRule="auto"/>
        <w:ind w:firstLine="567"/>
        <w:jc w:val="both"/>
        <w:rPr>
          <w:rFonts w:ascii="Times New Roman" w:hAnsi="Times New Roman" w:cs="Times New Roman"/>
          <w:color w:val="5B9BD5" w:themeColor="accent1"/>
          <w:sz w:val="28"/>
          <w:szCs w:val="28"/>
          <w:lang w:val="kk-KZ"/>
        </w:rPr>
      </w:pPr>
      <w:r w:rsidRPr="00845EA2">
        <w:rPr>
          <w:rFonts w:ascii="Times New Roman" w:hAnsi="Times New Roman" w:cs="Times New Roman"/>
          <w:sz w:val="28"/>
          <w:szCs w:val="28"/>
          <w:lang w:val="kk-KZ"/>
        </w:rPr>
        <w:t>Вторичные источники данных были необходимы для обеспечения теоретико-методологической и институциональной верификации результатов, а также для анализа макроуровневых процессов цифровой трансформации предпринимательской среды. В частности, официальная статистика, публикуемая Бюро национальной статистики Агентства по стратегическому планированию и реформам Республики Казахстан, а также аналитические отчёты Министерства национальной экономики и Министерств</w:t>
      </w:r>
      <w:r w:rsidR="00E94B80">
        <w:rPr>
          <w:rFonts w:ascii="Times New Roman" w:hAnsi="Times New Roman" w:cs="Times New Roman"/>
          <w:sz w:val="28"/>
          <w:szCs w:val="28"/>
          <w:lang w:val="kk-KZ"/>
        </w:rPr>
        <w:t>а цифрового развития и инноваций</w:t>
      </w:r>
      <w:r w:rsidRPr="00845EA2">
        <w:rPr>
          <w:rFonts w:ascii="Times New Roman" w:hAnsi="Times New Roman" w:cs="Times New Roman"/>
          <w:sz w:val="28"/>
          <w:szCs w:val="28"/>
          <w:lang w:val="kk-KZ"/>
        </w:rPr>
        <w:t>, послужили основой для изучения динамики и региональной специфики инновационного развития. Международные аналитические материалы и сопоставительные обзоры, подготовленные Всемирным банком, ОЭСР и Программой развития ООН, применялись при анализе зарубежного опыта управления инновациями и цифровыми преобразованиями. Кроме того, в исследовании были использованы данные международных индексов цифровой и инновационной зрелости, включая DESI, NRI, EGDI, GII и GCI, что позволило провести сопоставительный анализ и адаптировать международные методики оценки к казахстанской специфике.</w:t>
      </w:r>
      <w:r w:rsidR="00D07F44" w:rsidRPr="00E35101">
        <w:rPr>
          <w:rFonts w:ascii="Times New Roman" w:hAnsi="Times New Roman" w:cs="Times New Roman"/>
          <w:color w:val="5B9BD5" w:themeColor="accent1"/>
          <w:sz w:val="28"/>
          <w:szCs w:val="28"/>
          <w:lang w:val="kk-KZ"/>
        </w:rPr>
        <w:t xml:space="preserve"> </w:t>
      </w:r>
    </w:p>
    <w:p w14:paraId="7C9BC2D7" w14:textId="77777777" w:rsidR="00615BE8" w:rsidRPr="00615BE8" w:rsidRDefault="00D07F44" w:rsidP="00CE1AFE">
      <w:pPr>
        <w:spacing w:after="0" w:line="240" w:lineRule="auto"/>
        <w:ind w:firstLine="567"/>
        <w:jc w:val="both"/>
        <w:rPr>
          <w:rFonts w:ascii="Times New Roman" w:hAnsi="Times New Roman" w:cs="Times New Roman"/>
          <w:sz w:val="28"/>
          <w:szCs w:val="28"/>
        </w:rPr>
      </w:pPr>
      <w:r w:rsidRPr="00F32E1D">
        <w:rPr>
          <w:rFonts w:ascii="Times New Roman" w:hAnsi="Times New Roman" w:cs="Times New Roman"/>
          <w:b/>
          <w:sz w:val="28"/>
          <w:szCs w:val="28"/>
        </w:rPr>
        <w:t>Научная новизна.</w:t>
      </w:r>
      <w:r w:rsidRPr="009C1AB2">
        <w:rPr>
          <w:rFonts w:ascii="Times New Roman" w:hAnsi="Times New Roman" w:cs="Times New Roman"/>
          <w:sz w:val="28"/>
          <w:szCs w:val="28"/>
        </w:rPr>
        <w:t xml:space="preserve"> </w:t>
      </w:r>
      <w:r w:rsidR="00615BE8" w:rsidRPr="00615BE8">
        <w:rPr>
          <w:rFonts w:ascii="Times New Roman" w:hAnsi="Times New Roman" w:cs="Times New Roman"/>
          <w:sz w:val="28"/>
          <w:szCs w:val="28"/>
        </w:rPr>
        <w:t>Научная новизна диссертационного исследования состоит в разработке и научной верификации методологии проектирования инновационного потенциала предпринимательских структур в условиях цифровой трансформации экономики Казахстана. Полученные новые результаты позволяют перейти от описательной оценки инновационной активности к системному управлению инновационным потенциалом, основанному на его структурной диагностике, учёте цифровой зрелости и институциональных ограничений.</w:t>
      </w:r>
    </w:p>
    <w:p w14:paraId="3FDD5A97" w14:textId="4D4DA4FD" w:rsidR="00615BE8" w:rsidRDefault="00615BE8" w:rsidP="00CE1AFE">
      <w:pPr>
        <w:tabs>
          <w:tab w:val="left" w:pos="851"/>
        </w:tabs>
        <w:spacing w:after="0" w:line="240" w:lineRule="auto"/>
        <w:ind w:firstLine="567"/>
        <w:jc w:val="both"/>
        <w:rPr>
          <w:rFonts w:ascii="Times New Roman" w:hAnsi="Times New Roman" w:cs="Times New Roman"/>
          <w:sz w:val="28"/>
          <w:szCs w:val="28"/>
        </w:rPr>
      </w:pPr>
      <w:r w:rsidRPr="00615BE8">
        <w:rPr>
          <w:rFonts w:ascii="Times New Roman" w:hAnsi="Times New Roman" w:cs="Times New Roman"/>
          <w:sz w:val="28"/>
          <w:szCs w:val="28"/>
        </w:rPr>
        <w:t>В ходе диссертационного исследования были получены следующие научные результаты, определяющие его научную новизну:</w:t>
      </w:r>
    </w:p>
    <w:p w14:paraId="36BF5E45" w14:textId="73B490CA" w:rsidR="00CE1AFE" w:rsidRPr="00CE1AFE" w:rsidRDefault="00CE1AFE" w:rsidP="00B20582">
      <w:pPr>
        <w:pStyle w:val="a3"/>
        <w:numPr>
          <w:ilvl w:val="0"/>
          <w:numId w:val="62"/>
        </w:numPr>
        <w:tabs>
          <w:tab w:val="left" w:pos="851"/>
        </w:tabs>
        <w:spacing w:after="0" w:line="240" w:lineRule="auto"/>
        <w:ind w:left="0" w:firstLine="567"/>
        <w:jc w:val="both"/>
        <w:rPr>
          <w:rFonts w:ascii="Times New Roman" w:hAnsi="Times New Roman" w:cs="Times New Roman"/>
          <w:sz w:val="28"/>
          <w:szCs w:val="28"/>
        </w:rPr>
      </w:pPr>
      <w:r w:rsidRPr="00CE1AFE">
        <w:rPr>
          <w:rFonts w:ascii="Times New Roman" w:hAnsi="Times New Roman" w:cs="Times New Roman"/>
          <w:sz w:val="28"/>
          <w:szCs w:val="28"/>
        </w:rPr>
        <w:t>Теоретическая</w:t>
      </w:r>
      <w:r>
        <w:rPr>
          <w:rFonts w:ascii="Times New Roman" w:hAnsi="Times New Roman" w:cs="Times New Roman"/>
          <w:sz w:val="28"/>
          <w:szCs w:val="28"/>
          <w:lang w:val="kk-KZ"/>
        </w:rPr>
        <w:t xml:space="preserve"> </w:t>
      </w:r>
      <w:r w:rsidRPr="00CE1AFE">
        <w:rPr>
          <w:rFonts w:ascii="Times New Roman" w:hAnsi="Times New Roman" w:cs="Times New Roman"/>
          <w:sz w:val="28"/>
          <w:szCs w:val="28"/>
        </w:rPr>
        <w:t>новизна</w:t>
      </w:r>
      <w:r>
        <w:rPr>
          <w:rFonts w:ascii="Times New Roman" w:hAnsi="Times New Roman" w:cs="Times New Roman"/>
          <w:sz w:val="28"/>
          <w:szCs w:val="28"/>
          <w:lang w:val="kk-KZ"/>
        </w:rPr>
        <w:t>:</w:t>
      </w:r>
    </w:p>
    <w:p w14:paraId="73AEDFF3" w14:textId="72E02884" w:rsidR="00615BE8" w:rsidRPr="00A42156" w:rsidRDefault="00CE1AFE" w:rsidP="00B20582">
      <w:pPr>
        <w:pStyle w:val="a3"/>
        <w:numPr>
          <w:ilvl w:val="0"/>
          <w:numId w:val="39"/>
        </w:numPr>
        <w:tabs>
          <w:tab w:val="left" w:pos="851"/>
        </w:tabs>
        <w:spacing w:after="0" w:line="240" w:lineRule="auto"/>
        <w:ind w:left="0" w:firstLine="567"/>
        <w:jc w:val="both"/>
        <w:rPr>
          <w:rFonts w:ascii="Times New Roman" w:hAnsi="Times New Roman" w:cs="Times New Roman"/>
          <w:sz w:val="28"/>
          <w:szCs w:val="28"/>
        </w:rPr>
      </w:pPr>
      <w:r w:rsidRPr="00CE1AFE">
        <w:rPr>
          <w:rFonts w:ascii="Times New Roman" w:hAnsi="Times New Roman" w:cs="Times New Roman"/>
          <w:sz w:val="28"/>
          <w:szCs w:val="28"/>
        </w:rPr>
        <w:t>обосновано авторское понимание сущности предпринимательских структур в контексте цифровой трансформации и предложена структурно-компонентная модель инновационного потенциала, включающая управленческий, кадровый, технологический, финансовый, цифровой и институциональный блоки</w:t>
      </w:r>
      <w:r w:rsidR="00615BE8" w:rsidRPr="00A42156">
        <w:rPr>
          <w:rFonts w:ascii="Times New Roman" w:hAnsi="Times New Roman" w:cs="Times New Roman"/>
          <w:sz w:val="28"/>
          <w:szCs w:val="28"/>
        </w:rPr>
        <w:t>;</w:t>
      </w:r>
    </w:p>
    <w:p w14:paraId="222C1485" w14:textId="693277AE" w:rsidR="00615BE8" w:rsidRDefault="00CE1AFE" w:rsidP="00B20582">
      <w:pPr>
        <w:pStyle w:val="a3"/>
        <w:numPr>
          <w:ilvl w:val="0"/>
          <w:numId w:val="39"/>
        </w:numPr>
        <w:tabs>
          <w:tab w:val="left" w:pos="851"/>
        </w:tabs>
        <w:spacing w:after="0" w:line="240" w:lineRule="auto"/>
        <w:ind w:left="0" w:firstLine="567"/>
        <w:jc w:val="both"/>
        <w:rPr>
          <w:rFonts w:ascii="Times New Roman" w:hAnsi="Times New Roman" w:cs="Times New Roman"/>
          <w:sz w:val="28"/>
          <w:szCs w:val="28"/>
        </w:rPr>
      </w:pPr>
      <w:r w:rsidRPr="00CE1AFE">
        <w:rPr>
          <w:rFonts w:ascii="Times New Roman" w:hAnsi="Times New Roman" w:cs="Times New Roman"/>
          <w:sz w:val="28"/>
          <w:szCs w:val="28"/>
        </w:rPr>
        <w:lastRenderedPageBreak/>
        <w:t>уточнена и обоснована авторская трактовка цифровой адаптации как управляемого, поэтапного процесса трансформации бизнес-модели, инфраструктуры и компетенций, выполняющего медиирующую функцию между ресурсами и инновационной активностью</w:t>
      </w:r>
      <w:r w:rsidR="00615BE8" w:rsidRPr="00A42156">
        <w:rPr>
          <w:rFonts w:ascii="Times New Roman" w:hAnsi="Times New Roman" w:cs="Times New Roman"/>
          <w:sz w:val="28"/>
          <w:szCs w:val="28"/>
        </w:rPr>
        <w:t>;</w:t>
      </w:r>
    </w:p>
    <w:p w14:paraId="50262DD2" w14:textId="054EFB6D" w:rsidR="00CE1AFE" w:rsidRPr="00CE1AFE" w:rsidRDefault="00CE1AFE" w:rsidP="00B20582">
      <w:pPr>
        <w:pStyle w:val="a3"/>
        <w:numPr>
          <w:ilvl w:val="0"/>
          <w:numId w:val="62"/>
        </w:numPr>
        <w:tabs>
          <w:tab w:val="left" w:pos="851"/>
        </w:tabs>
        <w:spacing w:after="0" w:line="240" w:lineRule="auto"/>
        <w:ind w:left="0" w:firstLine="567"/>
        <w:jc w:val="both"/>
        <w:rPr>
          <w:rFonts w:ascii="Times New Roman" w:hAnsi="Times New Roman" w:cs="Times New Roman"/>
          <w:sz w:val="28"/>
          <w:szCs w:val="28"/>
        </w:rPr>
      </w:pPr>
      <w:r w:rsidRPr="00CE1AFE">
        <w:rPr>
          <w:rFonts w:ascii="Times New Roman" w:hAnsi="Times New Roman" w:cs="Times New Roman"/>
          <w:sz w:val="28"/>
          <w:szCs w:val="28"/>
        </w:rPr>
        <w:t>Методологическая новизна</w:t>
      </w:r>
      <w:r>
        <w:rPr>
          <w:rFonts w:ascii="Times New Roman" w:hAnsi="Times New Roman" w:cs="Times New Roman"/>
          <w:sz w:val="28"/>
          <w:szCs w:val="28"/>
          <w:lang w:val="kk-KZ"/>
        </w:rPr>
        <w:t>:</w:t>
      </w:r>
    </w:p>
    <w:p w14:paraId="19CCC89A" w14:textId="3A32E933" w:rsidR="00615BE8" w:rsidRPr="00A42156" w:rsidRDefault="00CE1AFE" w:rsidP="00B20582">
      <w:pPr>
        <w:pStyle w:val="a3"/>
        <w:numPr>
          <w:ilvl w:val="0"/>
          <w:numId w:val="39"/>
        </w:numPr>
        <w:tabs>
          <w:tab w:val="left" w:pos="851"/>
        </w:tabs>
        <w:spacing w:after="0" w:line="240" w:lineRule="auto"/>
        <w:ind w:left="0" w:firstLine="567"/>
        <w:jc w:val="both"/>
        <w:rPr>
          <w:rFonts w:ascii="Times New Roman" w:hAnsi="Times New Roman" w:cs="Times New Roman"/>
          <w:sz w:val="28"/>
          <w:szCs w:val="28"/>
        </w:rPr>
      </w:pPr>
      <w:r w:rsidRPr="00CE1AFE">
        <w:rPr>
          <w:rFonts w:ascii="Times New Roman" w:hAnsi="Times New Roman" w:cs="Times New Roman"/>
          <w:sz w:val="28"/>
          <w:szCs w:val="28"/>
        </w:rPr>
        <w:t>разработан ресурсно-процессный подход к проектированию инновационного потенциала с учётом цифровой адаптации и институциональных условий предпринимательской среды</w:t>
      </w:r>
      <w:r w:rsidR="00615BE8" w:rsidRPr="00A42156">
        <w:rPr>
          <w:rFonts w:ascii="Times New Roman" w:hAnsi="Times New Roman" w:cs="Times New Roman"/>
          <w:sz w:val="28"/>
          <w:szCs w:val="28"/>
        </w:rPr>
        <w:t>;</w:t>
      </w:r>
    </w:p>
    <w:p w14:paraId="70FA69B0" w14:textId="0CC7ACBF" w:rsidR="00615BE8" w:rsidRDefault="00CE1AFE" w:rsidP="00B20582">
      <w:pPr>
        <w:pStyle w:val="a3"/>
        <w:numPr>
          <w:ilvl w:val="0"/>
          <w:numId w:val="39"/>
        </w:numPr>
        <w:tabs>
          <w:tab w:val="left" w:pos="851"/>
        </w:tabs>
        <w:spacing w:after="0" w:line="240" w:lineRule="auto"/>
        <w:ind w:left="0" w:firstLine="567"/>
        <w:jc w:val="both"/>
        <w:rPr>
          <w:rFonts w:ascii="Times New Roman" w:hAnsi="Times New Roman" w:cs="Times New Roman"/>
          <w:sz w:val="28"/>
          <w:szCs w:val="28"/>
        </w:rPr>
      </w:pPr>
      <w:r w:rsidRPr="00CE1AFE">
        <w:rPr>
          <w:rFonts w:ascii="Times New Roman" w:hAnsi="Times New Roman" w:cs="Times New Roman"/>
          <w:sz w:val="28"/>
          <w:szCs w:val="28"/>
        </w:rPr>
        <w:t>предложена методика количественной оценки инновационного потенциала на основе β-взвешивания факторов, обеспечивающая интегральное измерение и визуализацию критических зон</w:t>
      </w:r>
      <w:r w:rsidR="00615BE8" w:rsidRPr="00A42156">
        <w:rPr>
          <w:rFonts w:ascii="Times New Roman" w:hAnsi="Times New Roman" w:cs="Times New Roman"/>
          <w:sz w:val="28"/>
          <w:szCs w:val="28"/>
        </w:rPr>
        <w:t>;</w:t>
      </w:r>
    </w:p>
    <w:p w14:paraId="633AC040" w14:textId="2F8380A7" w:rsidR="00CE1AFE" w:rsidRPr="00CE1AFE" w:rsidRDefault="00CE1AFE" w:rsidP="00B20582">
      <w:pPr>
        <w:pStyle w:val="a3"/>
        <w:numPr>
          <w:ilvl w:val="0"/>
          <w:numId w:val="62"/>
        </w:numPr>
        <w:tabs>
          <w:tab w:val="left" w:pos="851"/>
        </w:tabs>
        <w:spacing w:after="0" w:line="240" w:lineRule="auto"/>
        <w:ind w:left="0" w:firstLine="567"/>
        <w:jc w:val="both"/>
        <w:rPr>
          <w:rFonts w:ascii="Times New Roman" w:hAnsi="Times New Roman" w:cs="Times New Roman"/>
          <w:sz w:val="28"/>
          <w:szCs w:val="28"/>
        </w:rPr>
      </w:pPr>
      <w:r w:rsidRPr="00CE1AFE">
        <w:rPr>
          <w:rFonts w:ascii="Times New Roman" w:hAnsi="Times New Roman" w:cs="Times New Roman"/>
          <w:sz w:val="28"/>
          <w:szCs w:val="28"/>
        </w:rPr>
        <w:t>Эмпирическая новизна</w:t>
      </w:r>
      <w:r>
        <w:rPr>
          <w:rFonts w:ascii="Times New Roman" w:hAnsi="Times New Roman" w:cs="Times New Roman"/>
          <w:sz w:val="28"/>
          <w:szCs w:val="28"/>
          <w:lang w:val="kk-KZ"/>
        </w:rPr>
        <w:t>:</w:t>
      </w:r>
    </w:p>
    <w:p w14:paraId="38E488BB" w14:textId="687A90BC" w:rsidR="00615BE8" w:rsidRPr="00A42156" w:rsidRDefault="00CE1AFE" w:rsidP="00B20582">
      <w:pPr>
        <w:pStyle w:val="a3"/>
        <w:numPr>
          <w:ilvl w:val="0"/>
          <w:numId w:val="39"/>
        </w:numPr>
        <w:tabs>
          <w:tab w:val="left" w:pos="851"/>
        </w:tabs>
        <w:spacing w:after="0" w:line="240" w:lineRule="auto"/>
        <w:ind w:left="0" w:firstLine="567"/>
        <w:jc w:val="both"/>
        <w:rPr>
          <w:rFonts w:ascii="Times New Roman" w:hAnsi="Times New Roman" w:cs="Times New Roman"/>
          <w:sz w:val="28"/>
          <w:szCs w:val="28"/>
        </w:rPr>
      </w:pPr>
      <w:r w:rsidRPr="00CE1AFE">
        <w:rPr>
          <w:rFonts w:ascii="Times New Roman" w:hAnsi="Times New Roman" w:cs="Times New Roman"/>
          <w:sz w:val="28"/>
          <w:szCs w:val="28"/>
        </w:rPr>
        <w:t>эмпирически доказана медиирующая роль цифровой адаптации во влиянии ресурсов и компетенций на инновационную активность предпринимательских структур (SEM);</w:t>
      </w:r>
    </w:p>
    <w:p w14:paraId="62651199" w14:textId="3E23B189" w:rsidR="00615BE8" w:rsidRDefault="00CE1AFE" w:rsidP="00B20582">
      <w:pPr>
        <w:pStyle w:val="a3"/>
        <w:numPr>
          <w:ilvl w:val="0"/>
          <w:numId w:val="39"/>
        </w:numPr>
        <w:tabs>
          <w:tab w:val="left" w:pos="851"/>
        </w:tabs>
        <w:spacing w:after="0" w:line="240" w:lineRule="auto"/>
        <w:ind w:left="0" w:firstLine="567"/>
        <w:jc w:val="both"/>
        <w:rPr>
          <w:rFonts w:ascii="Times New Roman" w:hAnsi="Times New Roman" w:cs="Times New Roman"/>
          <w:sz w:val="28"/>
          <w:szCs w:val="28"/>
        </w:rPr>
      </w:pPr>
      <w:r w:rsidRPr="00CE1AFE">
        <w:rPr>
          <w:rFonts w:ascii="Times New Roman" w:hAnsi="Times New Roman" w:cs="Times New Roman"/>
          <w:sz w:val="28"/>
          <w:szCs w:val="28"/>
        </w:rPr>
        <w:t>выявлено институциональное неравенство в доступе к мерам государственной поддержки инноваций, статистически</w:t>
      </w:r>
      <w:r>
        <w:rPr>
          <w:rFonts w:ascii="Times New Roman" w:hAnsi="Times New Roman" w:cs="Times New Roman"/>
          <w:sz w:val="28"/>
          <w:szCs w:val="28"/>
        </w:rPr>
        <w:t xml:space="preserve"> значимое для малых предприятий</w:t>
      </w:r>
      <w:r w:rsidR="00615BE8" w:rsidRPr="00A42156">
        <w:rPr>
          <w:rFonts w:ascii="Times New Roman" w:hAnsi="Times New Roman" w:cs="Times New Roman"/>
          <w:sz w:val="28"/>
          <w:szCs w:val="28"/>
        </w:rPr>
        <w:t>;</w:t>
      </w:r>
    </w:p>
    <w:p w14:paraId="7A5E9787" w14:textId="702399C8" w:rsidR="00CE1AFE" w:rsidRPr="00CE1AFE" w:rsidRDefault="00CE1AFE" w:rsidP="00B20582">
      <w:pPr>
        <w:pStyle w:val="a3"/>
        <w:numPr>
          <w:ilvl w:val="0"/>
          <w:numId w:val="62"/>
        </w:numPr>
        <w:tabs>
          <w:tab w:val="left" w:pos="851"/>
        </w:tabs>
        <w:spacing w:after="0" w:line="240" w:lineRule="auto"/>
        <w:ind w:left="0" w:firstLine="567"/>
        <w:jc w:val="both"/>
        <w:rPr>
          <w:rFonts w:ascii="Times New Roman" w:hAnsi="Times New Roman" w:cs="Times New Roman"/>
          <w:sz w:val="28"/>
          <w:szCs w:val="28"/>
        </w:rPr>
      </w:pPr>
      <w:r w:rsidRPr="00CE1AFE">
        <w:rPr>
          <w:rFonts w:ascii="Times New Roman" w:hAnsi="Times New Roman" w:cs="Times New Roman"/>
          <w:sz w:val="28"/>
          <w:szCs w:val="28"/>
        </w:rPr>
        <w:t>Прикладная новизна</w:t>
      </w:r>
      <w:r>
        <w:rPr>
          <w:rFonts w:ascii="Times New Roman" w:hAnsi="Times New Roman" w:cs="Times New Roman"/>
          <w:sz w:val="28"/>
          <w:szCs w:val="28"/>
          <w:lang w:val="kk-KZ"/>
        </w:rPr>
        <w:t>:</w:t>
      </w:r>
    </w:p>
    <w:p w14:paraId="54CA0230" w14:textId="5DC3E046" w:rsidR="00615BE8" w:rsidRPr="00A42156" w:rsidRDefault="00CE1AFE" w:rsidP="00B20582">
      <w:pPr>
        <w:pStyle w:val="a3"/>
        <w:numPr>
          <w:ilvl w:val="0"/>
          <w:numId w:val="39"/>
        </w:numPr>
        <w:tabs>
          <w:tab w:val="left" w:pos="851"/>
        </w:tabs>
        <w:spacing w:after="0" w:line="240" w:lineRule="auto"/>
        <w:ind w:left="0" w:firstLine="567"/>
        <w:jc w:val="both"/>
        <w:rPr>
          <w:rFonts w:ascii="Times New Roman" w:hAnsi="Times New Roman" w:cs="Times New Roman"/>
          <w:sz w:val="28"/>
          <w:szCs w:val="28"/>
        </w:rPr>
      </w:pPr>
      <w:r w:rsidRPr="00CE1AFE">
        <w:rPr>
          <w:rFonts w:ascii="Times New Roman" w:hAnsi="Times New Roman" w:cs="Times New Roman"/>
          <w:sz w:val="28"/>
          <w:szCs w:val="28"/>
        </w:rPr>
        <w:t>разработан методологический инструментарий проектирования инновационного потенциала предпринимательских структур, обеспечивающий формирование управленческих рекомендаций на основе интегральной оценки инновационного потенциала в условиях цифровой адаптации</w:t>
      </w:r>
      <w:r w:rsidR="00615BE8" w:rsidRPr="00A42156">
        <w:rPr>
          <w:rFonts w:ascii="Times New Roman" w:hAnsi="Times New Roman" w:cs="Times New Roman"/>
          <w:sz w:val="28"/>
          <w:szCs w:val="28"/>
        </w:rPr>
        <w:t>;</w:t>
      </w:r>
    </w:p>
    <w:p w14:paraId="3DF82585" w14:textId="3D6D87F5" w:rsidR="00A42156" w:rsidRPr="00CE1AFE" w:rsidRDefault="00CE1AFE" w:rsidP="00127CB8">
      <w:pPr>
        <w:pStyle w:val="a3"/>
        <w:numPr>
          <w:ilvl w:val="0"/>
          <w:numId w:val="39"/>
        </w:numPr>
        <w:tabs>
          <w:tab w:val="left" w:pos="851"/>
        </w:tabs>
        <w:spacing w:after="0" w:line="240" w:lineRule="auto"/>
        <w:ind w:left="0" w:firstLine="567"/>
        <w:jc w:val="both"/>
        <w:rPr>
          <w:rFonts w:ascii="Times New Roman" w:hAnsi="Times New Roman" w:cs="Times New Roman"/>
          <w:sz w:val="28"/>
          <w:szCs w:val="28"/>
        </w:rPr>
      </w:pPr>
      <w:r w:rsidRPr="00CE1AFE">
        <w:rPr>
          <w:rFonts w:ascii="Times New Roman" w:hAnsi="Times New Roman" w:cs="Times New Roman"/>
          <w:sz w:val="28"/>
          <w:szCs w:val="28"/>
        </w:rPr>
        <w:t xml:space="preserve">предложена </w:t>
      </w:r>
      <w:r w:rsidR="001A5AB2">
        <w:rPr>
          <w:rFonts w:ascii="Times New Roman" w:hAnsi="Times New Roman" w:cs="Times New Roman"/>
          <w:sz w:val="28"/>
          <w:szCs w:val="28"/>
          <w:lang w:val="kk-KZ"/>
        </w:rPr>
        <w:t>ф</w:t>
      </w:r>
      <w:r w:rsidR="001A5AB2" w:rsidRPr="001A5AB2">
        <w:rPr>
          <w:rFonts w:ascii="Times New Roman" w:hAnsi="Times New Roman" w:cs="Times New Roman"/>
          <w:sz w:val="28"/>
          <w:szCs w:val="28"/>
        </w:rPr>
        <w:t>ункциональная архитектура цифровой платформы управления инновационным потенциалом</w:t>
      </w:r>
      <w:r w:rsidRPr="00CE1AFE">
        <w:rPr>
          <w:rFonts w:ascii="Times New Roman" w:hAnsi="Times New Roman" w:cs="Times New Roman"/>
          <w:sz w:val="28"/>
          <w:szCs w:val="28"/>
        </w:rPr>
        <w:t>, ориентированная на её последующую цифровую реализацию и практическое внедрение</w:t>
      </w:r>
      <w:r w:rsidR="00615BE8" w:rsidRPr="00CE1AFE">
        <w:rPr>
          <w:rFonts w:ascii="Times New Roman" w:hAnsi="Times New Roman" w:cs="Times New Roman"/>
          <w:sz w:val="28"/>
          <w:szCs w:val="28"/>
        </w:rPr>
        <w:t>.</w:t>
      </w:r>
    </w:p>
    <w:p w14:paraId="668901A5" w14:textId="45DCE498" w:rsidR="00D07F44" w:rsidRDefault="00D07F44" w:rsidP="00127CB8">
      <w:pPr>
        <w:tabs>
          <w:tab w:val="left" w:pos="851"/>
        </w:tabs>
        <w:spacing w:after="0" w:line="240" w:lineRule="auto"/>
        <w:ind w:firstLine="567"/>
        <w:jc w:val="both"/>
        <w:rPr>
          <w:rFonts w:ascii="Times New Roman" w:hAnsi="Times New Roman" w:cs="Times New Roman"/>
          <w:b/>
          <w:sz w:val="28"/>
          <w:szCs w:val="28"/>
        </w:rPr>
      </w:pPr>
      <w:r w:rsidRPr="001824F7">
        <w:rPr>
          <w:rFonts w:ascii="Times New Roman" w:hAnsi="Times New Roman" w:cs="Times New Roman"/>
          <w:b/>
          <w:sz w:val="28"/>
          <w:szCs w:val="28"/>
        </w:rPr>
        <w:t>Основные положения, выносимые на защиту:</w:t>
      </w:r>
    </w:p>
    <w:p w14:paraId="463A73DC" w14:textId="3CCE0EBB" w:rsidR="00604E89" w:rsidRPr="00127CB8" w:rsidRDefault="00604E89" w:rsidP="00127CB8">
      <w:pPr>
        <w:pStyle w:val="a3"/>
        <w:numPr>
          <w:ilvl w:val="0"/>
          <w:numId w:val="73"/>
        </w:numPr>
        <w:tabs>
          <w:tab w:val="left" w:pos="851"/>
        </w:tabs>
        <w:spacing w:after="0" w:line="240" w:lineRule="auto"/>
        <w:ind w:left="0" w:firstLine="567"/>
        <w:jc w:val="both"/>
        <w:rPr>
          <w:rFonts w:ascii="Times New Roman" w:hAnsi="Times New Roman" w:cs="Times New Roman"/>
          <w:sz w:val="28"/>
          <w:szCs w:val="28"/>
        </w:rPr>
      </w:pPr>
      <w:r w:rsidRPr="00127CB8">
        <w:rPr>
          <w:rFonts w:ascii="Times New Roman" w:hAnsi="Times New Roman" w:cs="Times New Roman"/>
          <w:sz w:val="28"/>
          <w:szCs w:val="28"/>
        </w:rPr>
        <w:t>Инновационный потенциал предпринимательских структур представляет собой управляемую структурно-компонентную систему, включающую шесть взаимосвязанных блоков, обеспечивающих трансформацию ресурсов и компетенций в инновационные результаты.</w:t>
      </w:r>
    </w:p>
    <w:p w14:paraId="4817E9C9" w14:textId="425D8466" w:rsidR="00604E89" w:rsidRPr="00127CB8" w:rsidRDefault="00604E89" w:rsidP="00127CB8">
      <w:pPr>
        <w:pStyle w:val="a3"/>
        <w:numPr>
          <w:ilvl w:val="0"/>
          <w:numId w:val="73"/>
        </w:numPr>
        <w:tabs>
          <w:tab w:val="left" w:pos="851"/>
        </w:tabs>
        <w:spacing w:after="0" w:line="240" w:lineRule="auto"/>
        <w:ind w:left="0" w:firstLine="567"/>
        <w:jc w:val="both"/>
        <w:rPr>
          <w:rFonts w:ascii="Times New Roman" w:hAnsi="Times New Roman" w:cs="Times New Roman"/>
          <w:sz w:val="28"/>
          <w:szCs w:val="28"/>
        </w:rPr>
      </w:pPr>
      <w:r w:rsidRPr="00127CB8">
        <w:rPr>
          <w:rFonts w:ascii="Times New Roman" w:hAnsi="Times New Roman" w:cs="Times New Roman"/>
          <w:sz w:val="28"/>
          <w:szCs w:val="28"/>
        </w:rPr>
        <w:t>Цифровая адаптация в инновационном развитии предпринимательских структур выступает процессным медиирующим и компенсаторным механизмом, усиливающим влияние внутренних ресурсов и компетенций на инновационный потенциал, при этом её компенсаторный эффект наиболее выражен в малых предпринимательских структурах.</w:t>
      </w:r>
    </w:p>
    <w:p w14:paraId="18AD14B9" w14:textId="3BAE3EA8" w:rsidR="00604E89" w:rsidRPr="00127CB8" w:rsidRDefault="00604E89" w:rsidP="00127CB8">
      <w:pPr>
        <w:pStyle w:val="a3"/>
        <w:numPr>
          <w:ilvl w:val="0"/>
          <w:numId w:val="73"/>
        </w:numPr>
        <w:tabs>
          <w:tab w:val="left" w:pos="851"/>
        </w:tabs>
        <w:spacing w:after="0" w:line="240" w:lineRule="auto"/>
        <w:ind w:left="0" w:firstLine="567"/>
        <w:jc w:val="both"/>
        <w:rPr>
          <w:rFonts w:ascii="Times New Roman" w:hAnsi="Times New Roman" w:cs="Times New Roman"/>
          <w:sz w:val="28"/>
          <w:szCs w:val="28"/>
        </w:rPr>
      </w:pPr>
      <w:r w:rsidRPr="00127CB8">
        <w:rPr>
          <w:rFonts w:ascii="Times New Roman" w:hAnsi="Times New Roman" w:cs="Times New Roman"/>
          <w:sz w:val="28"/>
          <w:szCs w:val="28"/>
        </w:rPr>
        <w:t>Институциональное неравенство доступа малого и среднего бизнеса к мерам государственной поддержки инноваций является устойчивым фактором, ограничивающим реализацию инновационного потенциала независимо от уровня ресурсной обеспеченности предприятий.</w:t>
      </w:r>
    </w:p>
    <w:p w14:paraId="26A67545" w14:textId="517A680D" w:rsidR="00604E89" w:rsidRPr="00127CB8" w:rsidRDefault="00604E89" w:rsidP="00127CB8">
      <w:pPr>
        <w:pStyle w:val="a3"/>
        <w:numPr>
          <w:ilvl w:val="0"/>
          <w:numId w:val="73"/>
        </w:numPr>
        <w:tabs>
          <w:tab w:val="left" w:pos="851"/>
        </w:tabs>
        <w:spacing w:after="0" w:line="240" w:lineRule="auto"/>
        <w:ind w:left="0" w:firstLine="567"/>
        <w:jc w:val="both"/>
        <w:rPr>
          <w:rFonts w:ascii="Times New Roman" w:hAnsi="Times New Roman" w:cs="Times New Roman"/>
          <w:sz w:val="28"/>
          <w:szCs w:val="28"/>
        </w:rPr>
      </w:pPr>
      <w:r w:rsidRPr="00127CB8">
        <w:rPr>
          <w:rFonts w:ascii="Times New Roman" w:hAnsi="Times New Roman" w:cs="Times New Roman"/>
          <w:sz w:val="28"/>
          <w:szCs w:val="28"/>
        </w:rPr>
        <w:t>Парадокс инновационной культуры проявляется в том, что адаптивная устойчивость и гибкость организационных практик оказывают более значимое влияние на инновационный потенциал, чем формальная институциональная зрелость и развитость HR-практик.</w:t>
      </w:r>
    </w:p>
    <w:p w14:paraId="5FF6A98A" w14:textId="3B64C7D9" w:rsidR="00127CB8" w:rsidRPr="00127CB8" w:rsidRDefault="00127CB8" w:rsidP="00127CB8">
      <w:pPr>
        <w:pStyle w:val="a3"/>
        <w:numPr>
          <w:ilvl w:val="0"/>
          <w:numId w:val="73"/>
        </w:numPr>
        <w:tabs>
          <w:tab w:val="left" w:pos="851"/>
        </w:tabs>
        <w:spacing w:after="0" w:line="240" w:lineRule="auto"/>
        <w:ind w:left="0" w:firstLine="567"/>
        <w:jc w:val="both"/>
        <w:rPr>
          <w:rFonts w:ascii="Times New Roman" w:hAnsi="Times New Roman" w:cs="Times New Roman"/>
          <w:sz w:val="28"/>
          <w:szCs w:val="28"/>
        </w:rPr>
      </w:pPr>
      <w:r w:rsidRPr="00127CB8">
        <w:rPr>
          <w:rFonts w:ascii="Times New Roman" w:hAnsi="Times New Roman" w:cs="Times New Roman"/>
          <w:sz w:val="28"/>
          <w:szCs w:val="28"/>
        </w:rPr>
        <w:lastRenderedPageBreak/>
        <w:t>Методика количественной оценки инновационного потенциала предпринимательских структур основана на расчёте интегрального индекса, сформированного с использованием эконометрического β-взвешивания факторов и позволяющего учитывать дифференциацию влияния ресурсов, цифровой адаптации и институциональной среды.</w:t>
      </w:r>
    </w:p>
    <w:p w14:paraId="2453AA0C" w14:textId="2889D896" w:rsidR="00127CB8" w:rsidRPr="00127CB8" w:rsidRDefault="00127CB8" w:rsidP="00127CB8">
      <w:pPr>
        <w:pStyle w:val="a3"/>
        <w:numPr>
          <w:ilvl w:val="0"/>
          <w:numId w:val="73"/>
        </w:numPr>
        <w:tabs>
          <w:tab w:val="left" w:pos="851"/>
        </w:tabs>
        <w:spacing w:after="0" w:line="240" w:lineRule="auto"/>
        <w:ind w:left="0" w:firstLine="567"/>
        <w:jc w:val="both"/>
        <w:rPr>
          <w:rFonts w:ascii="Times New Roman" w:hAnsi="Times New Roman" w:cs="Times New Roman"/>
          <w:sz w:val="28"/>
          <w:szCs w:val="28"/>
        </w:rPr>
      </w:pPr>
      <w:r w:rsidRPr="00127CB8">
        <w:rPr>
          <w:rFonts w:ascii="Times New Roman" w:hAnsi="Times New Roman" w:cs="Times New Roman"/>
          <w:sz w:val="28"/>
          <w:szCs w:val="28"/>
        </w:rPr>
        <w:t>Пятиуровневая шкала интерпретации инновационного потенциала отражает эмпирически выявленные различия в инновационной зрелости предприятий, калибрированные на основе латентного кластерного анализа.</w:t>
      </w:r>
    </w:p>
    <w:p w14:paraId="4B46CD01" w14:textId="67983339" w:rsidR="00127CB8" w:rsidRPr="00127CB8" w:rsidRDefault="00127CB8" w:rsidP="00127CB8">
      <w:pPr>
        <w:pStyle w:val="a3"/>
        <w:numPr>
          <w:ilvl w:val="0"/>
          <w:numId w:val="73"/>
        </w:numPr>
        <w:tabs>
          <w:tab w:val="left" w:pos="851"/>
        </w:tabs>
        <w:spacing w:after="0" w:line="240" w:lineRule="auto"/>
        <w:ind w:left="0" w:firstLine="567"/>
        <w:jc w:val="both"/>
        <w:rPr>
          <w:rFonts w:ascii="Times New Roman" w:hAnsi="Times New Roman" w:cs="Times New Roman"/>
          <w:sz w:val="28"/>
          <w:szCs w:val="28"/>
        </w:rPr>
      </w:pPr>
      <w:r w:rsidRPr="00127CB8">
        <w:rPr>
          <w:rFonts w:ascii="Times New Roman" w:hAnsi="Times New Roman" w:cs="Times New Roman"/>
          <w:sz w:val="28"/>
          <w:szCs w:val="28"/>
        </w:rPr>
        <w:t>Механизм практической и цифровой реализации методологии проектирования инновационного потенциала представляет собой совокупность диагностических и проектных процедур, реализуемых через архитектуру цифровой платформы с учётом масштаба предприятия и институциональных условий.</w:t>
      </w:r>
    </w:p>
    <w:p w14:paraId="0C178C31" w14:textId="5B3ED0D7" w:rsidR="00F9247A" w:rsidRPr="0053043E" w:rsidRDefault="00D07F44" w:rsidP="00961992">
      <w:pPr>
        <w:pStyle w:val="a3"/>
        <w:tabs>
          <w:tab w:val="left" w:pos="851"/>
        </w:tabs>
        <w:spacing w:after="0" w:line="240" w:lineRule="auto"/>
        <w:ind w:left="0" w:firstLine="567"/>
        <w:jc w:val="both"/>
        <w:rPr>
          <w:rFonts w:ascii="Times New Roman" w:hAnsi="Times New Roman" w:cs="Times New Roman"/>
          <w:sz w:val="28"/>
          <w:szCs w:val="28"/>
          <w:lang w:val="kk-KZ"/>
        </w:rPr>
      </w:pPr>
      <w:r w:rsidRPr="00F32E1D">
        <w:rPr>
          <w:rFonts w:ascii="Times New Roman" w:hAnsi="Times New Roman" w:cs="Times New Roman"/>
          <w:b/>
          <w:sz w:val="28"/>
          <w:szCs w:val="28"/>
          <w:lang w:val="kk-KZ"/>
        </w:rPr>
        <w:t>Теоретическая значимость результатов исследования.</w:t>
      </w:r>
      <w:r w:rsidRPr="009C1AB2">
        <w:rPr>
          <w:rFonts w:ascii="Times New Roman" w:hAnsi="Times New Roman" w:cs="Times New Roman"/>
          <w:i/>
          <w:sz w:val="28"/>
          <w:szCs w:val="28"/>
          <w:lang w:val="kk-KZ"/>
        </w:rPr>
        <w:t xml:space="preserve"> </w:t>
      </w:r>
      <w:r w:rsidR="00961992" w:rsidRPr="00961992">
        <w:rPr>
          <w:rFonts w:ascii="Times New Roman" w:hAnsi="Times New Roman" w:cs="Times New Roman"/>
          <w:sz w:val="28"/>
          <w:szCs w:val="28"/>
          <w:lang w:val="kk-KZ"/>
        </w:rPr>
        <w:t>В рамках исследования получены новые научные положения, расширяющие существующие теоретические представления</w:t>
      </w:r>
      <w:r w:rsidR="00F9247A" w:rsidRPr="0053043E">
        <w:rPr>
          <w:rFonts w:ascii="Times New Roman" w:hAnsi="Times New Roman" w:cs="Times New Roman"/>
          <w:sz w:val="28"/>
          <w:szCs w:val="28"/>
          <w:lang w:val="kk-KZ"/>
        </w:rPr>
        <w:t>:</w:t>
      </w:r>
    </w:p>
    <w:p w14:paraId="42849864" w14:textId="3619B05F" w:rsidR="00961992" w:rsidRDefault="00961992" w:rsidP="00B20582">
      <w:pPr>
        <w:pStyle w:val="a3"/>
        <w:numPr>
          <w:ilvl w:val="0"/>
          <w:numId w:val="68"/>
        </w:numPr>
        <w:tabs>
          <w:tab w:val="left" w:pos="851"/>
        </w:tabs>
        <w:spacing w:after="0" w:line="240" w:lineRule="auto"/>
        <w:ind w:left="0" w:firstLine="567"/>
        <w:jc w:val="both"/>
        <w:rPr>
          <w:rFonts w:ascii="Times New Roman" w:hAnsi="Times New Roman" w:cs="Times New Roman"/>
          <w:sz w:val="28"/>
          <w:szCs w:val="28"/>
          <w:lang w:val="kk-KZ"/>
        </w:rPr>
      </w:pPr>
      <w:r w:rsidRPr="00961992">
        <w:rPr>
          <w:rFonts w:ascii="Times New Roman" w:hAnsi="Times New Roman" w:cs="Times New Roman"/>
          <w:sz w:val="28"/>
          <w:szCs w:val="28"/>
          <w:lang w:val="kk-KZ"/>
        </w:rPr>
        <w:t>уточнены теоретические подходы к разграничению и структуре инновационного потенциала предпринимательских структур. Разработана авторская структурно-компонентная модель инновационного потенциала, в которой цифровая адаптация впервые обоснована как процессный медиатор, усиливающий трансформацию внутренних ресурсов и компетенций в инновационную активность. Тем самым дополняется ресурсная теория фирмы за счёт включения процессного и динамического измерения формирования инновационного пот</w:t>
      </w:r>
      <w:r>
        <w:rPr>
          <w:rFonts w:ascii="Times New Roman" w:hAnsi="Times New Roman" w:cs="Times New Roman"/>
          <w:sz w:val="28"/>
          <w:szCs w:val="28"/>
          <w:lang w:val="kk-KZ"/>
        </w:rPr>
        <w:t>енциала в условиях цифровизации;</w:t>
      </w:r>
    </w:p>
    <w:p w14:paraId="4307DBDE" w14:textId="6CF38EBD" w:rsidR="00F9247A" w:rsidRPr="0053043E" w:rsidRDefault="00961992" w:rsidP="00B20582">
      <w:pPr>
        <w:pStyle w:val="a3"/>
        <w:numPr>
          <w:ilvl w:val="0"/>
          <w:numId w:val="68"/>
        </w:numPr>
        <w:tabs>
          <w:tab w:val="left" w:pos="851"/>
        </w:tabs>
        <w:spacing w:after="0" w:line="240" w:lineRule="auto"/>
        <w:ind w:left="0" w:firstLine="567"/>
        <w:jc w:val="both"/>
        <w:rPr>
          <w:rFonts w:ascii="Times New Roman" w:hAnsi="Times New Roman" w:cs="Times New Roman"/>
          <w:sz w:val="28"/>
          <w:szCs w:val="28"/>
          <w:lang w:val="kk-KZ"/>
        </w:rPr>
      </w:pPr>
      <w:r w:rsidRPr="00961992">
        <w:rPr>
          <w:rFonts w:ascii="Times New Roman" w:hAnsi="Times New Roman" w:cs="Times New Roman"/>
          <w:sz w:val="28"/>
          <w:szCs w:val="28"/>
          <w:lang w:val="kk-KZ"/>
        </w:rPr>
        <w:t>углублено теоретическое понимание механизмов влияния цифровизации и институциональной среды на инновационное развитие предпринимательских структур. Обоснована компенсаторная роль цифровой адаптации, наиболее выраженная в сегменте малых предприятий, что позволяет пересмотреть традиционные представления о формировании инновационного потенциала МСП исключительно через призму ресурсной обеспеченности. Дополнительно раскрыт феномен институционального неравенства доступа к мерам государственной поддержки как устойчивый структурный фактор, влияющий на инновационную динамику предприятий различного масштаба</w:t>
      </w:r>
      <w:r w:rsidR="00922F3C" w:rsidRPr="00922F3C">
        <w:rPr>
          <w:rFonts w:ascii="Times New Roman" w:hAnsi="Times New Roman" w:cs="Times New Roman"/>
          <w:sz w:val="28"/>
          <w:szCs w:val="28"/>
        </w:rPr>
        <w:t>;</w:t>
      </w:r>
    </w:p>
    <w:p w14:paraId="1F8A9DC1" w14:textId="6950DB89" w:rsidR="00F9247A" w:rsidRPr="0053043E" w:rsidRDefault="00961992" w:rsidP="00B20582">
      <w:pPr>
        <w:pStyle w:val="a3"/>
        <w:numPr>
          <w:ilvl w:val="0"/>
          <w:numId w:val="68"/>
        </w:numPr>
        <w:tabs>
          <w:tab w:val="left" w:pos="851"/>
        </w:tabs>
        <w:spacing w:after="0" w:line="240" w:lineRule="auto"/>
        <w:ind w:left="0" w:firstLine="567"/>
        <w:jc w:val="both"/>
        <w:rPr>
          <w:rFonts w:ascii="Times New Roman" w:hAnsi="Times New Roman" w:cs="Times New Roman"/>
          <w:sz w:val="28"/>
          <w:szCs w:val="28"/>
          <w:lang w:val="kk-KZ"/>
        </w:rPr>
      </w:pPr>
      <w:r w:rsidRPr="00961992">
        <w:rPr>
          <w:rFonts w:ascii="Times New Roman" w:hAnsi="Times New Roman" w:cs="Times New Roman"/>
          <w:sz w:val="28"/>
          <w:szCs w:val="28"/>
          <w:lang w:val="kk-KZ"/>
        </w:rPr>
        <w:t>сформирована интегративная теоретико-методологическая рамка анализа инновационного потенциала, основанная на ресурсно-процессном подходе и дополненная системно-управленческой и институциональной перспективами. Это обеспечивает переход от статического понимания инновационного потенциала как совокупности ресурсов к динамическому анализу процессов их преобразования в инновационные результаты</w:t>
      </w:r>
      <w:r w:rsidR="00922F3C" w:rsidRPr="00922F3C">
        <w:rPr>
          <w:rFonts w:ascii="Times New Roman" w:hAnsi="Times New Roman" w:cs="Times New Roman"/>
          <w:sz w:val="28"/>
          <w:szCs w:val="28"/>
        </w:rPr>
        <w:t>;</w:t>
      </w:r>
    </w:p>
    <w:p w14:paraId="23D2C13E" w14:textId="76D3A515" w:rsidR="00F9247A" w:rsidRPr="0053043E" w:rsidRDefault="00961992" w:rsidP="00B20582">
      <w:pPr>
        <w:pStyle w:val="a3"/>
        <w:numPr>
          <w:ilvl w:val="0"/>
          <w:numId w:val="68"/>
        </w:numPr>
        <w:tabs>
          <w:tab w:val="left" w:pos="851"/>
        </w:tabs>
        <w:spacing w:after="0" w:line="240" w:lineRule="auto"/>
        <w:ind w:left="0" w:firstLine="567"/>
        <w:jc w:val="both"/>
        <w:rPr>
          <w:rFonts w:ascii="Times New Roman" w:hAnsi="Times New Roman" w:cs="Times New Roman"/>
          <w:sz w:val="28"/>
          <w:szCs w:val="28"/>
          <w:lang w:val="kk-KZ"/>
        </w:rPr>
      </w:pPr>
      <w:r w:rsidRPr="00961992">
        <w:rPr>
          <w:rFonts w:ascii="Times New Roman" w:hAnsi="Times New Roman" w:cs="Times New Roman"/>
          <w:sz w:val="28"/>
          <w:szCs w:val="28"/>
          <w:lang w:val="kk-KZ"/>
        </w:rPr>
        <w:t xml:space="preserve">развит методологический инструментарий количественной оценки инновационного потенциала предпринимательских структур. Предложен подход к эконометрическому взвешиванию факторов инновационного потенциала, позволяющий объективизировать их значимость и снизить зависимость результатов от экспертной субъективности. Эмпирическая калибровка уровней </w:t>
      </w:r>
      <w:r w:rsidRPr="00961992">
        <w:rPr>
          <w:rFonts w:ascii="Times New Roman" w:hAnsi="Times New Roman" w:cs="Times New Roman"/>
          <w:sz w:val="28"/>
          <w:szCs w:val="28"/>
          <w:lang w:val="kk-KZ"/>
        </w:rPr>
        <w:lastRenderedPageBreak/>
        <w:t>интегрального индекса инновационного потенциала на основе латентного кластерного анализа расширяет возможности научной диагностики потенциала в исследованиях инновационного развития</w:t>
      </w:r>
      <w:r w:rsidR="00F9247A" w:rsidRPr="0053043E">
        <w:rPr>
          <w:rFonts w:ascii="Times New Roman" w:hAnsi="Times New Roman" w:cs="Times New Roman"/>
          <w:sz w:val="28"/>
          <w:szCs w:val="28"/>
          <w:lang w:val="kk-KZ"/>
        </w:rPr>
        <w:t>.</w:t>
      </w:r>
    </w:p>
    <w:p w14:paraId="6BE5C8C7" w14:textId="5B53690B" w:rsidR="00D07F44" w:rsidRPr="0053043E" w:rsidRDefault="00961992" w:rsidP="00961992">
      <w:pPr>
        <w:pStyle w:val="a3"/>
        <w:tabs>
          <w:tab w:val="left" w:pos="851"/>
        </w:tabs>
        <w:spacing w:after="0" w:line="240" w:lineRule="auto"/>
        <w:ind w:left="0" w:firstLine="567"/>
        <w:jc w:val="both"/>
        <w:rPr>
          <w:rFonts w:ascii="Times New Roman" w:hAnsi="Times New Roman" w:cs="Times New Roman"/>
          <w:i/>
          <w:sz w:val="28"/>
          <w:szCs w:val="28"/>
          <w:lang w:val="kk-KZ"/>
        </w:rPr>
      </w:pPr>
      <w:r w:rsidRPr="00961992">
        <w:rPr>
          <w:rFonts w:ascii="Times New Roman" w:hAnsi="Times New Roman" w:cs="Times New Roman"/>
          <w:sz w:val="28"/>
          <w:szCs w:val="28"/>
          <w:lang w:val="kk-KZ"/>
        </w:rPr>
        <w:t>Полученные теоретические и методологические результаты создают основу для постановки новых исследовательских задач в области цифровой экономики, управления человеческим капиталом и инновационной политики, а также способствуют развитию экономической методологии за счёт расширения практики применения методов структурного моделирования (SEM) и латентного кластерного анализа (LCA) в исследованиях предпринимательских систем</w:t>
      </w:r>
      <w:r w:rsidR="0053043E" w:rsidRPr="0053043E">
        <w:rPr>
          <w:rFonts w:ascii="Times New Roman" w:hAnsi="Times New Roman" w:cs="Times New Roman"/>
          <w:sz w:val="28"/>
          <w:szCs w:val="28"/>
          <w:lang w:val="kk-KZ"/>
        </w:rPr>
        <w:t>.</w:t>
      </w:r>
    </w:p>
    <w:p w14:paraId="7D3EFF94" w14:textId="14955326" w:rsidR="0053043E" w:rsidRPr="0053043E" w:rsidRDefault="00D07F44" w:rsidP="00317619">
      <w:pPr>
        <w:pStyle w:val="a3"/>
        <w:tabs>
          <w:tab w:val="left" w:pos="851"/>
        </w:tabs>
        <w:spacing w:after="0" w:line="240" w:lineRule="auto"/>
        <w:ind w:left="0" w:firstLine="567"/>
        <w:jc w:val="both"/>
        <w:rPr>
          <w:rFonts w:ascii="Times New Roman" w:hAnsi="Times New Roman" w:cs="Times New Roman"/>
          <w:sz w:val="28"/>
          <w:szCs w:val="28"/>
          <w:lang w:val="kk-KZ"/>
        </w:rPr>
      </w:pPr>
      <w:r w:rsidRPr="00F32E1D">
        <w:rPr>
          <w:rFonts w:ascii="Times New Roman" w:hAnsi="Times New Roman" w:cs="Times New Roman"/>
          <w:b/>
          <w:sz w:val="28"/>
          <w:szCs w:val="28"/>
          <w:lang w:val="kk-KZ"/>
        </w:rPr>
        <w:t xml:space="preserve">Практическая ценность результатов исследования. </w:t>
      </w:r>
      <w:r w:rsidR="00EA4C1A" w:rsidRPr="00EA4C1A">
        <w:rPr>
          <w:rFonts w:ascii="Times New Roman" w:hAnsi="Times New Roman" w:cs="Times New Roman"/>
          <w:sz w:val="28"/>
          <w:szCs w:val="28"/>
          <w:lang w:val="kk-KZ"/>
        </w:rPr>
        <w:t>Практическая значимость результатов диссертационного исследования определяется их прикладной направленностью и возможностью использования при формировании условий устойчивого развития предпринимательских структур, а также при усилении их конкурентных позиций в контексте цифровой трансформации экономики Республики Казахстан.</w:t>
      </w:r>
    </w:p>
    <w:p w14:paraId="6A4A4F12" w14:textId="62A3B455" w:rsidR="00961992" w:rsidRPr="00317619" w:rsidRDefault="0053043E" w:rsidP="00B20582">
      <w:pPr>
        <w:pStyle w:val="a3"/>
        <w:numPr>
          <w:ilvl w:val="0"/>
          <w:numId w:val="69"/>
        </w:numPr>
        <w:tabs>
          <w:tab w:val="left" w:pos="851"/>
        </w:tabs>
        <w:spacing w:after="0" w:line="240" w:lineRule="auto"/>
        <w:ind w:left="0" w:firstLine="567"/>
        <w:jc w:val="both"/>
        <w:rPr>
          <w:rFonts w:ascii="Times New Roman" w:hAnsi="Times New Roman" w:cs="Times New Roman"/>
          <w:sz w:val="28"/>
          <w:szCs w:val="28"/>
          <w:lang w:val="kk-KZ"/>
        </w:rPr>
      </w:pPr>
      <w:r w:rsidRPr="00317619">
        <w:rPr>
          <w:rFonts w:ascii="Times New Roman" w:hAnsi="Times New Roman" w:cs="Times New Roman"/>
          <w:i/>
          <w:sz w:val="28"/>
          <w:szCs w:val="28"/>
          <w:lang w:val="kk-KZ"/>
        </w:rPr>
        <w:t>Значимость для государственны</w:t>
      </w:r>
      <w:r w:rsidR="00327946" w:rsidRPr="00317619">
        <w:rPr>
          <w:rFonts w:ascii="Times New Roman" w:hAnsi="Times New Roman" w:cs="Times New Roman"/>
          <w:i/>
          <w:sz w:val="28"/>
          <w:szCs w:val="28"/>
          <w:lang w:val="kk-KZ"/>
        </w:rPr>
        <w:t>х органов и институтов развития</w:t>
      </w:r>
      <w:r w:rsidR="00327946" w:rsidRPr="00317619">
        <w:rPr>
          <w:rFonts w:ascii="Times New Roman" w:hAnsi="Times New Roman" w:cs="Times New Roman"/>
          <w:sz w:val="28"/>
          <w:szCs w:val="28"/>
          <w:lang w:val="kk-KZ"/>
        </w:rPr>
        <w:t>.</w:t>
      </w:r>
      <w:r w:rsidR="00317619">
        <w:rPr>
          <w:rFonts w:ascii="Times New Roman" w:hAnsi="Times New Roman" w:cs="Times New Roman"/>
          <w:sz w:val="28"/>
          <w:szCs w:val="28"/>
          <w:lang w:val="kk-KZ"/>
        </w:rPr>
        <w:t xml:space="preserve"> </w:t>
      </w:r>
      <w:r w:rsidR="00961992" w:rsidRPr="00317619">
        <w:rPr>
          <w:rFonts w:ascii="Times New Roman" w:hAnsi="Times New Roman" w:cs="Times New Roman"/>
          <w:sz w:val="28"/>
          <w:szCs w:val="28"/>
          <w:lang w:val="kk-KZ"/>
        </w:rPr>
        <w:t>Выводы, предложения и научно-практические рекомендации диссертационного исследования представляют практическую значимость для МНВО, МЦРИ, НПП «Атамекен», Фонда «Даму» и других институтов развития. Полученные результаты могут быть использованы при разработке и корректировке стратегий, программ и концепций в сфере инновационной и цифровой политики, в том числе в части:</w:t>
      </w:r>
    </w:p>
    <w:p w14:paraId="00F1F561" w14:textId="77777777" w:rsidR="00961992" w:rsidRPr="00961992" w:rsidRDefault="00961992" w:rsidP="00B20582">
      <w:pPr>
        <w:pStyle w:val="a3"/>
        <w:numPr>
          <w:ilvl w:val="0"/>
          <w:numId w:val="70"/>
        </w:numPr>
        <w:tabs>
          <w:tab w:val="left" w:pos="851"/>
        </w:tabs>
        <w:spacing w:after="0" w:line="240" w:lineRule="auto"/>
        <w:ind w:left="0" w:firstLine="567"/>
        <w:jc w:val="both"/>
        <w:rPr>
          <w:rFonts w:ascii="Times New Roman" w:hAnsi="Times New Roman" w:cs="Times New Roman"/>
          <w:sz w:val="28"/>
          <w:szCs w:val="28"/>
          <w:lang w:val="kk-KZ"/>
        </w:rPr>
      </w:pPr>
      <w:r w:rsidRPr="00961992">
        <w:rPr>
          <w:rFonts w:ascii="Times New Roman" w:hAnsi="Times New Roman" w:cs="Times New Roman"/>
          <w:sz w:val="28"/>
          <w:szCs w:val="28"/>
          <w:lang w:val="kk-KZ"/>
        </w:rPr>
        <w:t>перенастройки механизмов государственной поддержки с учётом институционального неравенства;</w:t>
      </w:r>
    </w:p>
    <w:p w14:paraId="2939EDE1" w14:textId="77777777" w:rsidR="00961992" w:rsidRPr="00961992" w:rsidRDefault="00961992" w:rsidP="00B20582">
      <w:pPr>
        <w:pStyle w:val="a3"/>
        <w:numPr>
          <w:ilvl w:val="0"/>
          <w:numId w:val="70"/>
        </w:numPr>
        <w:tabs>
          <w:tab w:val="left" w:pos="851"/>
        </w:tabs>
        <w:spacing w:after="0" w:line="240" w:lineRule="auto"/>
        <w:ind w:left="0" w:firstLine="567"/>
        <w:jc w:val="both"/>
        <w:rPr>
          <w:rFonts w:ascii="Times New Roman" w:hAnsi="Times New Roman" w:cs="Times New Roman"/>
          <w:sz w:val="28"/>
          <w:szCs w:val="28"/>
          <w:lang w:val="kk-KZ"/>
        </w:rPr>
      </w:pPr>
      <w:r w:rsidRPr="00961992">
        <w:rPr>
          <w:rFonts w:ascii="Times New Roman" w:hAnsi="Times New Roman" w:cs="Times New Roman"/>
          <w:sz w:val="28"/>
          <w:szCs w:val="28"/>
          <w:lang w:val="kk-KZ"/>
        </w:rPr>
        <w:t>повышения адресности инструментов поддержки предпринимательских структур различного масштаба;</w:t>
      </w:r>
    </w:p>
    <w:p w14:paraId="594CE9D8" w14:textId="77777777" w:rsidR="00961992" w:rsidRPr="00961992" w:rsidRDefault="00961992" w:rsidP="00B20582">
      <w:pPr>
        <w:pStyle w:val="a3"/>
        <w:numPr>
          <w:ilvl w:val="0"/>
          <w:numId w:val="70"/>
        </w:numPr>
        <w:tabs>
          <w:tab w:val="left" w:pos="851"/>
        </w:tabs>
        <w:spacing w:after="0" w:line="240" w:lineRule="auto"/>
        <w:ind w:left="0" w:firstLine="567"/>
        <w:jc w:val="both"/>
        <w:rPr>
          <w:rFonts w:ascii="Times New Roman" w:hAnsi="Times New Roman" w:cs="Times New Roman"/>
          <w:sz w:val="28"/>
          <w:szCs w:val="28"/>
          <w:lang w:val="kk-KZ"/>
        </w:rPr>
      </w:pPr>
      <w:r w:rsidRPr="00961992">
        <w:rPr>
          <w:rFonts w:ascii="Times New Roman" w:hAnsi="Times New Roman" w:cs="Times New Roman"/>
          <w:sz w:val="28"/>
          <w:szCs w:val="28"/>
          <w:lang w:val="kk-KZ"/>
        </w:rPr>
        <w:t>формирования элементов национальной инновационной системы, ориентированной на развитие инновационного потенциала МСП.</w:t>
      </w:r>
    </w:p>
    <w:p w14:paraId="160B892B" w14:textId="6D12D34F" w:rsidR="00961992" w:rsidRPr="00961992" w:rsidRDefault="00961992" w:rsidP="00961992">
      <w:pPr>
        <w:tabs>
          <w:tab w:val="left" w:pos="851"/>
        </w:tabs>
        <w:spacing w:after="0" w:line="240" w:lineRule="auto"/>
        <w:ind w:firstLine="567"/>
        <w:jc w:val="both"/>
        <w:rPr>
          <w:rFonts w:ascii="Times New Roman" w:hAnsi="Times New Roman" w:cs="Times New Roman"/>
          <w:sz w:val="28"/>
          <w:szCs w:val="28"/>
          <w:lang w:val="kk-KZ"/>
        </w:rPr>
      </w:pPr>
      <w:r w:rsidRPr="00961992">
        <w:rPr>
          <w:rFonts w:ascii="Times New Roman" w:hAnsi="Times New Roman" w:cs="Times New Roman"/>
          <w:sz w:val="28"/>
          <w:szCs w:val="28"/>
          <w:lang w:val="kk-KZ"/>
        </w:rPr>
        <w:t>Разработанная методика оценки и проектирования инновационного потенциала может быть адаптирована для внедрения в цифровую инфраструктуру институтов развития, включая платформы Astana Hub, QazInnovations и другие экосистемные инструменты поддержки предпринимательства.</w:t>
      </w:r>
    </w:p>
    <w:p w14:paraId="2D063E4B" w14:textId="7B8C4896" w:rsidR="00961992" w:rsidRDefault="0053043E" w:rsidP="00961992">
      <w:pPr>
        <w:pStyle w:val="a3"/>
        <w:tabs>
          <w:tab w:val="left" w:pos="851"/>
        </w:tabs>
        <w:spacing w:after="0" w:line="240" w:lineRule="auto"/>
        <w:ind w:left="0" w:firstLine="567"/>
        <w:jc w:val="both"/>
        <w:rPr>
          <w:rFonts w:ascii="Times New Roman" w:hAnsi="Times New Roman" w:cs="Times New Roman"/>
          <w:sz w:val="28"/>
          <w:szCs w:val="28"/>
          <w:lang w:val="kk-KZ"/>
        </w:rPr>
      </w:pPr>
      <w:r w:rsidRPr="0053043E">
        <w:rPr>
          <w:rFonts w:ascii="Times New Roman" w:hAnsi="Times New Roman" w:cs="Times New Roman"/>
          <w:sz w:val="28"/>
          <w:szCs w:val="28"/>
          <w:lang w:val="kk-KZ"/>
        </w:rPr>
        <w:t xml:space="preserve">2. </w:t>
      </w:r>
      <w:r w:rsidRPr="00317619">
        <w:rPr>
          <w:rFonts w:ascii="Times New Roman" w:hAnsi="Times New Roman" w:cs="Times New Roman"/>
          <w:i/>
          <w:sz w:val="28"/>
          <w:szCs w:val="28"/>
          <w:lang w:val="kk-KZ"/>
        </w:rPr>
        <w:t>Значимость д</w:t>
      </w:r>
      <w:r w:rsidR="00961992" w:rsidRPr="00317619">
        <w:rPr>
          <w:rFonts w:ascii="Times New Roman" w:hAnsi="Times New Roman" w:cs="Times New Roman"/>
          <w:i/>
          <w:sz w:val="28"/>
          <w:szCs w:val="28"/>
          <w:lang w:val="kk-KZ"/>
        </w:rPr>
        <w:t>ля предпринимательских структур</w:t>
      </w:r>
      <w:r w:rsidR="00961992">
        <w:rPr>
          <w:rFonts w:ascii="Times New Roman" w:hAnsi="Times New Roman" w:cs="Times New Roman"/>
          <w:sz w:val="28"/>
          <w:szCs w:val="28"/>
          <w:lang w:val="kk-KZ"/>
        </w:rPr>
        <w:t xml:space="preserve">. </w:t>
      </w:r>
      <w:r w:rsidR="00961992" w:rsidRPr="00961992">
        <w:rPr>
          <w:rFonts w:ascii="Times New Roman" w:hAnsi="Times New Roman" w:cs="Times New Roman"/>
          <w:sz w:val="28"/>
          <w:szCs w:val="28"/>
          <w:lang w:val="kk-KZ"/>
        </w:rPr>
        <w:t>Результаты исследования могут быть использованы предприятиями различных масштабов в практической управленческой деятельности, в частности:</w:t>
      </w:r>
    </w:p>
    <w:p w14:paraId="4171213D" w14:textId="26B07BFD" w:rsidR="00961992" w:rsidRPr="00961992" w:rsidRDefault="00961992" w:rsidP="00B20582">
      <w:pPr>
        <w:pStyle w:val="a3"/>
        <w:numPr>
          <w:ilvl w:val="0"/>
          <w:numId w:val="70"/>
        </w:numPr>
        <w:tabs>
          <w:tab w:val="left" w:pos="851"/>
        </w:tabs>
        <w:spacing w:after="0" w:line="240" w:lineRule="auto"/>
        <w:ind w:left="0" w:firstLine="567"/>
        <w:jc w:val="both"/>
        <w:rPr>
          <w:rFonts w:ascii="Times New Roman" w:hAnsi="Times New Roman" w:cs="Times New Roman"/>
          <w:sz w:val="28"/>
          <w:szCs w:val="28"/>
          <w:lang w:val="kk-KZ"/>
        </w:rPr>
      </w:pPr>
      <w:r w:rsidRPr="00961992">
        <w:rPr>
          <w:rFonts w:ascii="Times New Roman" w:hAnsi="Times New Roman" w:cs="Times New Roman"/>
          <w:sz w:val="28"/>
          <w:szCs w:val="28"/>
          <w:lang w:val="kk-KZ"/>
        </w:rPr>
        <w:t>при проведении самодиагностики уровня инновационного потенциала на основе интегрального индекса, эконометрически взвешенных факторов, а также инструментов визуализации критических зон (ресурсные профили, тепловые карты);</w:t>
      </w:r>
    </w:p>
    <w:p w14:paraId="033B5A13" w14:textId="2C14F12F" w:rsidR="00327946" w:rsidRDefault="00961992" w:rsidP="00B20582">
      <w:pPr>
        <w:pStyle w:val="a3"/>
        <w:numPr>
          <w:ilvl w:val="0"/>
          <w:numId w:val="40"/>
        </w:numPr>
        <w:tabs>
          <w:tab w:val="left" w:pos="851"/>
        </w:tabs>
        <w:spacing w:after="0" w:line="240" w:lineRule="auto"/>
        <w:ind w:left="0" w:firstLine="567"/>
        <w:jc w:val="both"/>
        <w:rPr>
          <w:rFonts w:ascii="Times New Roman" w:hAnsi="Times New Roman" w:cs="Times New Roman"/>
          <w:sz w:val="28"/>
          <w:szCs w:val="28"/>
          <w:lang w:val="kk-KZ"/>
        </w:rPr>
      </w:pPr>
      <w:r w:rsidRPr="00961992">
        <w:rPr>
          <w:rFonts w:ascii="Times New Roman" w:hAnsi="Times New Roman" w:cs="Times New Roman"/>
          <w:sz w:val="28"/>
          <w:szCs w:val="28"/>
          <w:lang w:val="kk-KZ"/>
        </w:rPr>
        <w:t>при разработке адресных управленческих решений с использованием матрицы рекомендаций и трехуровневой модели управления человеческим капиталом и инновационной культурой, ориентированной на развитие β-значимых компетенций и адаптивных организационных практик.</w:t>
      </w:r>
      <w:r w:rsidR="0053043E" w:rsidRPr="00327946">
        <w:rPr>
          <w:rFonts w:ascii="Times New Roman" w:hAnsi="Times New Roman" w:cs="Times New Roman"/>
          <w:sz w:val="28"/>
          <w:szCs w:val="28"/>
          <w:lang w:val="kk-KZ"/>
        </w:rPr>
        <w:t xml:space="preserve"> </w:t>
      </w:r>
    </w:p>
    <w:p w14:paraId="06CBB86A" w14:textId="73CB35E7" w:rsidR="0053043E" w:rsidRPr="0053043E" w:rsidRDefault="0053043E" w:rsidP="00961992">
      <w:pPr>
        <w:pStyle w:val="a3"/>
        <w:tabs>
          <w:tab w:val="left" w:pos="851"/>
        </w:tabs>
        <w:spacing w:after="0" w:line="240" w:lineRule="auto"/>
        <w:ind w:left="0" w:firstLine="567"/>
        <w:jc w:val="both"/>
        <w:rPr>
          <w:rFonts w:ascii="Times New Roman" w:hAnsi="Times New Roman" w:cs="Times New Roman"/>
          <w:sz w:val="28"/>
          <w:szCs w:val="28"/>
          <w:lang w:val="kk-KZ"/>
        </w:rPr>
      </w:pPr>
      <w:r w:rsidRPr="0053043E">
        <w:rPr>
          <w:rFonts w:ascii="Times New Roman" w:hAnsi="Times New Roman" w:cs="Times New Roman"/>
          <w:sz w:val="28"/>
          <w:szCs w:val="28"/>
          <w:lang w:val="kk-KZ"/>
        </w:rPr>
        <w:lastRenderedPageBreak/>
        <w:t xml:space="preserve">3. </w:t>
      </w:r>
      <w:r w:rsidR="00327946" w:rsidRPr="00922F3C">
        <w:rPr>
          <w:rFonts w:ascii="Times New Roman" w:hAnsi="Times New Roman" w:cs="Times New Roman"/>
          <w:i/>
          <w:sz w:val="28"/>
          <w:szCs w:val="28"/>
          <w:lang w:val="kk-KZ"/>
        </w:rPr>
        <w:t>Вклад в образовательный процесс</w:t>
      </w:r>
      <w:r w:rsidR="00327946">
        <w:rPr>
          <w:rFonts w:ascii="Times New Roman" w:hAnsi="Times New Roman" w:cs="Times New Roman"/>
          <w:sz w:val="28"/>
          <w:szCs w:val="28"/>
          <w:lang w:val="kk-KZ"/>
        </w:rPr>
        <w:t>.</w:t>
      </w:r>
      <w:r w:rsidR="006B3161">
        <w:rPr>
          <w:rFonts w:ascii="Times New Roman" w:hAnsi="Times New Roman" w:cs="Times New Roman"/>
          <w:sz w:val="28"/>
          <w:szCs w:val="28"/>
          <w:lang w:val="kk-KZ"/>
        </w:rPr>
        <w:t xml:space="preserve"> </w:t>
      </w:r>
      <w:r w:rsidRPr="0053043E">
        <w:rPr>
          <w:rFonts w:ascii="Times New Roman" w:hAnsi="Times New Roman" w:cs="Times New Roman"/>
          <w:sz w:val="28"/>
          <w:szCs w:val="28"/>
          <w:lang w:val="kk-KZ"/>
        </w:rPr>
        <w:t xml:space="preserve">Материалы, содержащиеся в диссертационной работе, могут быть использованы в учебном процессе при подготовке специалистов по следующим </w:t>
      </w:r>
      <w:r w:rsidR="00327946">
        <w:rPr>
          <w:rFonts w:ascii="Times New Roman" w:hAnsi="Times New Roman" w:cs="Times New Roman"/>
          <w:sz w:val="28"/>
          <w:szCs w:val="28"/>
          <w:lang w:val="kk-KZ"/>
        </w:rPr>
        <w:t>образовательным программам</w:t>
      </w:r>
      <w:r w:rsidRPr="0053043E">
        <w:rPr>
          <w:rFonts w:ascii="Times New Roman" w:hAnsi="Times New Roman" w:cs="Times New Roman"/>
          <w:sz w:val="28"/>
          <w:szCs w:val="28"/>
          <w:lang w:val="kk-KZ"/>
        </w:rPr>
        <w:t>:</w:t>
      </w:r>
      <w:r w:rsidR="00327946">
        <w:rPr>
          <w:rFonts w:ascii="Times New Roman" w:hAnsi="Times New Roman" w:cs="Times New Roman"/>
          <w:sz w:val="28"/>
          <w:szCs w:val="28"/>
          <w:lang w:val="kk-KZ"/>
        </w:rPr>
        <w:t xml:space="preserve"> экономика, мнеджмент, маркетинг, государственное управление, цифровая экономика и т.п.</w:t>
      </w:r>
    </w:p>
    <w:p w14:paraId="26304C7F" w14:textId="0D1418BB" w:rsidR="00D07F44" w:rsidRPr="006B3161" w:rsidRDefault="00D07F44" w:rsidP="006B3161">
      <w:pPr>
        <w:spacing w:after="0" w:line="240" w:lineRule="auto"/>
        <w:ind w:firstLine="567"/>
        <w:jc w:val="both"/>
        <w:rPr>
          <w:rFonts w:ascii="Times New Roman" w:hAnsi="Times New Roman" w:cs="Times New Roman"/>
          <w:sz w:val="28"/>
          <w:szCs w:val="28"/>
        </w:rPr>
      </w:pPr>
      <w:r w:rsidRPr="00F32E1D">
        <w:rPr>
          <w:rFonts w:ascii="Times New Roman" w:hAnsi="Times New Roman" w:cs="Times New Roman"/>
          <w:b/>
          <w:sz w:val="28"/>
          <w:szCs w:val="28"/>
        </w:rPr>
        <w:t xml:space="preserve">Связь данной работы с другими научно-исследовательскими работами. </w:t>
      </w:r>
      <w:r w:rsidRPr="006B3161">
        <w:rPr>
          <w:rFonts w:ascii="Times New Roman" w:hAnsi="Times New Roman" w:cs="Times New Roman"/>
          <w:sz w:val="28"/>
          <w:szCs w:val="28"/>
        </w:rPr>
        <w:t>Диссертационное исследование было выполнено в рамках проекта «</w:t>
      </w:r>
      <w:r w:rsidR="006B3161" w:rsidRPr="006B3161">
        <w:rPr>
          <w:rFonts w:ascii="Times New Roman" w:hAnsi="Times New Roman" w:cs="Times New Roman"/>
          <w:sz w:val="28"/>
          <w:szCs w:val="28"/>
        </w:rPr>
        <w:t>Цифровая адаптация бизнес-процессов и инновационный рост МСБ в Казахстане: моделирование и анализ барьеров</w:t>
      </w:r>
      <w:r w:rsidRPr="006B3161">
        <w:rPr>
          <w:rFonts w:ascii="Times New Roman" w:hAnsi="Times New Roman" w:cs="Times New Roman"/>
          <w:sz w:val="28"/>
          <w:szCs w:val="28"/>
        </w:rPr>
        <w:t>» (</w:t>
      </w:r>
      <w:r w:rsidR="006B3161" w:rsidRPr="006B3161">
        <w:rPr>
          <w:rFonts w:ascii="Times New Roman" w:hAnsi="Times New Roman" w:cs="Times New Roman"/>
          <w:sz w:val="28"/>
          <w:szCs w:val="28"/>
        </w:rPr>
        <w:t>грантового финансирования исследований молодых ученых по проекту «Жас ғалым»</w:t>
      </w:r>
      <w:r w:rsidRPr="006B3161">
        <w:rPr>
          <w:rFonts w:ascii="Times New Roman" w:hAnsi="Times New Roman" w:cs="Times New Roman"/>
          <w:sz w:val="28"/>
          <w:szCs w:val="28"/>
        </w:rPr>
        <w:t>, ИРН</w:t>
      </w:r>
      <w:r w:rsidR="006B3161" w:rsidRPr="006B3161">
        <w:rPr>
          <w:rFonts w:ascii="Times New Roman" w:hAnsi="Times New Roman" w:cs="Times New Roman"/>
          <w:sz w:val="28"/>
          <w:szCs w:val="28"/>
          <w:lang w:val="kk-KZ"/>
        </w:rPr>
        <w:t xml:space="preserve"> </w:t>
      </w:r>
      <w:r w:rsidR="006B3161" w:rsidRPr="006B3161">
        <w:rPr>
          <w:rFonts w:ascii="Times New Roman" w:hAnsi="Times New Roman" w:cs="Times New Roman"/>
          <w:sz w:val="28"/>
          <w:szCs w:val="28"/>
        </w:rPr>
        <w:t>AP25795909</w:t>
      </w:r>
      <w:r w:rsidRPr="006B3161">
        <w:rPr>
          <w:rFonts w:ascii="Times New Roman" w:hAnsi="Times New Roman" w:cs="Times New Roman"/>
          <w:sz w:val="28"/>
          <w:szCs w:val="28"/>
        </w:rPr>
        <w:t>, 202</w:t>
      </w:r>
      <w:r w:rsidR="006B3161" w:rsidRPr="006B3161">
        <w:rPr>
          <w:rFonts w:ascii="Times New Roman" w:hAnsi="Times New Roman" w:cs="Times New Roman"/>
          <w:sz w:val="28"/>
          <w:szCs w:val="28"/>
          <w:lang w:val="kk-KZ"/>
        </w:rPr>
        <w:t>5</w:t>
      </w:r>
      <w:r w:rsidRPr="006B3161">
        <w:rPr>
          <w:rFonts w:ascii="Times New Roman" w:hAnsi="Times New Roman" w:cs="Times New Roman"/>
          <w:sz w:val="28"/>
          <w:szCs w:val="28"/>
        </w:rPr>
        <w:t>-202</w:t>
      </w:r>
      <w:r w:rsidR="006B3161" w:rsidRPr="006B3161">
        <w:rPr>
          <w:rFonts w:ascii="Times New Roman" w:hAnsi="Times New Roman" w:cs="Times New Roman"/>
          <w:sz w:val="28"/>
          <w:szCs w:val="28"/>
          <w:lang w:val="kk-KZ"/>
        </w:rPr>
        <w:t>7</w:t>
      </w:r>
      <w:r w:rsidRPr="006B3161">
        <w:rPr>
          <w:rFonts w:ascii="Times New Roman" w:hAnsi="Times New Roman" w:cs="Times New Roman"/>
          <w:sz w:val="28"/>
          <w:szCs w:val="28"/>
        </w:rPr>
        <w:t xml:space="preserve"> гг.). Отдельные научные выводы и предложения диссертационной работы были использованы при </w:t>
      </w:r>
      <w:r w:rsidR="00E7551B">
        <w:rPr>
          <w:rFonts w:ascii="Times New Roman" w:hAnsi="Times New Roman" w:cs="Times New Roman"/>
          <w:sz w:val="28"/>
          <w:szCs w:val="28"/>
        </w:rPr>
        <w:t>реализации</w:t>
      </w:r>
      <w:r w:rsidRPr="006B3161">
        <w:rPr>
          <w:rFonts w:ascii="Times New Roman" w:hAnsi="Times New Roman" w:cs="Times New Roman"/>
          <w:sz w:val="28"/>
          <w:szCs w:val="28"/>
        </w:rPr>
        <w:t xml:space="preserve"> грантового проекта фундаментальных исследований «</w:t>
      </w:r>
      <w:r w:rsidR="006B3161" w:rsidRPr="006B3161">
        <w:rPr>
          <w:rFonts w:ascii="Times New Roman" w:hAnsi="Times New Roman" w:cs="Times New Roman"/>
          <w:sz w:val="28"/>
          <w:szCs w:val="28"/>
        </w:rPr>
        <w:t>Влияние качества человеческого капитала на уровень инновационной активности предпринимательских структур в условиях перехода к Индустрии 4.0 в Республике Казахстан</w:t>
      </w:r>
      <w:r w:rsidRPr="006B3161">
        <w:rPr>
          <w:rFonts w:ascii="Times New Roman" w:hAnsi="Times New Roman" w:cs="Times New Roman"/>
          <w:sz w:val="28"/>
          <w:szCs w:val="28"/>
        </w:rPr>
        <w:t>» (</w:t>
      </w:r>
      <w:r w:rsidR="006B3161" w:rsidRPr="006B3161">
        <w:rPr>
          <w:rFonts w:ascii="Times New Roman" w:hAnsi="Times New Roman" w:cs="Times New Roman"/>
          <w:sz w:val="28"/>
          <w:szCs w:val="28"/>
        </w:rPr>
        <w:t>грантовое финансирован</w:t>
      </w:r>
      <w:r w:rsidR="00E7551B">
        <w:rPr>
          <w:rFonts w:ascii="Times New Roman" w:hAnsi="Times New Roman" w:cs="Times New Roman"/>
          <w:sz w:val="28"/>
          <w:szCs w:val="28"/>
        </w:rPr>
        <w:t>ие молодых ученых по научным и</w:t>
      </w:r>
      <w:r w:rsidR="006B3161" w:rsidRPr="006B3161">
        <w:rPr>
          <w:rFonts w:ascii="Times New Roman" w:hAnsi="Times New Roman" w:cs="Times New Roman"/>
          <w:sz w:val="28"/>
          <w:szCs w:val="28"/>
        </w:rPr>
        <w:t xml:space="preserve"> научно-техническим проектам</w:t>
      </w:r>
      <w:r w:rsidRPr="006B3161">
        <w:rPr>
          <w:rFonts w:ascii="Times New Roman" w:hAnsi="Times New Roman" w:cs="Times New Roman"/>
          <w:sz w:val="28"/>
          <w:szCs w:val="28"/>
        </w:rPr>
        <w:t>, ИРН</w:t>
      </w:r>
      <w:r w:rsidR="006B3161" w:rsidRPr="006B3161">
        <w:rPr>
          <w:rFonts w:ascii="Times New Roman" w:hAnsi="Times New Roman" w:cs="Times New Roman"/>
          <w:sz w:val="28"/>
          <w:szCs w:val="28"/>
          <w:lang w:val="kk-KZ"/>
        </w:rPr>
        <w:t xml:space="preserve"> AP19578464</w:t>
      </w:r>
      <w:r w:rsidRPr="006B3161">
        <w:rPr>
          <w:rFonts w:ascii="Times New Roman" w:hAnsi="Times New Roman" w:cs="Times New Roman"/>
          <w:sz w:val="28"/>
          <w:szCs w:val="28"/>
        </w:rPr>
        <w:t>, 202</w:t>
      </w:r>
      <w:r w:rsidR="006B3161" w:rsidRPr="006B3161">
        <w:rPr>
          <w:rFonts w:ascii="Times New Roman" w:hAnsi="Times New Roman" w:cs="Times New Roman"/>
          <w:sz w:val="28"/>
          <w:szCs w:val="28"/>
          <w:lang w:val="kk-KZ"/>
        </w:rPr>
        <w:t>3</w:t>
      </w:r>
      <w:r w:rsidRPr="006B3161">
        <w:rPr>
          <w:rFonts w:ascii="Times New Roman" w:hAnsi="Times New Roman" w:cs="Times New Roman"/>
          <w:sz w:val="28"/>
          <w:szCs w:val="28"/>
        </w:rPr>
        <w:t>-202</w:t>
      </w:r>
      <w:r w:rsidR="006B3161" w:rsidRPr="006B3161">
        <w:rPr>
          <w:rFonts w:ascii="Times New Roman" w:hAnsi="Times New Roman" w:cs="Times New Roman"/>
          <w:sz w:val="28"/>
          <w:szCs w:val="28"/>
          <w:lang w:val="kk-KZ"/>
        </w:rPr>
        <w:t>5</w:t>
      </w:r>
      <w:r w:rsidR="00296BA5">
        <w:rPr>
          <w:rFonts w:ascii="Times New Roman" w:hAnsi="Times New Roman" w:cs="Times New Roman"/>
          <w:sz w:val="28"/>
          <w:szCs w:val="28"/>
        </w:rPr>
        <w:t xml:space="preserve"> гг.)</w:t>
      </w:r>
      <w:r w:rsidRPr="006B3161">
        <w:rPr>
          <w:rFonts w:ascii="Times New Roman" w:hAnsi="Times New Roman" w:cs="Times New Roman"/>
          <w:sz w:val="28"/>
          <w:szCs w:val="28"/>
        </w:rPr>
        <w:t>.</w:t>
      </w:r>
    </w:p>
    <w:p w14:paraId="25F37C08" w14:textId="3DCF8FE1" w:rsidR="00D07F44" w:rsidRPr="00FE6C13" w:rsidRDefault="00D07F44" w:rsidP="00D07F44">
      <w:pPr>
        <w:spacing w:after="0" w:line="240" w:lineRule="auto"/>
        <w:ind w:firstLine="567"/>
        <w:jc w:val="both"/>
        <w:rPr>
          <w:rFonts w:ascii="Times New Roman" w:hAnsi="Times New Roman" w:cs="Times New Roman"/>
          <w:sz w:val="28"/>
          <w:szCs w:val="28"/>
        </w:rPr>
      </w:pPr>
      <w:r w:rsidRPr="00FE6C13">
        <w:rPr>
          <w:rFonts w:ascii="Times New Roman" w:hAnsi="Times New Roman" w:cs="Times New Roman"/>
          <w:b/>
          <w:sz w:val="28"/>
          <w:szCs w:val="28"/>
        </w:rPr>
        <w:t>Апробация результатов исследования.</w:t>
      </w:r>
      <w:r w:rsidRPr="00FE6C13">
        <w:rPr>
          <w:rFonts w:ascii="Times New Roman" w:hAnsi="Times New Roman" w:cs="Times New Roman"/>
          <w:i/>
          <w:sz w:val="28"/>
          <w:szCs w:val="28"/>
        </w:rPr>
        <w:t xml:space="preserve"> </w:t>
      </w:r>
      <w:r w:rsidRPr="00FE6C13">
        <w:rPr>
          <w:rFonts w:ascii="Times New Roman" w:hAnsi="Times New Roman" w:cs="Times New Roman"/>
          <w:sz w:val="28"/>
          <w:szCs w:val="28"/>
        </w:rPr>
        <w:t xml:space="preserve">Основные положения диссертации обсуждались на научно-методических семинарах </w:t>
      </w:r>
      <w:r w:rsidR="00F41B46" w:rsidRPr="00FE6C13">
        <w:rPr>
          <w:rFonts w:ascii="Times New Roman" w:hAnsi="Times New Roman" w:cs="Times New Roman"/>
          <w:sz w:val="28"/>
          <w:szCs w:val="28"/>
          <w:lang w:val="kk-KZ"/>
        </w:rPr>
        <w:t xml:space="preserve">кафедры «Экономика» </w:t>
      </w:r>
      <w:r w:rsidR="00FE6C13" w:rsidRPr="00FE6C13">
        <w:rPr>
          <w:rFonts w:ascii="Times New Roman" w:hAnsi="Times New Roman" w:cs="Times New Roman"/>
          <w:sz w:val="28"/>
          <w:szCs w:val="28"/>
          <w:lang w:val="kk-KZ"/>
        </w:rPr>
        <w:t>ф</w:t>
      </w:r>
      <w:r w:rsidR="00F41B46" w:rsidRPr="00FE6C13">
        <w:rPr>
          <w:rFonts w:ascii="Times New Roman" w:hAnsi="Times New Roman" w:cs="Times New Roman"/>
          <w:sz w:val="28"/>
          <w:szCs w:val="28"/>
          <w:lang w:val="kk-KZ"/>
        </w:rPr>
        <w:t xml:space="preserve">акультета экономики и права Торайгыров университета </w:t>
      </w:r>
      <w:r w:rsidR="00FE6C13" w:rsidRPr="00FE6C13">
        <w:rPr>
          <w:rFonts w:ascii="Times New Roman" w:hAnsi="Times New Roman" w:cs="Times New Roman"/>
          <w:sz w:val="28"/>
          <w:szCs w:val="28"/>
          <w:lang w:val="kk-KZ"/>
        </w:rPr>
        <w:t xml:space="preserve">и </w:t>
      </w:r>
      <w:r w:rsidR="00F41B46" w:rsidRPr="00FE6C13">
        <w:rPr>
          <w:rFonts w:ascii="Times New Roman" w:hAnsi="Times New Roman" w:cs="Times New Roman"/>
          <w:sz w:val="28"/>
          <w:szCs w:val="28"/>
          <w:lang w:val="kk-KZ"/>
        </w:rPr>
        <w:t>Бизнес школы Восточно-Казахстанского технического университета им. Д. Серикбаева</w:t>
      </w:r>
      <w:r w:rsidRPr="00FE6C13">
        <w:rPr>
          <w:rFonts w:ascii="Times New Roman" w:hAnsi="Times New Roman" w:cs="Times New Roman"/>
          <w:sz w:val="28"/>
          <w:szCs w:val="28"/>
        </w:rPr>
        <w:t>.</w:t>
      </w:r>
    </w:p>
    <w:p w14:paraId="08E9F4DC" w14:textId="2A6E5FE6" w:rsidR="00D07F44" w:rsidRDefault="00E678A2" w:rsidP="00E678A2">
      <w:pPr>
        <w:spacing w:after="0" w:line="240" w:lineRule="auto"/>
        <w:ind w:firstLine="567"/>
        <w:jc w:val="both"/>
        <w:rPr>
          <w:rFonts w:ascii="Times New Roman" w:hAnsi="Times New Roman" w:cs="Times New Roman"/>
          <w:color w:val="5B9BD5" w:themeColor="accent1"/>
          <w:sz w:val="28"/>
          <w:szCs w:val="28"/>
          <w:lang w:val="kk-KZ"/>
        </w:rPr>
      </w:pPr>
      <w:r w:rsidRPr="00E678A2">
        <w:rPr>
          <w:rFonts w:ascii="Times New Roman" w:hAnsi="Times New Roman" w:cs="Times New Roman"/>
          <w:sz w:val="28"/>
          <w:szCs w:val="28"/>
        </w:rPr>
        <w:t>Основные результаты диссертационного исследования были доложены и представлены на международн</w:t>
      </w:r>
      <w:r w:rsidR="00EA4C1A">
        <w:rPr>
          <w:rFonts w:ascii="Times New Roman" w:hAnsi="Times New Roman" w:cs="Times New Roman"/>
          <w:sz w:val="28"/>
          <w:szCs w:val="28"/>
          <w:lang w:val="kk-KZ"/>
        </w:rPr>
        <w:t>ых</w:t>
      </w:r>
      <w:r w:rsidRPr="00E678A2">
        <w:rPr>
          <w:rFonts w:ascii="Times New Roman" w:hAnsi="Times New Roman" w:cs="Times New Roman"/>
          <w:sz w:val="28"/>
          <w:szCs w:val="28"/>
        </w:rPr>
        <w:t xml:space="preserve"> научно-практическ</w:t>
      </w:r>
      <w:r w:rsidR="00D235A1">
        <w:rPr>
          <w:rFonts w:ascii="Times New Roman" w:hAnsi="Times New Roman" w:cs="Times New Roman"/>
          <w:sz w:val="28"/>
          <w:szCs w:val="28"/>
          <w:lang w:val="kk-KZ"/>
        </w:rPr>
        <w:t>их</w:t>
      </w:r>
      <w:r w:rsidRPr="00E678A2">
        <w:rPr>
          <w:rFonts w:ascii="Times New Roman" w:hAnsi="Times New Roman" w:cs="Times New Roman"/>
          <w:sz w:val="28"/>
          <w:szCs w:val="28"/>
        </w:rPr>
        <w:t xml:space="preserve"> конференци</w:t>
      </w:r>
      <w:r w:rsidR="00EA4C1A">
        <w:rPr>
          <w:rFonts w:ascii="Times New Roman" w:hAnsi="Times New Roman" w:cs="Times New Roman"/>
          <w:sz w:val="28"/>
          <w:szCs w:val="28"/>
          <w:lang w:val="kk-KZ"/>
        </w:rPr>
        <w:t>ях</w:t>
      </w:r>
      <w:r w:rsidRPr="00E678A2">
        <w:rPr>
          <w:rFonts w:ascii="Times New Roman" w:hAnsi="Times New Roman" w:cs="Times New Roman"/>
          <w:sz w:val="28"/>
          <w:szCs w:val="28"/>
        </w:rPr>
        <w:t xml:space="preserve"> «Х Торайгыровские </w:t>
      </w:r>
      <w:r w:rsidRPr="00D235A1">
        <w:rPr>
          <w:rFonts w:ascii="Times New Roman" w:hAnsi="Times New Roman" w:cs="Times New Roman"/>
          <w:sz w:val="28"/>
          <w:szCs w:val="28"/>
        </w:rPr>
        <w:t>чтения» (20</w:t>
      </w:r>
      <w:r w:rsidR="00D235A1" w:rsidRPr="00D235A1">
        <w:rPr>
          <w:rFonts w:ascii="Times New Roman" w:hAnsi="Times New Roman" w:cs="Times New Roman"/>
          <w:sz w:val="28"/>
          <w:szCs w:val="28"/>
          <w:lang w:val="kk-KZ"/>
        </w:rPr>
        <w:t>23</w:t>
      </w:r>
      <w:r w:rsidRPr="00D235A1">
        <w:rPr>
          <w:rFonts w:ascii="Times New Roman" w:hAnsi="Times New Roman" w:cs="Times New Roman"/>
          <w:sz w:val="28"/>
          <w:szCs w:val="28"/>
          <w:lang w:val="kk-KZ"/>
        </w:rPr>
        <w:t xml:space="preserve"> г.</w:t>
      </w:r>
      <w:r w:rsidRPr="00D235A1">
        <w:rPr>
          <w:rFonts w:ascii="Times New Roman" w:hAnsi="Times New Roman" w:cs="Times New Roman"/>
          <w:sz w:val="28"/>
          <w:szCs w:val="28"/>
        </w:rPr>
        <w:t>, г. Павлодар, РК); международной научной конференции молодых ученых, магистрантов, студентов и школьников «XIX Сатпаевские чтения» (2021</w:t>
      </w:r>
      <w:r w:rsidRPr="00D235A1">
        <w:rPr>
          <w:rFonts w:ascii="Times New Roman" w:hAnsi="Times New Roman" w:cs="Times New Roman"/>
          <w:sz w:val="28"/>
          <w:szCs w:val="28"/>
          <w:lang w:val="kk-KZ"/>
        </w:rPr>
        <w:t xml:space="preserve"> г.</w:t>
      </w:r>
      <w:r w:rsidRPr="00D235A1">
        <w:rPr>
          <w:rFonts w:ascii="Times New Roman" w:hAnsi="Times New Roman" w:cs="Times New Roman"/>
          <w:sz w:val="28"/>
          <w:szCs w:val="28"/>
        </w:rPr>
        <w:t xml:space="preserve">, г. Павлодар, РК); </w:t>
      </w:r>
      <w:r w:rsidR="00D235A1" w:rsidRPr="00D235A1">
        <w:rPr>
          <w:rFonts w:ascii="Times New Roman" w:hAnsi="Times New Roman" w:cs="Times New Roman"/>
          <w:sz w:val="28"/>
          <w:szCs w:val="28"/>
        </w:rPr>
        <w:t>международной научно-практической конференции: Проблемы и перспективы развития экономики и менеджмента в России и за рубежом</w:t>
      </w:r>
      <w:r w:rsidR="00D235A1" w:rsidRPr="00D235A1">
        <w:rPr>
          <w:rFonts w:ascii="Times New Roman" w:hAnsi="Times New Roman" w:cs="Times New Roman"/>
          <w:sz w:val="28"/>
          <w:szCs w:val="28"/>
          <w:lang w:val="kk-KZ"/>
        </w:rPr>
        <w:t xml:space="preserve"> </w:t>
      </w:r>
      <w:r w:rsidRPr="00D235A1">
        <w:rPr>
          <w:rFonts w:ascii="Times New Roman" w:hAnsi="Times New Roman" w:cs="Times New Roman"/>
          <w:sz w:val="28"/>
          <w:szCs w:val="28"/>
        </w:rPr>
        <w:t xml:space="preserve"> (20</w:t>
      </w:r>
      <w:r w:rsidR="00D235A1" w:rsidRPr="00D235A1">
        <w:rPr>
          <w:rFonts w:ascii="Times New Roman" w:hAnsi="Times New Roman" w:cs="Times New Roman"/>
          <w:sz w:val="28"/>
          <w:szCs w:val="28"/>
          <w:lang w:val="kk-KZ"/>
        </w:rPr>
        <w:t>22</w:t>
      </w:r>
      <w:r w:rsidRPr="00D235A1">
        <w:rPr>
          <w:rFonts w:ascii="Times New Roman" w:hAnsi="Times New Roman" w:cs="Times New Roman"/>
          <w:sz w:val="28"/>
          <w:szCs w:val="28"/>
          <w:lang w:val="kk-KZ"/>
        </w:rPr>
        <w:t xml:space="preserve"> г.</w:t>
      </w:r>
      <w:r w:rsidRPr="00D235A1">
        <w:rPr>
          <w:rFonts w:ascii="Times New Roman" w:hAnsi="Times New Roman" w:cs="Times New Roman"/>
          <w:sz w:val="28"/>
          <w:szCs w:val="28"/>
        </w:rPr>
        <w:t xml:space="preserve">, г. </w:t>
      </w:r>
      <w:r w:rsidR="00D235A1" w:rsidRPr="00D235A1">
        <w:rPr>
          <w:rFonts w:ascii="Times New Roman" w:hAnsi="Times New Roman" w:cs="Times New Roman"/>
          <w:sz w:val="28"/>
          <w:szCs w:val="28"/>
        </w:rPr>
        <w:t>Рубцовск</w:t>
      </w:r>
      <w:r w:rsidRPr="00D235A1">
        <w:rPr>
          <w:rFonts w:ascii="Times New Roman" w:hAnsi="Times New Roman" w:cs="Times New Roman"/>
          <w:sz w:val="28"/>
          <w:szCs w:val="28"/>
        </w:rPr>
        <w:t>, РФ); международной научно-технической конференции «Творчество молодых инновационному развитию Казахстана» (2022</w:t>
      </w:r>
      <w:r w:rsidRPr="00D235A1">
        <w:rPr>
          <w:rFonts w:ascii="Times New Roman" w:hAnsi="Times New Roman" w:cs="Times New Roman"/>
          <w:sz w:val="28"/>
          <w:szCs w:val="28"/>
          <w:lang w:val="kk-KZ"/>
        </w:rPr>
        <w:t xml:space="preserve"> г.</w:t>
      </w:r>
      <w:r w:rsidRPr="00D235A1">
        <w:rPr>
          <w:rFonts w:ascii="Times New Roman" w:hAnsi="Times New Roman" w:cs="Times New Roman"/>
          <w:sz w:val="28"/>
          <w:szCs w:val="28"/>
        </w:rPr>
        <w:t>, 2023</w:t>
      </w:r>
      <w:r w:rsidRPr="00D235A1">
        <w:rPr>
          <w:rFonts w:ascii="Times New Roman" w:hAnsi="Times New Roman" w:cs="Times New Roman"/>
          <w:sz w:val="28"/>
          <w:szCs w:val="28"/>
          <w:lang w:val="kk-KZ"/>
        </w:rPr>
        <w:t xml:space="preserve"> г.</w:t>
      </w:r>
      <w:r w:rsidRPr="00D235A1">
        <w:rPr>
          <w:rFonts w:ascii="Times New Roman" w:hAnsi="Times New Roman" w:cs="Times New Roman"/>
          <w:sz w:val="28"/>
          <w:szCs w:val="28"/>
        </w:rPr>
        <w:t>, г. Усть-Каменогорск, РК);  международном форуме молодых учёных «Современные научные направления: от прикладных исследований до инноваций» (2024</w:t>
      </w:r>
      <w:r w:rsidRPr="00D235A1">
        <w:rPr>
          <w:rFonts w:ascii="Times New Roman" w:hAnsi="Times New Roman" w:cs="Times New Roman"/>
          <w:sz w:val="28"/>
          <w:szCs w:val="28"/>
          <w:lang w:val="kk-KZ"/>
        </w:rPr>
        <w:t xml:space="preserve"> г.</w:t>
      </w:r>
      <w:r w:rsidRPr="00D235A1">
        <w:rPr>
          <w:rFonts w:ascii="Times New Roman" w:hAnsi="Times New Roman" w:cs="Times New Roman"/>
          <w:sz w:val="28"/>
          <w:szCs w:val="28"/>
        </w:rPr>
        <w:t xml:space="preserve">, г. Усть-Каменогорск, РК); 8-й Международной научной конференции </w:t>
      </w:r>
      <w:r w:rsidRPr="00D235A1">
        <w:rPr>
          <w:rFonts w:ascii="Times New Roman" w:hAnsi="Times New Roman" w:cs="Times New Roman"/>
          <w:sz w:val="28"/>
          <w:szCs w:val="28"/>
          <w:lang w:val="kk-KZ"/>
        </w:rPr>
        <w:t>«</w:t>
      </w:r>
      <w:r w:rsidRPr="00D235A1">
        <w:rPr>
          <w:rFonts w:ascii="Times New Roman" w:hAnsi="Times New Roman" w:cs="Times New Roman"/>
          <w:sz w:val="28"/>
          <w:szCs w:val="28"/>
        </w:rPr>
        <w:t>Scientific Results</w:t>
      </w:r>
      <w:r w:rsidRPr="00D235A1">
        <w:rPr>
          <w:rFonts w:ascii="Times New Roman" w:hAnsi="Times New Roman" w:cs="Times New Roman"/>
          <w:sz w:val="28"/>
          <w:szCs w:val="28"/>
          <w:lang w:val="kk-KZ"/>
        </w:rPr>
        <w:t>»</w:t>
      </w:r>
      <w:r w:rsidRPr="00D235A1">
        <w:rPr>
          <w:rFonts w:ascii="Times New Roman" w:hAnsi="Times New Roman" w:cs="Times New Roman"/>
          <w:sz w:val="28"/>
          <w:szCs w:val="28"/>
        </w:rPr>
        <w:t xml:space="preserve"> (2024 г., Рим, Италия).</w:t>
      </w:r>
      <w:r w:rsidRPr="00D235A1">
        <w:rPr>
          <w:rFonts w:ascii="Times New Roman" w:hAnsi="Times New Roman" w:cs="Times New Roman"/>
          <w:color w:val="5B9BD5" w:themeColor="accent1"/>
          <w:sz w:val="28"/>
          <w:szCs w:val="28"/>
          <w:lang w:val="kk-KZ"/>
        </w:rPr>
        <w:t xml:space="preserve"> </w:t>
      </w:r>
    </w:p>
    <w:p w14:paraId="6761C987" w14:textId="18F6B7AE" w:rsidR="006668B9" w:rsidRPr="00D235A1" w:rsidRDefault="006668B9" w:rsidP="00E678A2">
      <w:pPr>
        <w:spacing w:after="0" w:line="240" w:lineRule="auto"/>
        <w:ind w:firstLine="567"/>
        <w:jc w:val="both"/>
        <w:rPr>
          <w:rFonts w:ascii="Times New Roman" w:hAnsi="Times New Roman" w:cs="Times New Roman"/>
          <w:sz w:val="28"/>
          <w:szCs w:val="28"/>
          <w:lang w:val="kk-KZ"/>
        </w:rPr>
      </w:pPr>
      <w:r w:rsidRPr="006668B9">
        <w:rPr>
          <w:rFonts w:ascii="Times New Roman" w:hAnsi="Times New Roman" w:cs="Times New Roman"/>
          <w:sz w:val="28"/>
          <w:szCs w:val="28"/>
          <w:lang w:val="kk-KZ"/>
        </w:rPr>
        <w:t>Отдельные теоретико-методологические положения и инструменты оценки инновационного потенциала внедрены в деятельность предпринимательских и экспертно-аналитических структур, а также в образовательный процесс высшего учебного заведения, что подтверждено соответствующими актами внедрения</w:t>
      </w:r>
      <w:r w:rsidR="00AA67DC">
        <w:rPr>
          <w:rFonts w:ascii="Times New Roman" w:hAnsi="Times New Roman" w:cs="Times New Roman"/>
          <w:sz w:val="28"/>
          <w:szCs w:val="28"/>
          <w:lang w:val="kk-KZ"/>
        </w:rPr>
        <w:t xml:space="preserve"> (Приложение А)</w:t>
      </w:r>
      <w:r w:rsidRPr="006668B9">
        <w:rPr>
          <w:rFonts w:ascii="Times New Roman" w:hAnsi="Times New Roman" w:cs="Times New Roman"/>
          <w:sz w:val="28"/>
          <w:szCs w:val="28"/>
          <w:lang w:val="kk-KZ"/>
        </w:rPr>
        <w:t>. Разработанная автором методология проектирования инновационного потенциала предпринимательских структур зарегистрирована как объект авторского права, что подтверждает оригинальность и научную новизну полученных результатов</w:t>
      </w:r>
      <w:r w:rsidR="00AA67DC">
        <w:rPr>
          <w:rFonts w:ascii="Times New Roman" w:hAnsi="Times New Roman" w:cs="Times New Roman"/>
          <w:sz w:val="28"/>
          <w:szCs w:val="28"/>
          <w:lang w:val="kk-KZ"/>
        </w:rPr>
        <w:t xml:space="preserve"> (Приложение Б).</w:t>
      </w:r>
    </w:p>
    <w:p w14:paraId="12634702" w14:textId="0530750D" w:rsidR="00D07F44" w:rsidRPr="00296BA5" w:rsidRDefault="00D07F44" w:rsidP="00D07F44">
      <w:pPr>
        <w:spacing w:after="0" w:line="240" w:lineRule="auto"/>
        <w:ind w:firstLine="567"/>
        <w:jc w:val="both"/>
        <w:rPr>
          <w:rFonts w:ascii="Times New Roman" w:hAnsi="Times New Roman" w:cs="Times New Roman"/>
          <w:sz w:val="28"/>
          <w:szCs w:val="28"/>
        </w:rPr>
      </w:pPr>
      <w:r w:rsidRPr="00296BA5">
        <w:rPr>
          <w:rFonts w:ascii="Times New Roman" w:hAnsi="Times New Roman" w:cs="Times New Roman"/>
          <w:b/>
          <w:sz w:val="28"/>
          <w:szCs w:val="28"/>
        </w:rPr>
        <w:t>Публикация результатов исследования.</w:t>
      </w:r>
      <w:r w:rsidRPr="00296BA5">
        <w:rPr>
          <w:rFonts w:ascii="Times New Roman" w:hAnsi="Times New Roman" w:cs="Times New Roman"/>
          <w:i/>
          <w:sz w:val="28"/>
          <w:szCs w:val="28"/>
        </w:rPr>
        <w:t xml:space="preserve"> </w:t>
      </w:r>
      <w:r w:rsidRPr="00296BA5">
        <w:rPr>
          <w:rFonts w:ascii="Times New Roman" w:hAnsi="Times New Roman" w:cs="Times New Roman"/>
          <w:sz w:val="28"/>
          <w:szCs w:val="28"/>
        </w:rPr>
        <w:t xml:space="preserve">Основные положения и выводы, выносимые на защиту, нашли отражение в </w:t>
      </w:r>
      <w:r w:rsidR="00296BA5" w:rsidRPr="00296BA5">
        <w:rPr>
          <w:rFonts w:ascii="Times New Roman" w:hAnsi="Times New Roman" w:cs="Times New Roman"/>
          <w:sz w:val="28"/>
          <w:szCs w:val="28"/>
          <w:lang w:val="kk-KZ"/>
        </w:rPr>
        <w:t>20</w:t>
      </w:r>
      <w:r w:rsidRPr="00296BA5">
        <w:rPr>
          <w:rFonts w:ascii="Times New Roman" w:hAnsi="Times New Roman" w:cs="Times New Roman"/>
          <w:sz w:val="28"/>
          <w:szCs w:val="28"/>
        </w:rPr>
        <w:t xml:space="preserve"> научных трудах, из которых </w:t>
      </w:r>
      <w:r w:rsidR="00317619">
        <w:rPr>
          <w:rFonts w:ascii="Times New Roman" w:hAnsi="Times New Roman" w:cs="Times New Roman"/>
          <w:sz w:val="28"/>
          <w:szCs w:val="28"/>
          <w:lang w:val="kk-KZ"/>
        </w:rPr>
        <w:t>4</w:t>
      </w:r>
      <w:r w:rsidRPr="00296BA5">
        <w:rPr>
          <w:rFonts w:ascii="Times New Roman" w:hAnsi="Times New Roman" w:cs="Times New Roman"/>
          <w:sz w:val="28"/>
          <w:szCs w:val="28"/>
        </w:rPr>
        <w:t xml:space="preserve"> </w:t>
      </w:r>
      <w:r w:rsidRPr="00296BA5">
        <w:rPr>
          <w:rFonts w:ascii="Times New Roman" w:hAnsi="Times New Roman" w:cs="Times New Roman"/>
          <w:sz w:val="28"/>
          <w:szCs w:val="28"/>
        </w:rPr>
        <w:lastRenderedPageBreak/>
        <w:t xml:space="preserve">опубликован в журнале, имеющем ненулевой импакт-фактор и входящем в международные информационные ресурсы Scopus и </w:t>
      </w:r>
      <w:r w:rsidRPr="00296BA5">
        <w:rPr>
          <w:rFonts w:ascii="Times New Roman" w:hAnsi="Times New Roman" w:cs="Times New Roman"/>
          <w:sz w:val="28"/>
          <w:szCs w:val="28"/>
          <w:lang w:val="en-US"/>
        </w:rPr>
        <w:t>Web</w:t>
      </w:r>
      <w:r w:rsidRPr="00296BA5">
        <w:rPr>
          <w:rFonts w:ascii="Times New Roman" w:hAnsi="Times New Roman" w:cs="Times New Roman"/>
          <w:sz w:val="28"/>
          <w:szCs w:val="28"/>
        </w:rPr>
        <w:t xml:space="preserve"> </w:t>
      </w:r>
      <w:r w:rsidRPr="00296BA5">
        <w:rPr>
          <w:rFonts w:ascii="Times New Roman" w:hAnsi="Times New Roman" w:cs="Times New Roman"/>
          <w:sz w:val="28"/>
          <w:szCs w:val="28"/>
          <w:lang w:val="en-US"/>
        </w:rPr>
        <w:t>of</w:t>
      </w:r>
      <w:r w:rsidRPr="00296BA5">
        <w:rPr>
          <w:rFonts w:ascii="Times New Roman" w:hAnsi="Times New Roman" w:cs="Times New Roman"/>
          <w:sz w:val="28"/>
          <w:szCs w:val="28"/>
        </w:rPr>
        <w:t xml:space="preserve"> </w:t>
      </w:r>
      <w:r w:rsidRPr="00296BA5">
        <w:rPr>
          <w:rFonts w:ascii="Times New Roman" w:hAnsi="Times New Roman" w:cs="Times New Roman"/>
          <w:sz w:val="28"/>
          <w:szCs w:val="28"/>
          <w:lang w:val="en-US"/>
        </w:rPr>
        <w:t>science</w:t>
      </w:r>
      <w:r w:rsidRPr="00296BA5">
        <w:rPr>
          <w:rFonts w:ascii="Times New Roman" w:hAnsi="Times New Roman" w:cs="Times New Roman"/>
          <w:sz w:val="28"/>
          <w:szCs w:val="28"/>
        </w:rPr>
        <w:t>,</w:t>
      </w:r>
      <w:r w:rsidR="00296BA5" w:rsidRPr="00296BA5">
        <w:rPr>
          <w:rFonts w:ascii="Times New Roman" w:hAnsi="Times New Roman" w:cs="Times New Roman"/>
          <w:sz w:val="28"/>
          <w:szCs w:val="28"/>
          <w:lang w:val="kk-KZ"/>
        </w:rPr>
        <w:t xml:space="preserve"> </w:t>
      </w:r>
      <w:r w:rsidR="00296BA5" w:rsidRPr="00296BA5">
        <w:rPr>
          <w:rFonts w:ascii="Times New Roman" w:hAnsi="Times New Roman" w:cs="Times New Roman"/>
          <w:sz w:val="28"/>
          <w:szCs w:val="28"/>
        </w:rPr>
        <w:t>раздел в коллективной монографии объёмом 8,9 п.л. (авторский вклад – 6,03 п.л.)</w:t>
      </w:r>
      <w:r w:rsidR="00296BA5" w:rsidRPr="00296BA5">
        <w:rPr>
          <w:rFonts w:ascii="Times New Roman" w:hAnsi="Times New Roman" w:cs="Times New Roman"/>
          <w:sz w:val="28"/>
          <w:szCs w:val="28"/>
          <w:lang w:val="kk-KZ"/>
        </w:rPr>
        <w:t>,</w:t>
      </w:r>
      <w:r w:rsidRPr="00296BA5">
        <w:rPr>
          <w:rFonts w:ascii="Times New Roman" w:hAnsi="Times New Roman" w:cs="Times New Roman"/>
          <w:sz w:val="28"/>
          <w:szCs w:val="28"/>
        </w:rPr>
        <w:t xml:space="preserve"> </w:t>
      </w:r>
      <w:r w:rsidR="00D235A1">
        <w:rPr>
          <w:rFonts w:ascii="Times New Roman" w:hAnsi="Times New Roman" w:cs="Times New Roman"/>
          <w:sz w:val="28"/>
          <w:szCs w:val="28"/>
          <w:lang w:val="kk-KZ"/>
        </w:rPr>
        <w:t>4</w:t>
      </w:r>
      <w:r w:rsidRPr="00296BA5">
        <w:rPr>
          <w:rFonts w:ascii="Times New Roman" w:hAnsi="Times New Roman" w:cs="Times New Roman"/>
          <w:sz w:val="28"/>
          <w:szCs w:val="28"/>
        </w:rPr>
        <w:t xml:space="preserve"> - в зарубежных журналах, </w:t>
      </w:r>
      <w:r w:rsidR="00296BA5" w:rsidRPr="00296BA5">
        <w:rPr>
          <w:rFonts w:ascii="Times New Roman" w:hAnsi="Times New Roman" w:cs="Times New Roman"/>
          <w:sz w:val="28"/>
          <w:szCs w:val="28"/>
          <w:lang w:val="kk-KZ"/>
        </w:rPr>
        <w:t>4</w:t>
      </w:r>
      <w:r w:rsidRPr="00296BA5">
        <w:rPr>
          <w:rFonts w:ascii="Times New Roman" w:hAnsi="Times New Roman" w:cs="Times New Roman"/>
          <w:sz w:val="28"/>
          <w:szCs w:val="28"/>
        </w:rPr>
        <w:t xml:space="preserve"> - в научных изданиях, рекомендуемых КОК</w:t>
      </w:r>
      <w:r w:rsidR="00317619">
        <w:rPr>
          <w:rFonts w:ascii="Times New Roman" w:hAnsi="Times New Roman" w:cs="Times New Roman"/>
          <w:sz w:val="28"/>
          <w:szCs w:val="28"/>
          <w:lang w:val="kk-KZ"/>
        </w:rPr>
        <w:t>С</w:t>
      </w:r>
      <w:r w:rsidR="00317619" w:rsidRPr="00296BA5">
        <w:rPr>
          <w:rFonts w:ascii="Times New Roman" w:hAnsi="Times New Roman" w:cs="Times New Roman"/>
          <w:sz w:val="28"/>
          <w:szCs w:val="28"/>
        </w:rPr>
        <w:t>Н</w:t>
      </w:r>
      <w:r w:rsidR="00317619">
        <w:rPr>
          <w:rFonts w:ascii="Times New Roman" w:hAnsi="Times New Roman" w:cs="Times New Roman"/>
          <w:sz w:val="28"/>
          <w:szCs w:val="28"/>
          <w:lang w:val="kk-KZ"/>
        </w:rPr>
        <w:t>В</w:t>
      </w:r>
      <w:r w:rsidRPr="00296BA5">
        <w:rPr>
          <w:rFonts w:ascii="Times New Roman" w:hAnsi="Times New Roman" w:cs="Times New Roman"/>
          <w:sz w:val="28"/>
          <w:szCs w:val="28"/>
        </w:rPr>
        <w:t>О</w:t>
      </w:r>
      <w:r w:rsidR="00317619">
        <w:rPr>
          <w:rFonts w:ascii="Times New Roman" w:hAnsi="Times New Roman" w:cs="Times New Roman"/>
          <w:sz w:val="28"/>
          <w:szCs w:val="28"/>
        </w:rPr>
        <w:t xml:space="preserve"> М</w:t>
      </w:r>
      <w:r w:rsidRPr="00296BA5">
        <w:rPr>
          <w:rFonts w:ascii="Times New Roman" w:hAnsi="Times New Roman" w:cs="Times New Roman"/>
          <w:sz w:val="28"/>
          <w:szCs w:val="28"/>
        </w:rPr>
        <w:t>Н</w:t>
      </w:r>
      <w:r w:rsidR="00317619">
        <w:rPr>
          <w:rFonts w:ascii="Times New Roman" w:hAnsi="Times New Roman" w:cs="Times New Roman"/>
          <w:sz w:val="28"/>
          <w:szCs w:val="28"/>
          <w:lang w:val="kk-KZ"/>
        </w:rPr>
        <w:t>ВО</w:t>
      </w:r>
      <w:r w:rsidRPr="00296BA5">
        <w:rPr>
          <w:rFonts w:ascii="Times New Roman" w:hAnsi="Times New Roman" w:cs="Times New Roman"/>
          <w:sz w:val="28"/>
          <w:szCs w:val="28"/>
        </w:rPr>
        <w:t xml:space="preserve"> РК, и </w:t>
      </w:r>
      <w:r w:rsidR="00296BA5" w:rsidRPr="00296BA5">
        <w:rPr>
          <w:rFonts w:ascii="Times New Roman" w:hAnsi="Times New Roman" w:cs="Times New Roman"/>
          <w:sz w:val="28"/>
          <w:szCs w:val="28"/>
          <w:lang w:val="kk-KZ"/>
        </w:rPr>
        <w:t>10</w:t>
      </w:r>
      <w:r w:rsidRPr="00296BA5">
        <w:rPr>
          <w:rFonts w:ascii="Times New Roman" w:hAnsi="Times New Roman" w:cs="Times New Roman"/>
          <w:sz w:val="28"/>
          <w:szCs w:val="28"/>
        </w:rPr>
        <w:t xml:space="preserve"> докладов в трудах международных научно-практических конференций, из них </w:t>
      </w:r>
      <w:r w:rsidR="00296BA5" w:rsidRPr="00296BA5">
        <w:rPr>
          <w:rFonts w:ascii="Times New Roman" w:hAnsi="Times New Roman" w:cs="Times New Roman"/>
          <w:sz w:val="28"/>
          <w:szCs w:val="28"/>
          <w:lang w:val="kk-KZ"/>
        </w:rPr>
        <w:t>1</w:t>
      </w:r>
      <w:r w:rsidRPr="00296BA5">
        <w:rPr>
          <w:rFonts w:ascii="Times New Roman" w:hAnsi="Times New Roman" w:cs="Times New Roman"/>
          <w:sz w:val="28"/>
          <w:szCs w:val="28"/>
        </w:rPr>
        <w:t xml:space="preserve"> за рубежом (</w:t>
      </w:r>
      <w:r w:rsidR="00296BA5" w:rsidRPr="00296BA5">
        <w:rPr>
          <w:rFonts w:ascii="Times New Roman" w:hAnsi="Times New Roman" w:cs="Times New Roman"/>
          <w:sz w:val="28"/>
          <w:szCs w:val="28"/>
          <w:lang w:val="kk-KZ"/>
        </w:rPr>
        <w:t>Рим, Италия</w:t>
      </w:r>
      <w:r w:rsidR="00296BA5" w:rsidRPr="00296BA5">
        <w:rPr>
          <w:rFonts w:ascii="Times New Roman" w:hAnsi="Times New Roman" w:cs="Times New Roman"/>
          <w:sz w:val="28"/>
          <w:szCs w:val="28"/>
        </w:rPr>
        <w:t>)</w:t>
      </w:r>
      <w:r w:rsidRPr="00296BA5">
        <w:rPr>
          <w:rFonts w:ascii="Times New Roman" w:hAnsi="Times New Roman" w:cs="Times New Roman"/>
          <w:sz w:val="28"/>
          <w:szCs w:val="28"/>
        </w:rPr>
        <w:t xml:space="preserve">. </w:t>
      </w:r>
    </w:p>
    <w:p w14:paraId="05A7DC37" w14:textId="2853519E" w:rsidR="00D07F44" w:rsidRDefault="00D07F44" w:rsidP="00D07F44">
      <w:pPr>
        <w:spacing w:after="0" w:line="240" w:lineRule="auto"/>
        <w:ind w:firstLine="567"/>
        <w:jc w:val="both"/>
        <w:rPr>
          <w:rFonts w:ascii="Times New Roman" w:hAnsi="Times New Roman" w:cs="Times New Roman"/>
          <w:sz w:val="28"/>
          <w:szCs w:val="28"/>
        </w:rPr>
      </w:pPr>
      <w:r w:rsidRPr="00F41B46">
        <w:rPr>
          <w:rFonts w:ascii="Times New Roman" w:hAnsi="Times New Roman" w:cs="Times New Roman"/>
          <w:b/>
          <w:sz w:val="28"/>
          <w:szCs w:val="28"/>
        </w:rPr>
        <w:t>Структура и объем диссертации.</w:t>
      </w:r>
      <w:r w:rsidRPr="00F41B46">
        <w:rPr>
          <w:rFonts w:ascii="Times New Roman" w:hAnsi="Times New Roman" w:cs="Times New Roman"/>
          <w:i/>
          <w:sz w:val="28"/>
          <w:szCs w:val="28"/>
        </w:rPr>
        <w:t xml:space="preserve"> </w:t>
      </w:r>
      <w:r w:rsidRPr="00F41B46">
        <w:rPr>
          <w:rFonts w:ascii="Times New Roman" w:hAnsi="Times New Roman" w:cs="Times New Roman"/>
          <w:sz w:val="28"/>
          <w:szCs w:val="28"/>
        </w:rPr>
        <w:t xml:space="preserve">Структура диссертационной работы отражает логику, порядок исследования и алгоритм решения поставленных задач. Диссертация состоит из содержания, обозначений и сокращений, введения, трех глав, заключения, списка использованных источников и </w:t>
      </w:r>
      <w:r w:rsidR="00F41B46" w:rsidRPr="00F41B46">
        <w:rPr>
          <w:rFonts w:ascii="Times New Roman" w:hAnsi="Times New Roman" w:cs="Times New Roman"/>
          <w:sz w:val="28"/>
          <w:szCs w:val="28"/>
          <w:lang w:val="kk-KZ"/>
        </w:rPr>
        <w:t>1</w:t>
      </w:r>
      <w:r w:rsidR="00D3546F">
        <w:rPr>
          <w:rFonts w:ascii="Times New Roman" w:hAnsi="Times New Roman" w:cs="Times New Roman"/>
          <w:sz w:val="28"/>
          <w:szCs w:val="28"/>
          <w:lang w:val="kk-KZ"/>
        </w:rPr>
        <w:t>3</w:t>
      </w:r>
      <w:r w:rsidR="00F41B46" w:rsidRPr="00F41B46">
        <w:rPr>
          <w:rFonts w:ascii="Times New Roman" w:hAnsi="Times New Roman" w:cs="Times New Roman"/>
          <w:sz w:val="28"/>
          <w:szCs w:val="28"/>
        </w:rPr>
        <w:t xml:space="preserve"> приложений</w:t>
      </w:r>
      <w:r w:rsidRPr="00F41B46">
        <w:rPr>
          <w:rFonts w:ascii="Times New Roman" w:hAnsi="Times New Roman" w:cs="Times New Roman"/>
          <w:sz w:val="28"/>
          <w:szCs w:val="28"/>
        </w:rPr>
        <w:t xml:space="preserve">. Объем диссертационного исследования составляет </w:t>
      </w:r>
      <w:r w:rsidR="00D3546F">
        <w:rPr>
          <w:rFonts w:ascii="Times New Roman" w:hAnsi="Times New Roman" w:cs="Times New Roman"/>
          <w:sz w:val="28"/>
          <w:szCs w:val="28"/>
          <w:lang w:val="kk-KZ"/>
        </w:rPr>
        <w:t>1</w:t>
      </w:r>
      <w:r w:rsidR="005051D4">
        <w:rPr>
          <w:rFonts w:ascii="Times New Roman" w:hAnsi="Times New Roman" w:cs="Times New Roman"/>
          <w:sz w:val="28"/>
          <w:szCs w:val="28"/>
          <w:lang w:val="kk-KZ"/>
        </w:rPr>
        <w:t>87</w:t>
      </w:r>
      <w:r w:rsidRPr="00F41B46">
        <w:rPr>
          <w:rFonts w:ascii="Times New Roman" w:hAnsi="Times New Roman" w:cs="Times New Roman"/>
          <w:sz w:val="28"/>
          <w:szCs w:val="28"/>
        </w:rPr>
        <w:t xml:space="preserve"> страниц</w:t>
      </w:r>
      <w:r w:rsidR="00D3546F">
        <w:rPr>
          <w:rFonts w:ascii="Times New Roman" w:hAnsi="Times New Roman" w:cs="Times New Roman"/>
          <w:sz w:val="28"/>
          <w:szCs w:val="28"/>
          <w:lang w:val="kk-KZ"/>
        </w:rPr>
        <w:t>ы</w:t>
      </w:r>
      <w:r w:rsidRPr="00F41B46">
        <w:rPr>
          <w:rFonts w:ascii="Times New Roman" w:hAnsi="Times New Roman" w:cs="Times New Roman"/>
          <w:sz w:val="28"/>
          <w:szCs w:val="28"/>
        </w:rPr>
        <w:t xml:space="preserve"> машинописного текста, включающий в </w:t>
      </w:r>
      <w:r w:rsidRPr="00D3546F">
        <w:rPr>
          <w:rFonts w:ascii="Times New Roman" w:hAnsi="Times New Roman" w:cs="Times New Roman"/>
          <w:sz w:val="28"/>
          <w:szCs w:val="28"/>
        </w:rPr>
        <w:t xml:space="preserve">себя </w:t>
      </w:r>
      <w:r w:rsidR="00F41B46" w:rsidRPr="00D3546F">
        <w:rPr>
          <w:rFonts w:ascii="Times New Roman" w:hAnsi="Times New Roman" w:cs="Times New Roman"/>
          <w:sz w:val="28"/>
          <w:szCs w:val="28"/>
          <w:lang w:val="kk-KZ"/>
        </w:rPr>
        <w:t>39</w:t>
      </w:r>
      <w:r w:rsidRPr="00D3546F">
        <w:rPr>
          <w:rFonts w:ascii="Times New Roman" w:hAnsi="Times New Roman" w:cs="Times New Roman"/>
          <w:sz w:val="28"/>
          <w:szCs w:val="28"/>
        </w:rPr>
        <w:t xml:space="preserve"> таблиц, </w:t>
      </w:r>
      <w:r w:rsidR="00F41B46" w:rsidRPr="00D3546F">
        <w:rPr>
          <w:rFonts w:ascii="Times New Roman" w:hAnsi="Times New Roman" w:cs="Times New Roman"/>
          <w:sz w:val="28"/>
          <w:szCs w:val="28"/>
          <w:lang w:val="kk-KZ"/>
        </w:rPr>
        <w:t>1</w:t>
      </w:r>
      <w:r w:rsidR="00D3546F" w:rsidRPr="00D3546F">
        <w:rPr>
          <w:rFonts w:ascii="Times New Roman" w:hAnsi="Times New Roman" w:cs="Times New Roman"/>
          <w:sz w:val="28"/>
          <w:szCs w:val="28"/>
          <w:lang w:val="kk-KZ"/>
        </w:rPr>
        <w:t>5</w:t>
      </w:r>
      <w:r w:rsidRPr="00D3546F">
        <w:rPr>
          <w:rFonts w:ascii="Times New Roman" w:hAnsi="Times New Roman" w:cs="Times New Roman"/>
          <w:sz w:val="28"/>
          <w:szCs w:val="28"/>
        </w:rPr>
        <w:t xml:space="preserve"> рисунков, </w:t>
      </w:r>
      <w:r w:rsidR="00F41B46" w:rsidRPr="00D3546F">
        <w:rPr>
          <w:rFonts w:ascii="Times New Roman" w:hAnsi="Times New Roman" w:cs="Times New Roman"/>
          <w:sz w:val="28"/>
          <w:szCs w:val="28"/>
          <w:lang w:val="kk-KZ"/>
        </w:rPr>
        <w:t>2</w:t>
      </w:r>
      <w:r w:rsidR="00D3546F" w:rsidRPr="00D3546F">
        <w:rPr>
          <w:rFonts w:ascii="Times New Roman" w:hAnsi="Times New Roman" w:cs="Times New Roman"/>
          <w:sz w:val="28"/>
          <w:szCs w:val="28"/>
          <w:lang w:val="kk-KZ"/>
        </w:rPr>
        <w:t xml:space="preserve">3 </w:t>
      </w:r>
      <w:r w:rsidRPr="00D3546F">
        <w:rPr>
          <w:rFonts w:ascii="Times New Roman" w:hAnsi="Times New Roman" w:cs="Times New Roman"/>
          <w:sz w:val="28"/>
          <w:szCs w:val="28"/>
        </w:rPr>
        <w:t>формул</w:t>
      </w:r>
      <w:r w:rsidR="00D3546F" w:rsidRPr="00D3546F">
        <w:rPr>
          <w:rFonts w:ascii="Times New Roman" w:hAnsi="Times New Roman" w:cs="Times New Roman"/>
          <w:sz w:val="28"/>
          <w:szCs w:val="28"/>
          <w:lang w:val="kk-KZ"/>
        </w:rPr>
        <w:t>ы</w:t>
      </w:r>
      <w:r w:rsidRPr="00D3546F">
        <w:rPr>
          <w:rFonts w:ascii="Times New Roman" w:hAnsi="Times New Roman" w:cs="Times New Roman"/>
          <w:sz w:val="28"/>
          <w:szCs w:val="28"/>
        </w:rPr>
        <w:t xml:space="preserve">. Список использованных источников насчитывает </w:t>
      </w:r>
      <w:r w:rsidR="00F41B46" w:rsidRPr="00D3546F">
        <w:rPr>
          <w:rFonts w:ascii="Times New Roman" w:hAnsi="Times New Roman" w:cs="Times New Roman"/>
          <w:sz w:val="28"/>
          <w:szCs w:val="28"/>
          <w:lang w:val="kk-KZ"/>
        </w:rPr>
        <w:t>2</w:t>
      </w:r>
      <w:r w:rsidR="00D3546F" w:rsidRPr="00D3546F">
        <w:rPr>
          <w:rFonts w:ascii="Times New Roman" w:hAnsi="Times New Roman" w:cs="Times New Roman"/>
          <w:sz w:val="28"/>
          <w:szCs w:val="28"/>
          <w:lang w:val="kk-KZ"/>
        </w:rPr>
        <w:t>8</w:t>
      </w:r>
      <w:r w:rsidR="005051D4">
        <w:rPr>
          <w:rFonts w:ascii="Times New Roman" w:hAnsi="Times New Roman" w:cs="Times New Roman"/>
          <w:sz w:val="28"/>
          <w:szCs w:val="28"/>
          <w:lang w:val="kk-KZ"/>
        </w:rPr>
        <w:t>1</w:t>
      </w:r>
      <w:r w:rsidRPr="00D3546F">
        <w:rPr>
          <w:rFonts w:ascii="Times New Roman" w:hAnsi="Times New Roman" w:cs="Times New Roman"/>
          <w:sz w:val="28"/>
          <w:szCs w:val="28"/>
        </w:rPr>
        <w:t xml:space="preserve"> наименований</w:t>
      </w:r>
      <w:r w:rsidRPr="00F41B46">
        <w:rPr>
          <w:rFonts w:ascii="Times New Roman" w:hAnsi="Times New Roman" w:cs="Times New Roman"/>
          <w:sz w:val="28"/>
          <w:szCs w:val="28"/>
        </w:rPr>
        <w:t>.</w:t>
      </w:r>
    </w:p>
    <w:p w14:paraId="2A9BE561" w14:textId="77777777" w:rsidR="00937878" w:rsidRPr="00937878" w:rsidRDefault="00937878">
      <w:pPr>
        <w:rPr>
          <w:rFonts w:ascii="Times New Roman" w:hAnsi="Times New Roman" w:cs="Times New Roman"/>
          <w:sz w:val="28"/>
          <w:szCs w:val="28"/>
          <w:lang w:val="kk-KZ"/>
        </w:rPr>
      </w:pPr>
      <w:r>
        <w:rPr>
          <w:rFonts w:ascii="Times New Roman" w:hAnsi="Times New Roman" w:cs="Times New Roman"/>
          <w:sz w:val="28"/>
          <w:szCs w:val="28"/>
        </w:rPr>
        <w:br w:type="page"/>
      </w:r>
    </w:p>
    <w:p w14:paraId="719EC22F" w14:textId="22F84C82" w:rsidR="00F74CC0" w:rsidRPr="00CE0BCE" w:rsidRDefault="00F74CC0" w:rsidP="00EE311D">
      <w:pPr>
        <w:tabs>
          <w:tab w:val="left" w:pos="1134"/>
        </w:tabs>
        <w:spacing w:after="0" w:line="240" w:lineRule="auto"/>
        <w:ind w:firstLine="567"/>
        <w:jc w:val="both"/>
        <w:rPr>
          <w:rFonts w:ascii="Times New Roman" w:hAnsi="Times New Roman" w:cs="Times New Roman"/>
          <w:b/>
          <w:sz w:val="28"/>
          <w:szCs w:val="28"/>
        </w:rPr>
      </w:pPr>
      <w:r w:rsidRPr="00CE0BCE">
        <w:rPr>
          <w:rFonts w:ascii="Times New Roman" w:hAnsi="Times New Roman" w:cs="Times New Roman"/>
          <w:b/>
          <w:sz w:val="28"/>
          <w:szCs w:val="28"/>
        </w:rPr>
        <w:lastRenderedPageBreak/>
        <w:t>1</w:t>
      </w:r>
      <w:r w:rsidRPr="00CE0BCE">
        <w:rPr>
          <w:rFonts w:ascii="Times New Roman" w:hAnsi="Times New Roman" w:cs="Times New Roman"/>
          <w:b/>
          <w:sz w:val="28"/>
          <w:szCs w:val="28"/>
          <w:lang w:val="kk-KZ"/>
        </w:rPr>
        <w:t xml:space="preserve"> </w:t>
      </w:r>
      <w:r w:rsidRPr="00CE0BCE">
        <w:rPr>
          <w:rFonts w:ascii="Times New Roman" w:hAnsi="Times New Roman" w:cs="Times New Roman"/>
          <w:b/>
          <w:sz w:val="28"/>
          <w:szCs w:val="28"/>
        </w:rPr>
        <w:t>ТЕОРЕТИКО-МЕТОДОЛОГИЧЕСКИЕ ОСНОВЫ</w:t>
      </w:r>
      <w:r w:rsidR="008D092F" w:rsidRPr="00CE0BCE">
        <w:rPr>
          <w:rFonts w:ascii="Times New Roman" w:hAnsi="Times New Roman" w:cs="Times New Roman"/>
          <w:b/>
          <w:sz w:val="28"/>
          <w:szCs w:val="28"/>
          <w:lang w:val="kk-KZ"/>
        </w:rPr>
        <w:t xml:space="preserve"> </w:t>
      </w:r>
      <w:r w:rsidRPr="00CE0BCE">
        <w:rPr>
          <w:rFonts w:ascii="Times New Roman" w:hAnsi="Times New Roman" w:cs="Times New Roman"/>
          <w:b/>
          <w:sz w:val="28"/>
          <w:szCs w:val="28"/>
        </w:rPr>
        <w:t>ПРОЕКТИРОВАНИЯ</w:t>
      </w:r>
      <w:r w:rsidRPr="00CE0BCE">
        <w:rPr>
          <w:rFonts w:ascii="Times New Roman" w:hAnsi="Times New Roman" w:cs="Times New Roman"/>
          <w:b/>
          <w:sz w:val="28"/>
          <w:szCs w:val="28"/>
          <w:lang w:val="kk-KZ"/>
        </w:rPr>
        <w:t xml:space="preserve"> </w:t>
      </w:r>
      <w:r w:rsidRPr="00CE0BCE">
        <w:rPr>
          <w:rFonts w:ascii="Times New Roman" w:hAnsi="Times New Roman" w:cs="Times New Roman"/>
          <w:b/>
          <w:sz w:val="28"/>
          <w:szCs w:val="28"/>
        </w:rPr>
        <w:t>ИННОВАЦИОННОГО ПОТЕНЦИАЛА ПРЕДПРИНИМАТЕЛЬСКИХ СТРУКТУР В УСЛОВИЯХ ЦИФРОВОЙ ТРАНСФОРМАЦИИ</w:t>
      </w:r>
    </w:p>
    <w:p w14:paraId="728C6B33" w14:textId="77777777" w:rsidR="00F74CC0" w:rsidRPr="00CE0BCE" w:rsidRDefault="00F74CC0" w:rsidP="00937878">
      <w:pPr>
        <w:tabs>
          <w:tab w:val="left" w:pos="1064"/>
        </w:tabs>
        <w:spacing w:after="0" w:line="240" w:lineRule="auto"/>
        <w:ind w:firstLine="567"/>
        <w:jc w:val="both"/>
        <w:rPr>
          <w:rFonts w:ascii="Times New Roman" w:hAnsi="Times New Roman" w:cs="Times New Roman"/>
          <w:b/>
          <w:sz w:val="28"/>
          <w:szCs w:val="28"/>
        </w:rPr>
      </w:pPr>
    </w:p>
    <w:p w14:paraId="0FF9738C" w14:textId="77777777" w:rsidR="003D069F" w:rsidRPr="00CE0BCE" w:rsidRDefault="00F74CC0" w:rsidP="00937878">
      <w:pPr>
        <w:pStyle w:val="a3"/>
        <w:numPr>
          <w:ilvl w:val="1"/>
          <w:numId w:val="1"/>
        </w:numPr>
        <w:tabs>
          <w:tab w:val="left" w:pos="1064"/>
        </w:tabs>
        <w:spacing w:after="0" w:line="240" w:lineRule="auto"/>
        <w:ind w:left="0" w:firstLine="567"/>
        <w:jc w:val="both"/>
        <w:rPr>
          <w:rFonts w:ascii="Times New Roman" w:hAnsi="Times New Roman" w:cs="Times New Roman"/>
          <w:b/>
          <w:sz w:val="28"/>
          <w:szCs w:val="28"/>
        </w:rPr>
      </w:pPr>
      <w:r w:rsidRPr="00CE0BCE">
        <w:rPr>
          <w:rFonts w:ascii="Times New Roman" w:hAnsi="Times New Roman" w:cs="Times New Roman"/>
          <w:b/>
          <w:sz w:val="28"/>
          <w:szCs w:val="28"/>
        </w:rPr>
        <w:t>Сущность инновационного потенциала предпринимательских структур</w:t>
      </w:r>
    </w:p>
    <w:p w14:paraId="7B1C912F" w14:textId="77777777" w:rsidR="00C8338B" w:rsidRPr="00CE0BCE" w:rsidRDefault="00F74CC0" w:rsidP="002F33D0">
      <w:pPr>
        <w:spacing w:after="0" w:line="240" w:lineRule="auto"/>
        <w:ind w:firstLine="567"/>
        <w:jc w:val="both"/>
        <w:rPr>
          <w:rFonts w:ascii="Times New Roman" w:hAnsi="Times New Roman" w:cs="Times New Roman"/>
          <w:sz w:val="28"/>
          <w:szCs w:val="28"/>
        </w:rPr>
      </w:pPr>
      <w:r w:rsidRPr="00CE0BCE">
        <w:rPr>
          <w:rFonts w:ascii="Times New Roman" w:hAnsi="Times New Roman" w:cs="Times New Roman"/>
          <w:sz w:val="28"/>
          <w:szCs w:val="28"/>
        </w:rPr>
        <w:t>В современной экономике предпринимательские структуры играют роль ведущих хозяйствующих субъектов, выступая движущей силой экономического развития</w:t>
      </w:r>
      <w:r w:rsidRPr="00CE0BCE">
        <w:rPr>
          <w:rFonts w:ascii="Times New Roman" w:hAnsi="Times New Roman" w:cs="Times New Roman"/>
          <w:sz w:val="28"/>
          <w:szCs w:val="28"/>
          <w:lang w:val="kk-KZ"/>
        </w:rPr>
        <w:t xml:space="preserve">. </w:t>
      </w:r>
      <w:r w:rsidR="00C8338B" w:rsidRPr="00CE0BCE">
        <w:rPr>
          <w:rFonts w:ascii="Times New Roman" w:hAnsi="Times New Roman" w:cs="Times New Roman"/>
          <w:sz w:val="28"/>
          <w:szCs w:val="28"/>
        </w:rPr>
        <w:t>Однако их эффективность во многом определяется инновационным потенциалом, который отражает способность компаний адаптироваться к изменениям, внедрять новые технологии и формировать конкурентные преимущества.</w:t>
      </w:r>
    </w:p>
    <w:p w14:paraId="11FAA480" w14:textId="5F071E9E" w:rsidR="00C8338B" w:rsidRPr="00CE0BCE" w:rsidRDefault="00CE2018" w:rsidP="002F33D0">
      <w:pPr>
        <w:tabs>
          <w:tab w:val="left" w:pos="1064"/>
        </w:tabs>
        <w:spacing w:after="0" w:line="240" w:lineRule="auto"/>
        <w:ind w:firstLine="567"/>
        <w:jc w:val="both"/>
        <w:rPr>
          <w:rFonts w:ascii="Times New Roman" w:hAnsi="Times New Roman" w:cs="Times New Roman"/>
          <w:sz w:val="28"/>
          <w:szCs w:val="28"/>
        </w:rPr>
      </w:pPr>
      <w:r w:rsidRPr="00CE0BCE">
        <w:rPr>
          <w:rFonts w:ascii="Times New Roman" w:hAnsi="Times New Roman" w:cs="Times New Roman"/>
          <w:sz w:val="28"/>
          <w:szCs w:val="28"/>
        </w:rPr>
        <w:t>Для всестороннего осмысления сущности инновационного потенциала предпринимательских структур необходимо рассмотреть эволюцию предпринимательства, уточнить понятийный аппарат категорий «предпринимательские структуры», «инновационный потенциал» и «инновационная активность», раскрыть внутреннюю структуру инновационного потенциала и определить методологические подходы к его проектированию в условиях цифровой трансформации экономики.</w:t>
      </w:r>
    </w:p>
    <w:p w14:paraId="57856FAE" w14:textId="77777777" w:rsidR="00857AAC" w:rsidRPr="00CE0BCE" w:rsidRDefault="00857AAC" w:rsidP="002F33D0">
      <w:pPr>
        <w:spacing w:after="0" w:line="240" w:lineRule="auto"/>
        <w:ind w:firstLine="567"/>
        <w:jc w:val="both"/>
        <w:rPr>
          <w:rFonts w:ascii="Times New Roman" w:hAnsi="Times New Roman" w:cs="Times New Roman"/>
          <w:sz w:val="28"/>
          <w:szCs w:val="28"/>
        </w:rPr>
      </w:pPr>
      <w:r w:rsidRPr="00CE0BCE">
        <w:rPr>
          <w:rFonts w:ascii="Times New Roman" w:hAnsi="Times New Roman" w:cs="Times New Roman"/>
          <w:sz w:val="28"/>
          <w:szCs w:val="28"/>
        </w:rPr>
        <w:t xml:space="preserve">В теоретической концепции развития предпринимательства </w:t>
      </w:r>
      <w:r w:rsidRPr="00CE0BCE">
        <w:rPr>
          <w:rFonts w:ascii="Times New Roman" w:hAnsi="Times New Roman" w:cs="Times New Roman"/>
          <w:sz w:val="28"/>
          <w:szCs w:val="28"/>
          <w:lang w:val="kk-KZ"/>
        </w:rPr>
        <w:t>можно выделить четыре</w:t>
      </w:r>
      <w:r w:rsidRPr="00CE0BCE">
        <w:rPr>
          <w:rFonts w:ascii="Times New Roman" w:hAnsi="Times New Roman" w:cs="Times New Roman"/>
          <w:sz w:val="28"/>
          <w:szCs w:val="28"/>
        </w:rPr>
        <w:t xml:space="preserve"> этап</w:t>
      </w:r>
      <w:r w:rsidRPr="00CE0BCE">
        <w:rPr>
          <w:rFonts w:ascii="Times New Roman" w:hAnsi="Times New Roman" w:cs="Times New Roman"/>
          <w:sz w:val="28"/>
          <w:szCs w:val="28"/>
          <w:lang w:val="kk-KZ"/>
        </w:rPr>
        <w:t xml:space="preserve">а, </w:t>
      </w:r>
      <w:r w:rsidRPr="00CE0BCE">
        <w:rPr>
          <w:rFonts w:ascii="Times New Roman" w:hAnsi="Times New Roman" w:cs="Times New Roman"/>
          <w:sz w:val="28"/>
          <w:szCs w:val="28"/>
        </w:rPr>
        <w:t>каждый из которых характеризуется своими особенностями, факторами развития и теоретическими концепциями</w:t>
      </w:r>
      <w:r w:rsidRPr="00CE0BCE">
        <w:rPr>
          <w:rFonts w:ascii="Times New Roman" w:hAnsi="Times New Roman" w:cs="Times New Roman"/>
          <w:sz w:val="28"/>
          <w:szCs w:val="28"/>
          <w:lang w:val="kk-KZ"/>
        </w:rPr>
        <w:t xml:space="preserve"> </w:t>
      </w:r>
      <w:r w:rsidRPr="00CE0BCE">
        <w:rPr>
          <w:rFonts w:ascii="Times New Roman" w:hAnsi="Times New Roman" w:cs="Times New Roman"/>
          <w:sz w:val="28"/>
          <w:szCs w:val="28"/>
        </w:rPr>
        <w:t>(</w:t>
      </w:r>
      <w:r w:rsidRPr="00CE0BCE">
        <w:rPr>
          <w:rFonts w:ascii="Times New Roman" w:hAnsi="Times New Roman" w:cs="Times New Roman"/>
          <w:sz w:val="28"/>
          <w:szCs w:val="28"/>
          <w:lang w:val="kk-KZ"/>
        </w:rPr>
        <w:t>таблица</w:t>
      </w:r>
      <w:r w:rsidRPr="00CE0BCE">
        <w:rPr>
          <w:rFonts w:ascii="Times New Roman" w:hAnsi="Times New Roman" w:cs="Times New Roman"/>
          <w:sz w:val="28"/>
          <w:szCs w:val="28"/>
        </w:rPr>
        <w:t xml:space="preserve"> 1).</w:t>
      </w:r>
    </w:p>
    <w:p w14:paraId="351A545B" w14:textId="77777777" w:rsidR="00857AAC" w:rsidRPr="00CE0BCE" w:rsidRDefault="00857AAC" w:rsidP="002F33D0">
      <w:pPr>
        <w:autoSpaceDE w:val="0"/>
        <w:autoSpaceDN w:val="0"/>
        <w:adjustRightInd w:val="0"/>
        <w:spacing w:after="0" w:line="240" w:lineRule="auto"/>
        <w:ind w:firstLine="709"/>
        <w:jc w:val="both"/>
        <w:rPr>
          <w:rFonts w:ascii="Times New Roman" w:hAnsi="Times New Roman" w:cs="Times New Roman"/>
          <w:sz w:val="28"/>
          <w:szCs w:val="28"/>
        </w:rPr>
      </w:pPr>
    </w:p>
    <w:p w14:paraId="4E230159" w14:textId="15215F7E" w:rsidR="00857AAC" w:rsidRPr="00CE0BCE" w:rsidRDefault="008D092F" w:rsidP="002F33D0">
      <w:pPr>
        <w:autoSpaceDE w:val="0"/>
        <w:autoSpaceDN w:val="0"/>
        <w:adjustRightInd w:val="0"/>
        <w:spacing w:after="0" w:line="240" w:lineRule="auto"/>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 xml:space="preserve">Таблица 1 – </w:t>
      </w:r>
      <w:r w:rsidR="00857AAC" w:rsidRPr="00CE0BCE">
        <w:rPr>
          <w:rFonts w:ascii="Times New Roman" w:hAnsi="Times New Roman" w:cs="Times New Roman"/>
          <w:sz w:val="28"/>
          <w:szCs w:val="28"/>
          <w:lang w:val="kk-KZ"/>
        </w:rPr>
        <w:t>Ключевые этапы эволюции предпринимательства</w:t>
      </w:r>
    </w:p>
    <w:p w14:paraId="3C592CDB" w14:textId="77777777" w:rsidR="008D092F" w:rsidRPr="00CE0BCE" w:rsidRDefault="008D092F" w:rsidP="002F33D0">
      <w:pPr>
        <w:autoSpaceDE w:val="0"/>
        <w:autoSpaceDN w:val="0"/>
        <w:adjustRightInd w:val="0"/>
        <w:spacing w:after="0" w:line="240" w:lineRule="auto"/>
        <w:jc w:val="both"/>
        <w:rPr>
          <w:rFonts w:ascii="Times New Roman" w:hAnsi="Times New Roman" w:cs="Times New Roman"/>
          <w:sz w:val="28"/>
          <w:szCs w:val="28"/>
          <w:lang w:val="kk-KZ"/>
        </w:rPr>
      </w:pPr>
    </w:p>
    <w:tbl>
      <w:tblPr>
        <w:tblStyle w:val="a5"/>
        <w:tblW w:w="0" w:type="auto"/>
        <w:tblLook w:val="04A0" w:firstRow="1" w:lastRow="0" w:firstColumn="1" w:lastColumn="0" w:noHBand="0" w:noVBand="1"/>
      </w:tblPr>
      <w:tblGrid>
        <w:gridCol w:w="1980"/>
        <w:gridCol w:w="1417"/>
        <w:gridCol w:w="3261"/>
        <w:gridCol w:w="2968"/>
      </w:tblGrid>
      <w:tr w:rsidR="00CE0BCE" w:rsidRPr="00CE0BCE" w14:paraId="1D264360" w14:textId="77777777" w:rsidTr="00E64F6A">
        <w:tc>
          <w:tcPr>
            <w:tcW w:w="1980" w:type="dxa"/>
          </w:tcPr>
          <w:p w14:paraId="2FF78874" w14:textId="77777777" w:rsidR="00857AAC" w:rsidRPr="00CE0BCE" w:rsidRDefault="00857AAC" w:rsidP="002F33D0">
            <w:pPr>
              <w:autoSpaceDE w:val="0"/>
              <w:autoSpaceDN w:val="0"/>
              <w:adjustRightInd w:val="0"/>
              <w:ind w:firstLine="0"/>
              <w:jc w:val="both"/>
              <w:rPr>
                <w:szCs w:val="24"/>
                <w:lang w:val="kk-KZ"/>
              </w:rPr>
            </w:pPr>
            <w:r w:rsidRPr="00CE0BCE">
              <w:rPr>
                <w:szCs w:val="24"/>
                <w:lang w:val="kk-KZ"/>
              </w:rPr>
              <w:t>Этап</w:t>
            </w:r>
          </w:p>
        </w:tc>
        <w:tc>
          <w:tcPr>
            <w:tcW w:w="1417" w:type="dxa"/>
          </w:tcPr>
          <w:p w14:paraId="463A8ACE" w14:textId="77777777" w:rsidR="00857AAC" w:rsidRPr="00CE0BCE" w:rsidRDefault="00857AAC" w:rsidP="002F33D0">
            <w:pPr>
              <w:autoSpaceDE w:val="0"/>
              <w:autoSpaceDN w:val="0"/>
              <w:adjustRightInd w:val="0"/>
              <w:ind w:firstLine="0"/>
              <w:jc w:val="both"/>
              <w:rPr>
                <w:szCs w:val="24"/>
                <w:lang w:val="kk-KZ"/>
              </w:rPr>
            </w:pPr>
            <w:r w:rsidRPr="00CE0BCE">
              <w:rPr>
                <w:szCs w:val="24"/>
                <w:lang w:val="kk-KZ"/>
              </w:rPr>
              <w:t>Период</w:t>
            </w:r>
          </w:p>
        </w:tc>
        <w:tc>
          <w:tcPr>
            <w:tcW w:w="3261" w:type="dxa"/>
          </w:tcPr>
          <w:p w14:paraId="4EEBD14F" w14:textId="77777777" w:rsidR="00857AAC" w:rsidRPr="00CE0BCE" w:rsidRDefault="00857AAC" w:rsidP="002F33D0">
            <w:pPr>
              <w:autoSpaceDE w:val="0"/>
              <w:autoSpaceDN w:val="0"/>
              <w:adjustRightInd w:val="0"/>
              <w:ind w:firstLine="0"/>
              <w:jc w:val="both"/>
              <w:rPr>
                <w:szCs w:val="24"/>
                <w:lang w:val="kk-KZ"/>
              </w:rPr>
            </w:pPr>
            <w:r w:rsidRPr="00CE0BCE">
              <w:rPr>
                <w:szCs w:val="24"/>
                <w:lang w:val="kk-KZ"/>
              </w:rPr>
              <w:t>Ключевые черты</w:t>
            </w:r>
          </w:p>
        </w:tc>
        <w:tc>
          <w:tcPr>
            <w:tcW w:w="2968" w:type="dxa"/>
          </w:tcPr>
          <w:p w14:paraId="47C9A0AF" w14:textId="77777777" w:rsidR="00857AAC" w:rsidRPr="00CE0BCE" w:rsidRDefault="00857AAC" w:rsidP="002F33D0">
            <w:pPr>
              <w:autoSpaceDE w:val="0"/>
              <w:autoSpaceDN w:val="0"/>
              <w:adjustRightInd w:val="0"/>
              <w:ind w:firstLine="0"/>
              <w:jc w:val="both"/>
              <w:rPr>
                <w:szCs w:val="24"/>
                <w:lang w:val="kk-KZ"/>
              </w:rPr>
            </w:pPr>
            <w:r w:rsidRPr="00CE0BCE">
              <w:rPr>
                <w:szCs w:val="24"/>
                <w:lang w:val="kk-KZ"/>
              </w:rPr>
              <w:t>Основные концепции</w:t>
            </w:r>
          </w:p>
        </w:tc>
      </w:tr>
      <w:tr w:rsidR="00CE0BCE" w:rsidRPr="00617838" w14:paraId="009D1137" w14:textId="77777777" w:rsidTr="00E64F6A">
        <w:tc>
          <w:tcPr>
            <w:tcW w:w="1980" w:type="dxa"/>
          </w:tcPr>
          <w:p w14:paraId="5FF37FA2" w14:textId="77777777" w:rsidR="00857AAC" w:rsidRPr="00CE0BCE" w:rsidRDefault="00857AAC" w:rsidP="002F33D0">
            <w:pPr>
              <w:autoSpaceDE w:val="0"/>
              <w:autoSpaceDN w:val="0"/>
              <w:adjustRightInd w:val="0"/>
              <w:ind w:firstLine="0"/>
              <w:jc w:val="both"/>
              <w:rPr>
                <w:szCs w:val="24"/>
              </w:rPr>
            </w:pPr>
            <w:r w:rsidRPr="00CE0BCE">
              <w:rPr>
                <w:szCs w:val="24"/>
                <w:lang w:val="kk-KZ"/>
              </w:rPr>
              <w:t>И</w:t>
            </w:r>
            <w:r w:rsidRPr="00CE0BCE">
              <w:rPr>
                <w:szCs w:val="24"/>
              </w:rPr>
              <w:t>сторический</w:t>
            </w:r>
            <w:r w:rsidRPr="00CE0BCE">
              <w:rPr>
                <w:szCs w:val="24"/>
                <w:lang w:val="kk-KZ"/>
              </w:rPr>
              <w:t xml:space="preserve"> </w:t>
            </w:r>
          </w:p>
        </w:tc>
        <w:tc>
          <w:tcPr>
            <w:tcW w:w="1417" w:type="dxa"/>
          </w:tcPr>
          <w:p w14:paraId="1B7447D0" w14:textId="77777777" w:rsidR="00857AAC" w:rsidRPr="00CE0BCE" w:rsidRDefault="00857AAC" w:rsidP="002F33D0">
            <w:pPr>
              <w:autoSpaceDE w:val="0"/>
              <w:autoSpaceDN w:val="0"/>
              <w:adjustRightInd w:val="0"/>
              <w:ind w:firstLine="0"/>
              <w:rPr>
                <w:szCs w:val="24"/>
              </w:rPr>
            </w:pPr>
            <w:r w:rsidRPr="00CE0BCE">
              <w:rPr>
                <w:szCs w:val="24"/>
              </w:rPr>
              <w:t>До XIX века</w:t>
            </w:r>
          </w:p>
        </w:tc>
        <w:tc>
          <w:tcPr>
            <w:tcW w:w="3261" w:type="dxa"/>
          </w:tcPr>
          <w:p w14:paraId="56F3C7DC" w14:textId="77777777" w:rsidR="00857AAC" w:rsidRPr="00CE0BCE" w:rsidRDefault="00857AAC" w:rsidP="002F33D0">
            <w:pPr>
              <w:autoSpaceDE w:val="0"/>
              <w:autoSpaceDN w:val="0"/>
              <w:adjustRightInd w:val="0"/>
              <w:ind w:firstLine="0"/>
              <w:jc w:val="both"/>
              <w:rPr>
                <w:szCs w:val="24"/>
              </w:rPr>
            </w:pPr>
            <w:r w:rsidRPr="00CE0BCE">
              <w:rPr>
                <w:szCs w:val="24"/>
              </w:rPr>
              <w:t>Торговые гильдии, авантюризм</w:t>
            </w:r>
          </w:p>
        </w:tc>
        <w:tc>
          <w:tcPr>
            <w:tcW w:w="2968" w:type="dxa"/>
          </w:tcPr>
          <w:p w14:paraId="61471FD5" w14:textId="4365690D" w:rsidR="00857AAC" w:rsidRPr="00617838" w:rsidRDefault="00E64F6A" w:rsidP="002F33D0">
            <w:pPr>
              <w:autoSpaceDE w:val="0"/>
              <w:autoSpaceDN w:val="0"/>
              <w:adjustRightInd w:val="0"/>
              <w:ind w:firstLine="0"/>
              <w:jc w:val="both"/>
              <w:rPr>
                <w:szCs w:val="24"/>
                <w:highlight w:val="yellow"/>
                <w:lang w:val="en-US"/>
              </w:rPr>
            </w:pPr>
            <w:r w:rsidRPr="00CE0BCE">
              <w:rPr>
                <w:szCs w:val="24"/>
                <w:lang w:val="en-US"/>
              </w:rPr>
              <w:t xml:space="preserve">R. </w:t>
            </w:r>
            <w:r w:rsidR="006D1072" w:rsidRPr="00CE0BCE">
              <w:rPr>
                <w:szCs w:val="24"/>
                <w:lang w:val="kk-KZ"/>
              </w:rPr>
              <w:t>Cantillon</w:t>
            </w:r>
            <w:r w:rsidR="00BC0CE6" w:rsidRPr="00CE0BCE">
              <w:rPr>
                <w:szCs w:val="24"/>
                <w:lang w:val="kk-KZ"/>
              </w:rPr>
              <w:t xml:space="preserve"> </w:t>
            </w:r>
            <w:r w:rsidR="00E84334" w:rsidRPr="00CE0BCE">
              <w:rPr>
                <w:szCs w:val="24"/>
                <w:highlight w:val="yellow"/>
              </w:rPr>
              <w:fldChar w:fldCharType="begin"/>
            </w:r>
            <w:r w:rsidR="008734FD">
              <w:rPr>
                <w:szCs w:val="24"/>
                <w:highlight w:val="yellow"/>
              </w:rPr>
              <w:instrText xml:space="preserve"> ADDIN ZOTERO_ITEM CSL_CITATION {"citationID":"a17nl9grl5h","properties":{"formattedCitation":"[1]","plainCitation":"[1]","noteIndex":0},"citationItems":[{"id":35,"uris":["http://zotero.org/users/16887523/items/IDP6TPQX"],"itemData":{"id":35,"type":"book","ISBN":"978-0-86597-874-4","language":"en","number-of-pages":"176","publisher":"Liberty Fund","publisher-place":"Indianapolis","source":"K10plus ISBN","title":"Essay on the nature of trade in general","author":[{"family":"Cantillon","given":"Richard"}],"issued":{"date-parts":[["1755"]]}}}],"schema":"https://github.com/citation-style-language/schema/raw/master/csl-citation.json"} </w:instrText>
            </w:r>
            <w:r w:rsidR="00E84334" w:rsidRPr="00CE0BCE">
              <w:rPr>
                <w:szCs w:val="24"/>
                <w:highlight w:val="yellow"/>
              </w:rPr>
              <w:fldChar w:fldCharType="separate"/>
            </w:r>
            <w:r w:rsidR="009C6DCA" w:rsidRPr="009C6DCA">
              <w:t>[1]</w:t>
            </w:r>
            <w:r w:rsidR="00E84334" w:rsidRPr="00CE0BCE">
              <w:rPr>
                <w:szCs w:val="24"/>
                <w:highlight w:val="yellow"/>
              </w:rPr>
              <w:fldChar w:fldCharType="end"/>
            </w:r>
          </w:p>
        </w:tc>
      </w:tr>
      <w:tr w:rsidR="00CE0BCE" w:rsidRPr="00617838" w14:paraId="1DFD8BF4" w14:textId="77777777" w:rsidTr="00E64F6A">
        <w:tc>
          <w:tcPr>
            <w:tcW w:w="1980" w:type="dxa"/>
          </w:tcPr>
          <w:p w14:paraId="24AA0E80" w14:textId="77777777" w:rsidR="00857AAC" w:rsidRPr="00CE0BCE" w:rsidRDefault="00857AAC" w:rsidP="002F33D0">
            <w:pPr>
              <w:autoSpaceDE w:val="0"/>
              <w:autoSpaceDN w:val="0"/>
              <w:adjustRightInd w:val="0"/>
              <w:ind w:firstLine="0"/>
              <w:jc w:val="both"/>
              <w:rPr>
                <w:szCs w:val="24"/>
              </w:rPr>
            </w:pPr>
            <w:r w:rsidRPr="00CE0BCE">
              <w:rPr>
                <w:szCs w:val="24"/>
              </w:rPr>
              <w:t>Традиционный</w:t>
            </w:r>
            <w:r w:rsidRPr="00CE0BCE">
              <w:rPr>
                <w:szCs w:val="24"/>
                <w:lang w:val="kk-KZ"/>
              </w:rPr>
              <w:t xml:space="preserve">  </w:t>
            </w:r>
          </w:p>
        </w:tc>
        <w:tc>
          <w:tcPr>
            <w:tcW w:w="1417" w:type="dxa"/>
          </w:tcPr>
          <w:p w14:paraId="2AFAFBBA" w14:textId="77777777" w:rsidR="00857AAC" w:rsidRPr="00CE0BCE" w:rsidRDefault="00857AAC" w:rsidP="002F33D0">
            <w:pPr>
              <w:autoSpaceDE w:val="0"/>
              <w:autoSpaceDN w:val="0"/>
              <w:adjustRightInd w:val="0"/>
              <w:ind w:firstLine="0"/>
              <w:rPr>
                <w:szCs w:val="24"/>
              </w:rPr>
            </w:pPr>
            <w:r w:rsidRPr="00CE0BCE">
              <w:rPr>
                <w:szCs w:val="24"/>
              </w:rPr>
              <w:t>XIX – середина XX века</w:t>
            </w:r>
          </w:p>
        </w:tc>
        <w:tc>
          <w:tcPr>
            <w:tcW w:w="3261" w:type="dxa"/>
          </w:tcPr>
          <w:p w14:paraId="7997C886" w14:textId="77777777" w:rsidR="00857AAC" w:rsidRPr="00CE0BCE" w:rsidRDefault="00857AAC" w:rsidP="002F33D0">
            <w:pPr>
              <w:autoSpaceDE w:val="0"/>
              <w:autoSpaceDN w:val="0"/>
              <w:adjustRightInd w:val="0"/>
              <w:ind w:firstLine="0"/>
              <w:jc w:val="both"/>
              <w:rPr>
                <w:szCs w:val="24"/>
              </w:rPr>
            </w:pPr>
            <w:r w:rsidRPr="00CE0BCE">
              <w:rPr>
                <w:szCs w:val="24"/>
              </w:rPr>
              <w:t>Фабричное производство, предпринимательство как бизнес</w:t>
            </w:r>
          </w:p>
        </w:tc>
        <w:tc>
          <w:tcPr>
            <w:tcW w:w="2968" w:type="dxa"/>
          </w:tcPr>
          <w:p w14:paraId="4EF4BCD8" w14:textId="627BE95F" w:rsidR="00857AAC" w:rsidRPr="00CE0BCE" w:rsidRDefault="00127CB8" w:rsidP="00127CB8">
            <w:pPr>
              <w:autoSpaceDE w:val="0"/>
              <w:autoSpaceDN w:val="0"/>
              <w:adjustRightInd w:val="0"/>
              <w:ind w:firstLine="0"/>
              <w:jc w:val="both"/>
              <w:rPr>
                <w:szCs w:val="24"/>
                <w:highlight w:val="yellow"/>
                <w:lang w:val="en-US"/>
              </w:rPr>
            </w:pPr>
            <w:r>
              <w:rPr>
                <w:szCs w:val="24"/>
                <w:lang w:val="en-US"/>
              </w:rPr>
              <w:t>J. Schumpeter</w:t>
            </w:r>
            <w:r w:rsidR="00BC0CE6" w:rsidRPr="00CE0BCE">
              <w:rPr>
                <w:szCs w:val="24"/>
                <w:lang w:val="kk-KZ"/>
              </w:rPr>
              <w:t xml:space="preserve"> </w:t>
            </w:r>
            <w:r w:rsidR="00E84334" w:rsidRPr="00CE0BCE">
              <w:rPr>
                <w:szCs w:val="24"/>
                <w:highlight w:val="yellow"/>
              </w:rPr>
              <w:fldChar w:fldCharType="begin"/>
            </w:r>
            <w:r w:rsidR="00D623AA">
              <w:rPr>
                <w:szCs w:val="24"/>
                <w:highlight w:val="yellow"/>
                <w:lang w:val="en-US"/>
              </w:rPr>
              <w:instrText xml:space="preserve"> ADDIN ZOTERO_ITEM CSL_CITATION {"citationID":"a2clvicdf8i","properties":{"formattedCitation":"[2]","plainCitation":"[2]","noteIndex":0},"citationItems":[{"id":39,"uris":["http://zotero.org/users/16887523/items/YC24N7JZ"],"itemData":{"id":39,"type":"book","edition":"Cambridge","language":"en","number-of-pages":"196","publisher-place":"Massachusetts","source":"DOI.org (Crossref)","title":"The theory of economic development – An inquiry into profits, capital, credit, interest, and the business cycle","URL":"https://www.tandfonline.com/doi/full/10.1080/00343404.2017.1278975","author":[{"family":"Schumpeter","given":"Joseph"}],"accessed":{"date-parts":[["2025",11,18]]},"issued":{"date-parts":[["1934"]]}}}],"schema":"https://github.com/citation-style-language/schema/raw/master/csl-citation.json"} </w:instrText>
            </w:r>
            <w:r w:rsidR="00E84334" w:rsidRPr="00CE0BCE">
              <w:rPr>
                <w:szCs w:val="24"/>
                <w:highlight w:val="yellow"/>
              </w:rPr>
              <w:fldChar w:fldCharType="separate"/>
            </w:r>
            <w:r w:rsidR="009C6DCA" w:rsidRPr="009C6DCA">
              <w:t>[2]</w:t>
            </w:r>
            <w:r w:rsidR="00E84334" w:rsidRPr="00CE0BCE">
              <w:rPr>
                <w:szCs w:val="24"/>
                <w:highlight w:val="yellow"/>
              </w:rPr>
              <w:fldChar w:fldCharType="end"/>
            </w:r>
          </w:p>
        </w:tc>
      </w:tr>
      <w:tr w:rsidR="00CE0BCE" w:rsidRPr="00617838" w14:paraId="23AA1E9A" w14:textId="77777777" w:rsidTr="00E64F6A">
        <w:tc>
          <w:tcPr>
            <w:tcW w:w="1980" w:type="dxa"/>
          </w:tcPr>
          <w:p w14:paraId="22EECF2F" w14:textId="77777777" w:rsidR="00857AAC" w:rsidRPr="00CE0BCE" w:rsidRDefault="00857AAC" w:rsidP="002F33D0">
            <w:pPr>
              <w:autoSpaceDE w:val="0"/>
              <w:autoSpaceDN w:val="0"/>
              <w:adjustRightInd w:val="0"/>
              <w:ind w:firstLine="0"/>
              <w:jc w:val="both"/>
              <w:rPr>
                <w:szCs w:val="24"/>
              </w:rPr>
            </w:pPr>
            <w:r w:rsidRPr="00CE0BCE">
              <w:rPr>
                <w:szCs w:val="24"/>
                <w:lang w:val="kk-KZ"/>
              </w:rPr>
              <w:t>Индустриальный  инновационный</w:t>
            </w:r>
          </w:p>
        </w:tc>
        <w:tc>
          <w:tcPr>
            <w:tcW w:w="1417" w:type="dxa"/>
          </w:tcPr>
          <w:p w14:paraId="3E8EF2C0" w14:textId="77777777" w:rsidR="00857AAC" w:rsidRPr="00CE0BCE" w:rsidRDefault="00857AAC" w:rsidP="002F33D0">
            <w:pPr>
              <w:autoSpaceDE w:val="0"/>
              <w:autoSpaceDN w:val="0"/>
              <w:adjustRightInd w:val="0"/>
              <w:ind w:firstLine="0"/>
              <w:rPr>
                <w:szCs w:val="24"/>
              </w:rPr>
            </w:pPr>
            <w:r w:rsidRPr="00CE0BCE">
              <w:rPr>
                <w:szCs w:val="24"/>
              </w:rPr>
              <w:t>Вторая половина XX века</w:t>
            </w:r>
          </w:p>
        </w:tc>
        <w:tc>
          <w:tcPr>
            <w:tcW w:w="3261" w:type="dxa"/>
          </w:tcPr>
          <w:p w14:paraId="0D037DD4" w14:textId="77777777" w:rsidR="00857AAC" w:rsidRPr="00CE0BCE" w:rsidRDefault="00857AAC" w:rsidP="002F33D0">
            <w:pPr>
              <w:autoSpaceDE w:val="0"/>
              <w:autoSpaceDN w:val="0"/>
              <w:adjustRightInd w:val="0"/>
              <w:ind w:firstLine="0"/>
              <w:rPr>
                <w:szCs w:val="24"/>
              </w:rPr>
            </w:pPr>
            <w:r w:rsidRPr="00CE0BCE">
              <w:rPr>
                <w:szCs w:val="24"/>
              </w:rPr>
              <w:t>Госконтроль, субсидирование, корпоративное предпринимательство</w:t>
            </w:r>
          </w:p>
        </w:tc>
        <w:tc>
          <w:tcPr>
            <w:tcW w:w="2968" w:type="dxa"/>
          </w:tcPr>
          <w:p w14:paraId="59FEEBD5" w14:textId="28088A01" w:rsidR="00857AAC" w:rsidRPr="00617838" w:rsidRDefault="00127CB8" w:rsidP="002F33D0">
            <w:pPr>
              <w:autoSpaceDE w:val="0"/>
              <w:autoSpaceDN w:val="0"/>
              <w:adjustRightInd w:val="0"/>
              <w:ind w:firstLine="0"/>
              <w:jc w:val="both"/>
              <w:rPr>
                <w:szCs w:val="24"/>
                <w:highlight w:val="yellow"/>
                <w:lang w:val="en-US"/>
              </w:rPr>
            </w:pPr>
            <w:r>
              <w:rPr>
                <w:szCs w:val="24"/>
                <w:lang w:val="en-US"/>
              </w:rPr>
              <w:t>P. Drucker</w:t>
            </w:r>
            <w:r w:rsidR="00BC0CE6" w:rsidRPr="00CE0BCE">
              <w:rPr>
                <w:szCs w:val="24"/>
                <w:lang w:val="kk-KZ"/>
              </w:rPr>
              <w:t xml:space="preserve"> </w:t>
            </w:r>
            <w:r w:rsidR="00857AAC" w:rsidRPr="00CE0BCE">
              <w:rPr>
                <w:szCs w:val="24"/>
                <w:highlight w:val="yellow"/>
              </w:rPr>
              <w:fldChar w:fldCharType="begin" w:fldLock="1"/>
            </w:r>
            <w:r w:rsidR="00AE44BA">
              <w:rPr>
                <w:szCs w:val="24"/>
                <w:highlight w:val="yellow"/>
              </w:rPr>
              <w:instrText xml:space="preserve"> ADDIN ZOTERO_ITEM CSL_CITATION {"citationID":"a4npcn9h4j","properties":{"formattedCitation":"[3]","plainCitation":"[3]","noteIndex":0},"citationItems":[{"id":"jo0Cjpe8/StThTIdF","uris":["http://www.mendeley.com/documents/?uuid=2283f82a-c797-4a5a-bc31-67861411a8ab"],"itemData":{"DOI":"10.5817/cz.muni.p280-0197-2022-20","ISBN":"9783631744703","ISSN":"03637425","author":[{"dropping-particle":"","family":"Drucker","given":"Peter F","non-dropping-particle":"","parse-names":false,"suffix":""}],"container-title":"Innovation and entrepreneurship","id":"ITEM-1","issued":{"date-parts":[["1985"]]},"number-of-pages":"204","publisher":"HarperCollins","title":"Innovation and entrepreneurship","type":"book"}}],"schema":"https://github.com/citation-style-language/schema/raw/master/csl-citation.json"} </w:instrText>
            </w:r>
            <w:r w:rsidR="00857AAC" w:rsidRPr="00CE0BCE">
              <w:rPr>
                <w:szCs w:val="24"/>
                <w:highlight w:val="yellow"/>
              </w:rPr>
              <w:fldChar w:fldCharType="separate"/>
            </w:r>
            <w:r w:rsidR="009C6DCA" w:rsidRPr="009C6DCA">
              <w:t>[3]</w:t>
            </w:r>
            <w:r w:rsidR="00857AAC" w:rsidRPr="00CE0BCE">
              <w:rPr>
                <w:szCs w:val="24"/>
                <w:highlight w:val="yellow"/>
              </w:rPr>
              <w:fldChar w:fldCharType="end"/>
            </w:r>
          </w:p>
        </w:tc>
      </w:tr>
      <w:tr w:rsidR="00CE0BCE" w:rsidRPr="00604E89" w14:paraId="749302DD" w14:textId="77777777" w:rsidTr="00E64F6A">
        <w:tc>
          <w:tcPr>
            <w:tcW w:w="1980" w:type="dxa"/>
          </w:tcPr>
          <w:p w14:paraId="5064B3B7" w14:textId="77777777" w:rsidR="00857AAC" w:rsidRPr="00CE0BCE" w:rsidRDefault="00857AAC" w:rsidP="002F33D0">
            <w:pPr>
              <w:autoSpaceDE w:val="0"/>
              <w:autoSpaceDN w:val="0"/>
              <w:adjustRightInd w:val="0"/>
              <w:ind w:firstLine="0"/>
              <w:jc w:val="both"/>
              <w:rPr>
                <w:szCs w:val="24"/>
              </w:rPr>
            </w:pPr>
            <w:r w:rsidRPr="00CE0BCE">
              <w:rPr>
                <w:szCs w:val="24"/>
                <w:lang w:val="kk-KZ"/>
              </w:rPr>
              <w:t xml:space="preserve">Цифровой </w:t>
            </w:r>
            <w:r w:rsidRPr="00CE0BCE">
              <w:rPr>
                <w:szCs w:val="24"/>
              </w:rPr>
              <w:t xml:space="preserve"> инновационный</w:t>
            </w:r>
          </w:p>
        </w:tc>
        <w:tc>
          <w:tcPr>
            <w:tcW w:w="1417" w:type="dxa"/>
          </w:tcPr>
          <w:p w14:paraId="424F4F0B" w14:textId="77777777" w:rsidR="00857AAC" w:rsidRPr="00CE0BCE" w:rsidRDefault="00857AAC" w:rsidP="002F33D0">
            <w:pPr>
              <w:autoSpaceDE w:val="0"/>
              <w:autoSpaceDN w:val="0"/>
              <w:adjustRightInd w:val="0"/>
              <w:ind w:firstLine="0"/>
              <w:rPr>
                <w:szCs w:val="24"/>
              </w:rPr>
            </w:pPr>
            <w:r w:rsidRPr="00CE0BCE">
              <w:rPr>
                <w:szCs w:val="24"/>
              </w:rPr>
              <w:t>XXI век – настоящее время</w:t>
            </w:r>
          </w:p>
        </w:tc>
        <w:tc>
          <w:tcPr>
            <w:tcW w:w="3261" w:type="dxa"/>
          </w:tcPr>
          <w:p w14:paraId="7798317C" w14:textId="77777777" w:rsidR="00857AAC" w:rsidRPr="00CE0BCE" w:rsidRDefault="00857AAC" w:rsidP="002F33D0">
            <w:pPr>
              <w:autoSpaceDE w:val="0"/>
              <w:autoSpaceDN w:val="0"/>
              <w:adjustRightInd w:val="0"/>
              <w:ind w:firstLine="0"/>
              <w:jc w:val="both"/>
              <w:rPr>
                <w:szCs w:val="24"/>
              </w:rPr>
            </w:pPr>
            <w:r w:rsidRPr="00CE0BCE">
              <w:rPr>
                <w:szCs w:val="24"/>
              </w:rPr>
              <w:t>Стартапы, цифровая экономика, платформенные технологии</w:t>
            </w:r>
          </w:p>
        </w:tc>
        <w:tc>
          <w:tcPr>
            <w:tcW w:w="2968" w:type="dxa"/>
          </w:tcPr>
          <w:p w14:paraId="1BE866D0" w14:textId="722266DA" w:rsidR="00857AAC" w:rsidRPr="00CE0BCE" w:rsidRDefault="00127CB8" w:rsidP="002F33D0">
            <w:pPr>
              <w:autoSpaceDE w:val="0"/>
              <w:autoSpaceDN w:val="0"/>
              <w:adjustRightInd w:val="0"/>
              <w:ind w:firstLine="0"/>
              <w:jc w:val="both"/>
              <w:rPr>
                <w:szCs w:val="24"/>
                <w:lang w:val="kk-KZ"/>
              </w:rPr>
            </w:pPr>
            <w:r>
              <w:rPr>
                <w:szCs w:val="24"/>
                <w:lang w:val="en-US"/>
              </w:rPr>
              <w:t>M. Porter</w:t>
            </w:r>
            <w:r w:rsidR="00BC0CE6" w:rsidRPr="00CE0BCE">
              <w:rPr>
                <w:szCs w:val="24"/>
                <w:lang w:val="kk-KZ"/>
              </w:rPr>
              <w:t xml:space="preserve"> </w:t>
            </w:r>
            <w:r w:rsidR="00BC0CE6" w:rsidRPr="00CE0BCE">
              <w:rPr>
                <w:szCs w:val="24"/>
                <w:lang w:val="kk-KZ"/>
              </w:rPr>
              <w:fldChar w:fldCharType="begin"/>
            </w:r>
            <w:r w:rsidR="00D623AA">
              <w:rPr>
                <w:szCs w:val="24"/>
                <w:lang w:val="kk-KZ"/>
              </w:rPr>
              <w:instrText xml:space="preserve"> ADDIN ZOTERO_ITEM CSL_CITATION {"citationID":"a2mc23vdela","properties":{"formattedCitation":"[4]","plainCitation":"[4]","noteIndex":0},"citationItems":[{"id":42,"uris":["http://zotero.org/users/16887523/items/E9Z9C4JD"],"itemData":{"id":42,"type":"book","language":"en","number-of-pages":"875","publisher":"Free Press","publisher-place":"New York","source":"Zotero","title":"The Competitive Advantage of Nations","author":[{"family":"Porter","given":"Michael E"}],"issued":{"date-parts":[["1990"]]}}}],"schema":"https://github.com/citation-style-language/schema/raw/master/csl-citation.json"} </w:instrText>
            </w:r>
            <w:r w:rsidR="00BC0CE6" w:rsidRPr="00CE0BCE">
              <w:rPr>
                <w:szCs w:val="24"/>
                <w:lang w:val="kk-KZ"/>
              </w:rPr>
              <w:fldChar w:fldCharType="separate"/>
            </w:r>
            <w:r w:rsidR="009C6DCA" w:rsidRPr="009C6DCA">
              <w:rPr>
                <w:lang w:val="en-US"/>
              </w:rPr>
              <w:t>[4]</w:t>
            </w:r>
            <w:r w:rsidR="00BC0CE6" w:rsidRPr="00CE0BCE">
              <w:rPr>
                <w:szCs w:val="24"/>
                <w:lang w:val="kk-KZ"/>
              </w:rPr>
              <w:fldChar w:fldCharType="end"/>
            </w:r>
          </w:p>
          <w:p w14:paraId="24AF4FBE" w14:textId="19F0BAE2" w:rsidR="00BC0CE6" w:rsidRPr="00CE0BCE" w:rsidRDefault="00127CB8" w:rsidP="002F33D0">
            <w:pPr>
              <w:autoSpaceDE w:val="0"/>
              <w:autoSpaceDN w:val="0"/>
              <w:adjustRightInd w:val="0"/>
              <w:ind w:firstLine="0"/>
              <w:jc w:val="both"/>
              <w:rPr>
                <w:szCs w:val="24"/>
                <w:highlight w:val="yellow"/>
                <w:lang w:val="en-US"/>
              </w:rPr>
            </w:pPr>
            <w:r>
              <w:rPr>
                <w:szCs w:val="24"/>
                <w:lang w:val="en-US"/>
              </w:rPr>
              <w:t>H. Chesbrough</w:t>
            </w:r>
            <w:r w:rsidR="00BC0CE6" w:rsidRPr="00CE0BCE">
              <w:rPr>
                <w:szCs w:val="24"/>
                <w:lang w:val="en-US"/>
              </w:rPr>
              <w:t xml:space="preserve"> </w:t>
            </w:r>
            <w:r w:rsidR="00BC0CE6" w:rsidRPr="00CE0BCE">
              <w:rPr>
                <w:szCs w:val="24"/>
                <w:lang w:val="en-US"/>
              </w:rPr>
              <w:fldChar w:fldCharType="begin"/>
            </w:r>
            <w:r w:rsidR="00845EA2">
              <w:rPr>
                <w:szCs w:val="24"/>
                <w:lang w:val="en-US"/>
              </w:rPr>
              <w:instrText xml:space="preserve"> ADDIN ZOTERO_ITEM CSL_CITATION {"citationID":"at3igrn3id","properties":{"formattedCitation":"[5]","plainCitation":"[5]","noteIndex":0},"citationItems":[{"id":43,"uris":["http://zotero.org/users/16887523/items/8ZN3PQ3P"],"itemData":{"id":43,"type":"book","publisher":"Oxford University Press","title":"Open innovation results: Going beyond the hype and getting down to business","author":[{"family":"Chesbrough","given":""}],"issued":{"date-parts":[["2019"]]}}}],"schema":"https://github.com/citation-style-language/schema/raw/master/csl-citation.json"} </w:instrText>
            </w:r>
            <w:r w:rsidR="00BC0CE6" w:rsidRPr="00CE0BCE">
              <w:rPr>
                <w:szCs w:val="24"/>
                <w:lang w:val="en-US"/>
              </w:rPr>
              <w:fldChar w:fldCharType="separate"/>
            </w:r>
            <w:r w:rsidR="009C6DCA" w:rsidRPr="009C6DCA">
              <w:rPr>
                <w:lang w:val="en-US"/>
              </w:rPr>
              <w:t>[5]</w:t>
            </w:r>
            <w:r w:rsidR="00BC0CE6" w:rsidRPr="00CE0BCE">
              <w:rPr>
                <w:szCs w:val="24"/>
                <w:lang w:val="en-US"/>
              </w:rPr>
              <w:fldChar w:fldCharType="end"/>
            </w:r>
          </w:p>
        </w:tc>
      </w:tr>
      <w:tr w:rsidR="00BF3797" w:rsidRPr="00CE0BCE" w14:paraId="2A70CD67" w14:textId="77777777" w:rsidTr="00E64F6A">
        <w:tc>
          <w:tcPr>
            <w:tcW w:w="9626" w:type="dxa"/>
            <w:gridSpan w:val="4"/>
          </w:tcPr>
          <w:p w14:paraId="5F11016E" w14:textId="1193E391" w:rsidR="00DF34C6" w:rsidRPr="00CE0BCE" w:rsidRDefault="00A40C4F" w:rsidP="00460483">
            <w:pPr>
              <w:autoSpaceDE w:val="0"/>
              <w:autoSpaceDN w:val="0"/>
              <w:adjustRightInd w:val="0"/>
              <w:ind w:firstLine="459"/>
              <w:jc w:val="both"/>
              <w:rPr>
                <w:szCs w:val="24"/>
                <w:highlight w:val="yellow"/>
                <w:lang w:val="kk-KZ"/>
              </w:rPr>
            </w:pPr>
            <w:r>
              <w:rPr>
                <w:szCs w:val="24"/>
                <w:lang w:val="kk-KZ"/>
              </w:rPr>
              <w:t>Примечание – С</w:t>
            </w:r>
            <w:r w:rsidR="00DF34C6" w:rsidRPr="00CE0BCE">
              <w:rPr>
                <w:szCs w:val="24"/>
                <w:lang w:val="kk-KZ"/>
              </w:rPr>
              <w:t>оставлено автором</w:t>
            </w:r>
          </w:p>
        </w:tc>
      </w:tr>
    </w:tbl>
    <w:p w14:paraId="46E1C621" w14:textId="77777777" w:rsidR="00566859" w:rsidRPr="00CE0BCE" w:rsidRDefault="00566859" w:rsidP="002F33D0">
      <w:pPr>
        <w:spacing w:after="0" w:line="240" w:lineRule="auto"/>
        <w:ind w:firstLine="567"/>
        <w:jc w:val="both"/>
        <w:rPr>
          <w:rFonts w:ascii="Times New Roman" w:hAnsi="Times New Roman" w:cs="Times New Roman"/>
          <w:sz w:val="28"/>
          <w:szCs w:val="28"/>
          <w:u w:val="single"/>
        </w:rPr>
      </w:pPr>
    </w:p>
    <w:p w14:paraId="5E7AC4EA" w14:textId="77777777" w:rsidR="00857AAC" w:rsidRPr="00CE0BCE" w:rsidRDefault="00857AAC" w:rsidP="002F33D0">
      <w:pPr>
        <w:spacing w:after="0" w:line="240" w:lineRule="auto"/>
        <w:ind w:firstLine="567"/>
        <w:jc w:val="both"/>
        <w:rPr>
          <w:rFonts w:ascii="Times New Roman" w:hAnsi="Times New Roman" w:cs="Times New Roman"/>
          <w:sz w:val="28"/>
          <w:szCs w:val="28"/>
        </w:rPr>
      </w:pPr>
      <w:r w:rsidRPr="00CE0BCE">
        <w:rPr>
          <w:rFonts w:ascii="Times New Roman" w:hAnsi="Times New Roman" w:cs="Times New Roman"/>
          <w:sz w:val="28"/>
          <w:szCs w:val="28"/>
        </w:rPr>
        <w:t>Исторический этап (до XIX века)</w:t>
      </w:r>
      <w:r w:rsidRPr="00CE0BCE">
        <w:rPr>
          <w:rFonts w:ascii="Times New Roman" w:hAnsi="Times New Roman" w:cs="Times New Roman"/>
          <w:sz w:val="28"/>
          <w:szCs w:val="28"/>
          <w:lang w:val="kk-KZ"/>
        </w:rPr>
        <w:t xml:space="preserve">. </w:t>
      </w:r>
      <w:r w:rsidRPr="00CE0BCE">
        <w:rPr>
          <w:rFonts w:ascii="Times New Roman" w:hAnsi="Times New Roman" w:cs="Times New Roman"/>
          <w:sz w:val="28"/>
          <w:szCs w:val="28"/>
        </w:rPr>
        <w:t xml:space="preserve">Первый этап охватывает период до начала индустриальной революции, когда предпринимательство существовало преимущественно в форме торговых гильдий, ремесленных объединений и купеческих корпораций. В этот период предпринимательская деятельность </w:t>
      </w:r>
      <w:r w:rsidRPr="00CE0BCE">
        <w:rPr>
          <w:rFonts w:ascii="Times New Roman" w:hAnsi="Times New Roman" w:cs="Times New Roman"/>
          <w:sz w:val="28"/>
          <w:szCs w:val="28"/>
        </w:rPr>
        <w:lastRenderedPageBreak/>
        <w:t>характеризовалась локальностью, низкой степенью формализации и высокой неопределённостью рыночных условий.</w:t>
      </w:r>
    </w:p>
    <w:p w14:paraId="26E1388D" w14:textId="3C41486F" w:rsidR="00857AAC" w:rsidRPr="00CE0BCE" w:rsidRDefault="00857AAC" w:rsidP="002F33D0">
      <w:pPr>
        <w:spacing w:after="0" w:line="240" w:lineRule="auto"/>
        <w:ind w:firstLine="567"/>
        <w:jc w:val="both"/>
        <w:rPr>
          <w:rFonts w:ascii="Times New Roman" w:hAnsi="Times New Roman" w:cs="Times New Roman"/>
          <w:sz w:val="28"/>
          <w:szCs w:val="28"/>
        </w:rPr>
      </w:pPr>
      <w:r w:rsidRPr="00CE0BCE">
        <w:rPr>
          <w:rFonts w:ascii="Times New Roman" w:hAnsi="Times New Roman" w:cs="Times New Roman"/>
          <w:sz w:val="28"/>
          <w:szCs w:val="28"/>
        </w:rPr>
        <w:t>Ключевой теоретической концепцией данного этапа стала работа Ричарда Кантильона</w:t>
      </w:r>
      <w:r w:rsidR="00127CB8">
        <w:rPr>
          <w:rFonts w:ascii="Times New Roman" w:hAnsi="Times New Roman" w:cs="Times New Roman"/>
          <w:sz w:val="28"/>
          <w:szCs w:val="28"/>
          <w:lang w:val="kk-KZ"/>
        </w:rPr>
        <w:t xml:space="preserve"> (R. Cantillon)</w:t>
      </w:r>
      <w:r w:rsidRPr="00CE0BCE">
        <w:rPr>
          <w:rFonts w:ascii="Times New Roman" w:hAnsi="Times New Roman" w:cs="Times New Roman"/>
          <w:sz w:val="28"/>
          <w:szCs w:val="28"/>
        </w:rPr>
        <w:t xml:space="preserve"> «Очерк о природе торговли» </w:t>
      </w:r>
      <w:r w:rsidR="009D6351" w:rsidRPr="00CE0BCE">
        <w:rPr>
          <w:rFonts w:ascii="Times New Roman" w:hAnsi="Times New Roman" w:cs="Times New Roman"/>
          <w:sz w:val="28"/>
          <w:szCs w:val="28"/>
        </w:rPr>
        <w:fldChar w:fldCharType="begin"/>
      </w:r>
      <w:r w:rsidR="008734FD">
        <w:rPr>
          <w:rFonts w:ascii="Times New Roman" w:hAnsi="Times New Roman" w:cs="Times New Roman"/>
          <w:sz w:val="28"/>
          <w:szCs w:val="28"/>
        </w:rPr>
        <w:instrText xml:space="preserve"> ADDIN ZOTERO_ITEM CSL_CITATION {"citationID":"akmk4hh5ru","properties":{"formattedCitation":"[1]","plainCitation":"[1]","noteIndex":0},"citationItems":[{"id":35,"uris":["http://zotero.org/users/16887523/items/IDP6TPQX"],"itemData":{"id":35,"type":"book","ISBN":"978-0-86597-874-4","language":"en","number-of-pages":"176","publisher":"Liberty Fund","publisher-place":"Indianapolis","source":"K10plus ISBN","title":"Essay on the nature of trade in general","author":[{"family":"Cantillon","given":"Richard"}],"issued":{"date-parts":[["1755"]]}}}],"schema":"https://github.com/citation-style-language/schema/raw/master/csl-citation.json"} </w:instrText>
      </w:r>
      <w:r w:rsidR="009D6351" w:rsidRPr="00CE0BCE">
        <w:rPr>
          <w:rFonts w:ascii="Times New Roman" w:hAnsi="Times New Roman" w:cs="Times New Roman"/>
          <w:sz w:val="28"/>
          <w:szCs w:val="28"/>
        </w:rPr>
        <w:fldChar w:fldCharType="separate"/>
      </w:r>
      <w:r w:rsidR="009C6DCA" w:rsidRPr="009C6DCA">
        <w:rPr>
          <w:rFonts w:ascii="Times New Roman" w:hAnsi="Times New Roman" w:cs="Times New Roman"/>
          <w:sz w:val="28"/>
        </w:rPr>
        <w:t>[1]</w:t>
      </w:r>
      <w:r w:rsidR="009D6351" w:rsidRPr="00CE0BCE">
        <w:rPr>
          <w:rFonts w:ascii="Times New Roman" w:hAnsi="Times New Roman" w:cs="Times New Roman"/>
          <w:sz w:val="28"/>
          <w:szCs w:val="28"/>
        </w:rPr>
        <w:fldChar w:fldCharType="end"/>
      </w:r>
      <w:r w:rsidRPr="00CE0BCE">
        <w:rPr>
          <w:rFonts w:ascii="Times New Roman" w:hAnsi="Times New Roman" w:cs="Times New Roman"/>
          <w:sz w:val="28"/>
          <w:szCs w:val="28"/>
        </w:rPr>
        <w:t>, в которой предприниматель впервые был определен как субъект, принимающий на себя риск в условиях неопределённости</w:t>
      </w:r>
      <w:r w:rsidR="00DF44A8" w:rsidRPr="00CE0BCE">
        <w:rPr>
          <w:rFonts w:ascii="Times New Roman" w:hAnsi="Times New Roman" w:cs="Times New Roman"/>
          <w:sz w:val="28"/>
          <w:szCs w:val="28"/>
        </w:rPr>
        <w:t xml:space="preserve"> </w:t>
      </w:r>
      <w:r w:rsidRPr="00CE0BCE">
        <w:rPr>
          <w:rFonts w:ascii="Times New Roman" w:hAnsi="Times New Roman" w:cs="Times New Roman"/>
          <w:sz w:val="28"/>
          <w:szCs w:val="28"/>
        </w:rPr>
        <w:t>. Кантильон рассматривал предпринимателя как посредника между производителями и потребителями, балансирующего предложение и спрос, что способствовало стабилизации экономики.</w:t>
      </w:r>
    </w:p>
    <w:p w14:paraId="29433026" w14:textId="77777777" w:rsidR="00857AAC" w:rsidRPr="00CE0BCE" w:rsidRDefault="00857AAC" w:rsidP="002F33D0">
      <w:pPr>
        <w:spacing w:after="0" w:line="240" w:lineRule="auto"/>
        <w:ind w:firstLine="567"/>
        <w:jc w:val="both"/>
        <w:rPr>
          <w:rFonts w:ascii="Times New Roman" w:hAnsi="Times New Roman" w:cs="Times New Roman"/>
          <w:sz w:val="28"/>
          <w:szCs w:val="28"/>
        </w:rPr>
      </w:pPr>
      <w:r w:rsidRPr="00CE0BCE">
        <w:rPr>
          <w:rFonts w:ascii="Times New Roman" w:hAnsi="Times New Roman" w:cs="Times New Roman"/>
          <w:sz w:val="28"/>
          <w:szCs w:val="28"/>
        </w:rPr>
        <w:t>Экономическая среда на данном этапе характеризовалась традиционным хозяйством, основанным на натуральном обмене и примитивных рыночных механизмах. Государственное регулирование практически отсутствовало, а роль предпринимателей в экономическом развитии была ограниченной.</w:t>
      </w:r>
    </w:p>
    <w:p w14:paraId="119ADAC1" w14:textId="77777777" w:rsidR="00857AAC" w:rsidRPr="00CE0BCE" w:rsidRDefault="00857AAC" w:rsidP="002F33D0">
      <w:pPr>
        <w:spacing w:after="0" w:line="240" w:lineRule="auto"/>
        <w:ind w:firstLine="567"/>
        <w:jc w:val="both"/>
        <w:rPr>
          <w:rFonts w:ascii="Times New Roman" w:hAnsi="Times New Roman" w:cs="Times New Roman"/>
          <w:sz w:val="28"/>
          <w:szCs w:val="28"/>
        </w:rPr>
      </w:pPr>
      <w:r w:rsidRPr="00CE0BCE">
        <w:rPr>
          <w:rFonts w:ascii="Times New Roman" w:hAnsi="Times New Roman" w:cs="Times New Roman"/>
          <w:sz w:val="28"/>
          <w:szCs w:val="28"/>
        </w:rPr>
        <w:t>Традиционный этап (XIX – середина XX века)</w:t>
      </w:r>
      <w:r w:rsidRPr="00CE0BCE">
        <w:rPr>
          <w:rFonts w:ascii="Times New Roman" w:hAnsi="Times New Roman" w:cs="Times New Roman"/>
          <w:sz w:val="28"/>
          <w:szCs w:val="28"/>
          <w:lang w:val="kk-KZ"/>
        </w:rPr>
        <w:t xml:space="preserve">. </w:t>
      </w:r>
      <w:r w:rsidRPr="00CE0BCE">
        <w:rPr>
          <w:rFonts w:ascii="Times New Roman" w:hAnsi="Times New Roman" w:cs="Times New Roman"/>
          <w:sz w:val="28"/>
          <w:szCs w:val="28"/>
        </w:rPr>
        <w:t>С началом индустриальной революции предпринимательство претерпевает значительные изменения. Развитие фабричного производства, массового товарооборота и капиталистических отношений приводит к появлению крупных промышленных предприятий, что способствует трансформации предпринимательства в организованный бизнес.</w:t>
      </w:r>
    </w:p>
    <w:p w14:paraId="7CC6D362" w14:textId="3CFCDE09" w:rsidR="00857AAC" w:rsidRPr="00CE0BCE" w:rsidRDefault="00857AAC" w:rsidP="002F33D0">
      <w:pPr>
        <w:spacing w:after="0" w:line="240" w:lineRule="auto"/>
        <w:ind w:firstLine="567"/>
        <w:jc w:val="both"/>
        <w:rPr>
          <w:rFonts w:ascii="Times New Roman" w:hAnsi="Times New Roman" w:cs="Times New Roman"/>
          <w:sz w:val="28"/>
          <w:szCs w:val="28"/>
        </w:rPr>
      </w:pPr>
      <w:r w:rsidRPr="00CE0BCE">
        <w:rPr>
          <w:rFonts w:ascii="Times New Roman" w:hAnsi="Times New Roman" w:cs="Times New Roman"/>
          <w:sz w:val="28"/>
          <w:szCs w:val="28"/>
        </w:rPr>
        <w:t>На данном этапе важнейший вклад в экономическую теорию внес Йозеф Шумпетер</w:t>
      </w:r>
      <w:r w:rsidR="00127CB8">
        <w:rPr>
          <w:rFonts w:ascii="Times New Roman" w:hAnsi="Times New Roman" w:cs="Times New Roman"/>
          <w:sz w:val="28"/>
          <w:szCs w:val="28"/>
          <w:lang w:val="kk-KZ"/>
        </w:rPr>
        <w:t xml:space="preserve"> (J. Schumpeter)</w:t>
      </w:r>
      <w:r w:rsidR="009D6351" w:rsidRPr="00CE0BCE">
        <w:rPr>
          <w:rFonts w:ascii="Times New Roman" w:hAnsi="Times New Roman" w:cs="Times New Roman"/>
          <w:sz w:val="28"/>
          <w:szCs w:val="28"/>
        </w:rPr>
        <w:t xml:space="preserve"> </w:t>
      </w:r>
      <w:r w:rsidR="009D6351" w:rsidRPr="00CE0BCE">
        <w:rPr>
          <w:rFonts w:ascii="Times New Roman" w:hAnsi="Times New Roman" w:cs="Times New Roman"/>
          <w:sz w:val="28"/>
          <w:szCs w:val="28"/>
          <w:lang w:val="en-US"/>
        </w:rPr>
        <w:fldChar w:fldCharType="begin"/>
      </w:r>
      <w:r w:rsidR="00D623AA">
        <w:rPr>
          <w:rFonts w:ascii="Times New Roman" w:hAnsi="Times New Roman" w:cs="Times New Roman"/>
          <w:sz w:val="28"/>
          <w:szCs w:val="28"/>
        </w:rPr>
        <w:instrText xml:space="preserve"> ADDIN ZOTERO_ITEM CSL_CITATION {"citationID":"a1qlp4vdrpl","properties":{"formattedCitation":"[2]","plainCitation":"[2]","noteIndex":0},"citationItems":[{"id":39,"uris":["http://zotero.org/users/16887523/items/YC24N7JZ"],"itemData":{"id":39,"type":"book","edition":"Cambridge","language":"en","number-of-pages":"196","publisher-place":"Massachusetts","source":"DOI.org (Crossref)","title":"The theory of economic development – An inquiry into profits, capital, credit, interest, and the business cycle","URL":"https://www.tandfonline.com/doi/full/10.1080/00343404.2017.1278975","author":[{"family":"Schumpeter","given":"Joseph"}],"accessed":{"date-parts":[["2025",11,18]]},"issued":{"date-parts":[["1934"]]}}}],"schema":"https://github.com/citation-style-language/schema/raw/master/csl-citation.json"} </w:instrText>
      </w:r>
      <w:r w:rsidR="009D6351" w:rsidRPr="00CE0BCE">
        <w:rPr>
          <w:rFonts w:ascii="Times New Roman" w:hAnsi="Times New Roman" w:cs="Times New Roman"/>
          <w:sz w:val="28"/>
          <w:szCs w:val="28"/>
          <w:lang w:val="en-US"/>
        </w:rPr>
        <w:fldChar w:fldCharType="separate"/>
      </w:r>
      <w:r w:rsidR="009C6DCA" w:rsidRPr="009C6DCA">
        <w:rPr>
          <w:rFonts w:ascii="Times New Roman" w:hAnsi="Times New Roman" w:cs="Times New Roman"/>
          <w:sz w:val="28"/>
        </w:rPr>
        <w:t>[2]</w:t>
      </w:r>
      <w:r w:rsidR="009D6351" w:rsidRPr="00CE0BCE">
        <w:rPr>
          <w:rFonts w:ascii="Times New Roman" w:hAnsi="Times New Roman" w:cs="Times New Roman"/>
          <w:sz w:val="28"/>
          <w:szCs w:val="28"/>
          <w:lang w:val="en-US"/>
        </w:rPr>
        <w:fldChar w:fldCharType="end"/>
      </w:r>
      <w:r w:rsidRPr="00CE0BCE">
        <w:rPr>
          <w:rFonts w:ascii="Times New Roman" w:hAnsi="Times New Roman" w:cs="Times New Roman"/>
          <w:sz w:val="28"/>
          <w:szCs w:val="28"/>
        </w:rPr>
        <w:t>, который разработал кон</w:t>
      </w:r>
      <w:r w:rsidR="009D6351" w:rsidRPr="00CE0BCE">
        <w:rPr>
          <w:rFonts w:ascii="Times New Roman" w:hAnsi="Times New Roman" w:cs="Times New Roman"/>
          <w:sz w:val="28"/>
          <w:szCs w:val="28"/>
        </w:rPr>
        <w:t>цепцию «творческого разрушения»</w:t>
      </w:r>
      <w:r w:rsidRPr="00CE0BCE">
        <w:rPr>
          <w:rFonts w:ascii="Times New Roman" w:hAnsi="Times New Roman" w:cs="Times New Roman"/>
          <w:sz w:val="28"/>
          <w:szCs w:val="28"/>
        </w:rPr>
        <w:t>. Согласно его взглядам, предприниматель выступает основным агентом экономических изменений, объединяющим производственные факторы в новые комбинации и создающим инновационные технологии и бизнес-модели. В результате устаревшие производства и технологии вытесняются новыми, что способствует экономическому развитию.</w:t>
      </w:r>
    </w:p>
    <w:p w14:paraId="72A85C6C" w14:textId="77777777" w:rsidR="00857AAC" w:rsidRPr="00CE0BCE" w:rsidRDefault="00857AAC" w:rsidP="002F33D0">
      <w:pPr>
        <w:spacing w:after="0" w:line="240" w:lineRule="auto"/>
        <w:ind w:firstLine="567"/>
        <w:jc w:val="both"/>
        <w:rPr>
          <w:rFonts w:ascii="Times New Roman" w:hAnsi="Times New Roman" w:cs="Times New Roman"/>
          <w:sz w:val="28"/>
          <w:szCs w:val="28"/>
        </w:rPr>
      </w:pPr>
      <w:r w:rsidRPr="00CE0BCE">
        <w:rPr>
          <w:rFonts w:ascii="Times New Roman" w:hAnsi="Times New Roman" w:cs="Times New Roman"/>
          <w:sz w:val="28"/>
          <w:szCs w:val="28"/>
        </w:rPr>
        <w:t>В этот период капиталистическая экономическая система получает широкое распространение, и государство начинает активно регулировать бизнес-процессы посредством антимонопольного законодательства, патентной защиты и создания правовой среды для конкуренции.</w:t>
      </w:r>
    </w:p>
    <w:p w14:paraId="3FEE84F5" w14:textId="77777777" w:rsidR="00857AAC" w:rsidRPr="00CE0BCE" w:rsidRDefault="00857AAC" w:rsidP="002F33D0">
      <w:pPr>
        <w:spacing w:after="0" w:line="240" w:lineRule="auto"/>
        <w:ind w:firstLine="567"/>
        <w:jc w:val="both"/>
        <w:rPr>
          <w:rFonts w:ascii="Times New Roman" w:hAnsi="Times New Roman" w:cs="Times New Roman"/>
          <w:sz w:val="28"/>
          <w:szCs w:val="28"/>
        </w:rPr>
      </w:pPr>
      <w:r w:rsidRPr="00CE0BCE">
        <w:rPr>
          <w:rFonts w:ascii="Times New Roman" w:hAnsi="Times New Roman" w:cs="Times New Roman"/>
          <w:sz w:val="28"/>
          <w:szCs w:val="28"/>
        </w:rPr>
        <w:t>Индустриально-инновационный этап (вторая половина XX века)</w:t>
      </w:r>
      <w:r w:rsidRPr="00CE0BCE">
        <w:rPr>
          <w:rFonts w:ascii="Times New Roman" w:hAnsi="Times New Roman" w:cs="Times New Roman"/>
          <w:sz w:val="28"/>
          <w:szCs w:val="28"/>
          <w:lang w:val="kk-KZ"/>
        </w:rPr>
        <w:t xml:space="preserve">. </w:t>
      </w:r>
      <w:r w:rsidRPr="00CE0BCE">
        <w:rPr>
          <w:rFonts w:ascii="Times New Roman" w:hAnsi="Times New Roman" w:cs="Times New Roman"/>
          <w:sz w:val="28"/>
          <w:szCs w:val="28"/>
        </w:rPr>
        <w:t>В условиях постиндустриального общества предпринимательство становится ключевым элементом инновационного развития. На данном этапе растет роль исследовательской и инновационной деятельности, что приводит к активному внедрению научно-технических разработок в производство. Государство начинает системно поддерживать предпринимательство через финансирование НИОКР, налоговые льготы и создание инфраструктуры для инновационного бизнеса.</w:t>
      </w:r>
    </w:p>
    <w:p w14:paraId="3C6F903C" w14:textId="25929269" w:rsidR="00857AAC" w:rsidRPr="00CE0BCE" w:rsidRDefault="00857AAC" w:rsidP="002F33D0">
      <w:pPr>
        <w:spacing w:after="0" w:line="240" w:lineRule="auto"/>
        <w:ind w:firstLine="567"/>
        <w:jc w:val="both"/>
        <w:rPr>
          <w:rFonts w:ascii="Times New Roman" w:hAnsi="Times New Roman" w:cs="Times New Roman"/>
          <w:sz w:val="28"/>
          <w:szCs w:val="28"/>
        </w:rPr>
      </w:pPr>
      <w:r w:rsidRPr="00CE0BCE">
        <w:rPr>
          <w:rFonts w:ascii="Times New Roman" w:hAnsi="Times New Roman" w:cs="Times New Roman"/>
          <w:sz w:val="28"/>
          <w:szCs w:val="28"/>
        </w:rPr>
        <w:t>Существенный вклад в развитие концепции предпринимательства на этом этапе внес Питер Друкер</w:t>
      </w:r>
      <w:r w:rsidR="00127CB8">
        <w:rPr>
          <w:rFonts w:ascii="Times New Roman" w:hAnsi="Times New Roman" w:cs="Times New Roman"/>
          <w:sz w:val="28"/>
          <w:szCs w:val="28"/>
          <w:lang w:val="kk-KZ"/>
        </w:rPr>
        <w:t xml:space="preserve"> (P. Drucker)</w:t>
      </w:r>
      <w:r w:rsidRPr="00CE0BCE">
        <w:rPr>
          <w:rFonts w:ascii="Times New Roman" w:hAnsi="Times New Roman" w:cs="Times New Roman"/>
          <w:sz w:val="28"/>
          <w:szCs w:val="28"/>
        </w:rPr>
        <w:t xml:space="preserve">. В своей работе «Инновации и предпринимательство» </w:t>
      </w:r>
      <w:r w:rsidR="009D6351" w:rsidRPr="00CE0BCE">
        <w:rPr>
          <w:rFonts w:ascii="Times New Roman" w:hAnsi="Times New Roman" w:cs="Times New Roman"/>
          <w:sz w:val="28"/>
          <w:szCs w:val="28"/>
        </w:rPr>
        <w:fldChar w:fldCharType="begin"/>
      </w:r>
      <w:r w:rsidR="00AE44BA">
        <w:rPr>
          <w:rFonts w:ascii="Times New Roman" w:hAnsi="Times New Roman" w:cs="Times New Roman"/>
          <w:sz w:val="28"/>
          <w:szCs w:val="28"/>
        </w:rPr>
        <w:instrText xml:space="preserve"> ADDIN ZOTERO_ITEM CSL_CITATION {"citationID":"a1otsb4115h","properties":{"formattedCitation":"[3]","plainCitation":"[3]","noteIndex":0},"citationItems":[{"id":"jo0Cjpe8/StThTIdF","uris":["http://www.mendeley.com/documents/?uuid=2283f82a-c797-4a5a-bc31-67861411a8ab"],"itemData":{"DOI":"10.5817/cz.muni.p280-0197-2022-20","ISBN":"9783631744703","ISSN":"03637425","author":[{"dropping-particle":"","family":"Drucker","given":"Peter F","non-dropping-particle":"","parse-names":false,"suffix":""}],"container-title":"Innovation and entrepreneurship","id":"zUTERPJI/YhbmKUQZ","issued":{"date-parts":[["1985"]]},"number-of-pages":"204","publisher":"HarperCollins","title":"Innovation and entrepreneurship","type":"book"}}],"schema":"https://github.com/citation-style-language/schema/raw/master/csl-citation.json"} </w:instrText>
      </w:r>
      <w:r w:rsidR="009D6351" w:rsidRPr="00CE0BCE">
        <w:rPr>
          <w:rFonts w:ascii="Times New Roman" w:hAnsi="Times New Roman" w:cs="Times New Roman"/>
          <w:sz w:val="28"/>
          <w:szCs w:val="28"/>
        </w:rPr>
        <w:fldChar w:fldCharType="separate"/>
      </w:r>
      <w:r w:rsidR="009C6DCA" w:rsidRPr="009C6DCA">
        <w:rPr>
          <w:rFonts w:ascii="Times New Roman" w:hAnsi="Times New Roman" w:cs="Times New Roman"/>
          <w:sz w:val="28"/>
        </w:rPr>
        <w:t>[3]</w:t>
      </w:r>
      <w:r w:rsidR="009D6351" w:rsidRPr="00CE0BCE">
        <w:rPr>
          <w:rFonts w:ascii="Times New Roman" w:hAnsi="Times New Roman" w:cs="Times New Roman"/>
          <w:sz w:val="28"/>
          <w:szCs w:val="28"/>
        </w:rPr>
        <w:fldChar w:fldCharType="end"/>
      </w:r>
      <w:r w:rsidR="009D6351" w:rsidRPr="00CE0BCE">
        <w:rPr>
          <w:rFonts w:ascii="Times New Roman" w:hAnsi="Times New Roman" w:cs="Times New Roman"/>
          <w:sz w:val="28"/>
          <w:szCs w:val="28"/>
        </w:rPr>
        <w:t xml:space="preserve"> </w:t>
      </w:r>
      <w:r w:rsidRPr="00CE0BCE">
        <w:rPr>
          <w:rFonts w:ascii="Times New Roman" w:hAnsi="Times New Roman" w:cs="Times New Roman"/>
          <w:sz w:val="28"/>
          <w:szCs w:val="28"/>
        </w:rPr>
        <w:t>он утверждает, что предпринимательство должно рассматриваться не только как экономическая деятельность, но и как стиль управления, в основе которого лежит постоянное обновлени</w:t>
      </w:r>
      <w:r w:rsidR="009D6351" w:rsidRPr="00CE0BCE">
        <w:rPr>
          <w:rFonts w:ascii="Times New Roman" w:hAnsi="Times New Roman" w:cs="Times New Roman"/>
          <w:sz w:val="28"/>
          <w:szCs w:val="28"/>
        </w:rPr>
        <w:t>е продуктов и стратегий бизнеса</w:t>
      </w:r>
      <w:r w:rsidR="00396881" w:rsidRPr="00CE0BCE">
        <w:rPr>
          <w:rFonts w:ascii="Times New Roman" w:hAnsi="Times New Roman" w:cs="Times New Roman"/>
          <w:sz w:val="28"/>
          <w:szCs w:val="28"/>
        </w:rPr>
        <w:t>.</w:t>
      </w:r>
      <w:r w:rsidRPr="00CE0BCE">
        <w:rPr>
          <w:rFonts w:ascii="Times New Roman" w:hAnsi="Times New Roman" w:cs="Times New Roman"/>
          <w:sz w:val="28"/>
          <w:szCs w:val="28"/>
        </w:rPr>
        <w:t xml:space="preserve"> В этот период начинают формироваться корпоративные инновации, когда крупные компании создают исследовательские подразделения, </w:t>
      </w:r>
      <w:r w:rsidRPr="00CE0BCE">
        <w:rPr>
          <w:rFonts w:ascii="Times New Roman" w:hAnsi="Times New Roman" w:cs="Times New Roman"/>
          <w:sz w:val="28"/>
          <w:szCs w:val="28"/>
        </w:rPr>
        <w:lastRenderedPageBreak/>
        <w:t>занимающиеся технологическими разработками (например, Bell Labs, Xerox PARC).</w:t>
      </w:r>
    </w:p>
    <w:p w14:paraId="1EFD107C" w14:textId="77777777" w:rsidR="00857AAC" w:rsidRPr="00CE0BCE" w:rsidRDefault="00857AAC" w:rsidP="002F33D0">
      <w:pPr>
        <w:spacing w:after="0" w:line="240" w:lineRule="auto"/>
        <w:ind w:firstLine="567"/>
        <w:jc w:val="both"/>
        <w:rPr>
          <w:rFonts w:ascii="Times New Roman" w:hAnsi="Times New Roman" w:cs="Times New Roman"/>
          <w:sz w:val="28"/>
          <w:szCs w:val="28"/>
        </w:rPr>
      </w:pPr>
      <w:r w:rsidRPr="00CE0BCE">
        <w:rPr>
          <w:rFonts w:ascii="Times New Roman" w:hAnsi="Times New Roman" w:cs="Times New Roman"/>
          <w:sz w:val="28"/>
          <w:szCs w:val="28"/>
        </w:rPr>
        <w:t xml:space="preserve">Экономическая среда индустриально-инновационного этапа характеризуется ростом влияния транснациональных корпораций, расширением глобальной торговли и интеграцией международных рынков. Государственно-частное партнёрство становится ключевым инструментом стимулирования предпринимательской активности, а также создаются бизнес-инкубаторы и технопарки, ориентированные на развитие высокотехнологичных стартапов. </w:t>
      </w:r>
    </w:p>
    <w:p w14:paraId="6D6E31D9" w14:textId="77777777" w:rsidR="00857AAC" w:rsidRPr="00CE0BCE" w:rsidRDefault="00857AAC" w:rsidP="002F33D0">
      <w:pPr>
        <w:pStyle w:val="a6"/>
        <w:ind w:firstLine="567"/>
        <w:rPr>
          <w:lang w:val="kk-KZ"/>
        </w:rPr>
      </w:pPr>
      <w:r w:rsidRPr="00CE0BCE">
        <w:t>Цифровой инновационный этап (XXI век – настоящее время)</w:t>
      </w:r>
      <w:r w:rsidRPr="00CE0BCE">
        <w:rPr>
          <w:lang w:val="kk-KZ"/>
        </w:rPr>
        <w:t>. Современный этап характеризуется цифровой трансформацией экономики, массовым внедрением автоматизированных технологий, искусственного интеллекта, блокчейна и цифровых платформ. В условиях ускоряющейся глобализации предпринимательская деятельность становится гибкой, сетевой и высоко технологизированной.</w:t>
      </w:r>
    </w:p>
    <w:p w14:paraId="377B32A4" w14:textId="0DA3B76F" w:rsidR="00857AAC" w:rsidRPr="00CE0BCE" w:rsidRDefault="00857AAC" w:rsidP="002F33D0">
      <w:pPr>
        <w:pStyle w:val="a6"/>
        <w:ind w:firstLine="567"/>
        <w:rPr>
          <w:lang w:val="kk-KZ"/>
        </w:rPr>
      </w:pPr>
      <w:r w:rsidRPr="00CE0BCE">
        <w:rPr>
          <w:lang w:val="kk-KZ"/>
        </w:rPr>
        <w:t>Важнейший вклад в осмысление конкурентоспособности предприятий в цифровую эпоху внес Майкл Портер, который в своей концепции подчеркивает, что инновации становятся ключевым фактором экономического лидерства</w:t>
      </w:r>
      <w:r w:rsidR="00DB29BD" w:rsidRPr="00CE0BCE">
        <w:rPr>
          <w:lang w:val="kk-KZ"/>
        </w:rPr>
        <w:t xml:space="preserve"> </w:t>
      </w:r>
      <w:r w:rsidR="009D6351" w:rsidRPr="00CE0BCE">
        <w:rPr>
          <w:lang w:val="kk-KZ"/>
        </w:rPr>
        <w:fldChar w:fldCharType="begin"/>
      </w:r>
      <w:r w:rsidR="00D623AA">
        <w:rPr>
          <w:lang w:val="kk-KZ"/>
        </w:rPr>
        <w:instrText xml:space="preserve"> ADDIN ZOTERO_ITEM CSL_CITATION {"citationID":"a299j71hsbv","properties":{"formattedCitation":"[4]","plainCitation":"[4]","noteIndex":0},"citationItems":[{"id":42,"uris":["http://zotero.org/users/16887523/items/E9Z9C4JD"],"itemData":{"id":42,"type":"book","language":"en","number-of-pages":"875","publisher":"Free Press","publisher-place":"New York","source":"Zotero","title":"The Competitive Advantage of Nations","author":[{"family":"Porter","given":"Michael E"}],"issued":{"date-parts":[["1990"]]}}}],"schema":"https://github.com/citation-style-language/schema/raw/master/csl-citation.json"} </w:instrText>
      </w:r>
      <w:r w:rsidR="009D6351" w:rsidRPr="00CE0BCE">
        <w:rPr>
          <w:lang w:val="kk-KZ"/>
        </w:rPr>
        <w:fldChar w:fldCharType="separate"/>
      </w:r>
      <w:r w:rsidR="009C6DCA" w:rsidRPr="009C6DCA">
        <w:t>[4]</w:t>
      </w:r>
      <w:r w:rsidR="009D6351" w:rsidRPr="00CE0BCE">
        <w:rPr>
          <w:lang w:val="kk-KZ"/>
        </w:rPr>
        <w:fldChar w:fldCharType="end"/>
      </w:r>
      <w:r w:rsidR="00DB29BD" w:rsidRPr="00CE0BCE">
        <w:rPr>
          <w:lang w:val="kk-KZ"/>
        </w:rPr>
        <w:t>.</w:t>
      </w:r>
      <w:r w:rsidRPr="00CE0BCE">
        <w:rPr>
          <w:lang w:val="kk-KZ"/>
        </w:rPr>
        <w:t xml:space="preserve"> Развивается также концепция «открытых инноваций», предложенная Генри Чесбро</w:t>
      </w:r>
      <w:r w:rsidR="00127CB8">
        <w:rPr>
          <w:lang w:val="kk-KZ"/>
        </w:rPr>
        <w:t xml:space="preserve"> (H. </w:t>
      </w:r>
      <w:r w:rsidR="00127CB8" w:rsidRPr="00127CB8">
        <w:rPr>
          <w:lang w:val="kk-KZ"/>
        </w:rPr>
        <w:t>Chesbrough</w:t>
      </w:r>
      <w:r w:rsidR="00127CB8">
        <w:rPr>
          <w:lang w:val="kk-KZ"/>
        </w:rPr>
        <w:t>)</w:t>
      </w:r>
      <w:r w:rsidR="00127CB8" w:rsidRPr="00127CB8">
        <w:rPr>
          <w:lang w:val="kk-KZ"/>
        </w:rPr>
        <w:t xml:space="preserve"> </w:t>
      </w:r>
      <w:r w:rsidR="009D6351" w:rsidRPr="00CE0BCE">
        <w:rPr>
          <w:lang w:val="kk-KZ"/>
        </w:rPr>
        <w:fldChar w:fldCharType="begin"/>
      </w:r>
      <w:r w:rsidR="00845EA2">
        <w:rPr>
          <w:lang w:val="kk-KZ"/>
        </w:rPr>
        <w:instrText xml:space="preserve"> ADDIN ZOTERO_ITEM CSL_CITATION {"citationID":"a10jrgekpcs","properties":{"formattedCitation":"[5]","plainCitation":"[5]","noteIndex":0},"citationItems":[{"id":43,"uris":["http://zotero.org/users/16887523/items/8ZN3PQ3P"],"itemData":{"id":43,"type":"book","publisher":"Oxford University Press","title":"Open innovation results: Going beyond the hype and getting down to business","author":[{"family":"Chesbrough","given":""}],"issued":{"date-parts":[["2019"]]}}}],"schema":"https://github.com/citation-style-language/schema/raw/master/csl-citation.json"} </w:instrText>
      </w:r>
      <w:r w:rsidR="009D6351" w:rsidRPr="00CE0BCE">
        <w:rPr>
          <w:lang w:val="kk-KZ"/>
        </w:rPr>
        <w:fldChar w:fldCharType="separate"/>
      </w:r>
      <w:r w:rsidR="009C6DCA" w:rsidRPr="009C6DCA">
        <w:t>[5]</w:t>
      </w:r>
      <w:r w:rsidR="009D6351" w:rsidRPr="00CE0BCE">
        <w:rPr>
          <w:lang w:val="kk-KZ"/>
        </w:rPr>
        <w:fldChar w:fldCharType="end"/>
      </w:r>
      <w:r w:rsidR="00DB29BD" w:rsidRPr="00CE0BCE">
        <w:rPr>
          <w:lang w:val="kk-KZ"/>
        </w:rPr>
        <w:t>,</w:t>
      </w:r>
      <w:r w:rsidRPr="00CE0BCE">
        <w:rPr>
          <w:lang w:val="kk-KZ"/>
        </w:rPr>
        <w:t xml:space="preserve"> согласно которой успешные инновационные компании должны интегрировать внешние знания, сотрудничать с университетами, исследовательскими центрами и технологическими партнерами.</w:t>
      </w:r>
    </w:p>
    <w:p w14:paraId="0C528B22" w14:textId="77777777" w:rsidR="00857AAC" w:rsidRPr="00CE0BCE" w:rsidRDefault="00857AAC" w:rsidP="002F33D0">
      <w:pPr>
        <w:pStyle w:val="a6"/>
        <w:ind w:firstLine="567"/>
        <w:rPr>
          <w:lang w:val="kk-KZ"/>
        </w:rPr>
      </w:pPr>
      <w:r w:rsidRPr="00CE0BCE">
        <w:rPr>
          <w:lang w:val="kk-KZ"/>
        </w:rPr>
        <w:t>Экономическая среда XXI века ориентирована на венчурное предпринимательство, платформенные бизнес-модели и экосистемный подход. Развитие таких компаний, как Google, Amazon, Tesla, Alibaba, демонстрирует новый формат предпринимательства, основанный на цифровых технологиях и глобальной конкурентоспособности. Государственные инициативы в области инновационной политики (например, программа «Индустрия 4.0» в ЕС, национальные стратегии цифровизации в Китае и США) становятся важным элементом поддержки предпринимательской деятельности.</w:t>
      </w:r>
    </w:p>
    <w:p w14:paraId="55B04AC0" w14:textId="646677EC" w:rsidR="00C8338B" w:rsidRPr="00CE0BCE" w:rsidRDefault="00FA401F" w:rsidP="002F33D0">
      <w:pPr>
        <w:tabs>
          <w:tab w:val="left" w:pos="1064"/>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 xml:space="preserve">Таким образом, анализ эволюции предпринимательства позволяет заключить, что на протяжении истории менялись не только формы и масштабы предпринимательской деятельности, но и требования к ее субъектам, их роли в экономике и способности к восприятию и генерации нововведений. От купеческих гильдий и ремесленных союзов до современных цифровых стартапов предпринимательские структуры претерпели институциональные и организационные трансформации, в результате которых значительно усложнились их функции, усилилась зависимость от инноваций и повысилась значимость способности к адаптации в условиях высокой неопределенности. Эти изменения обуславливают необходимость уточнения сущности самого субъекта исследования </w:t>
      </w:r>
      <w:r w:rsidR="009D20AE">
        <w:rPr>
          <w:rFonts w:ascii="Times New Roman" w:hAnsi="Times New Roman" w:cs="Times New Roman"/>
          <w:sz w:val="28"/>
          <w:szCs w:val="28"/>
          <w:lang w:val="kk-KZ"/>
        </w:rPr>
        <w:t>–</w:t>
      </w:r>
      <w:r w:rsidRPr="00CE0BCE">
        <w:rPr>
          <w:rFonts w:ascii="Times New Roman" w:hAnsi="Times New Roman" w:cs="Times New Roman"/>
          <w:sz w:val="28"/>
          <w:szCs w:val="28"/>
          <w:lang w:val="kk-KZ"/>
        </w:rPr>
        <w:t xml:space="preserve"> предпринимательских структур, через призму их роли в обеспечении инновационного развития.</w:t>
      </w:r>
    </w:p>
    <w:p w14:paraId="673098D1" w14:textId="77777777" w:rsidR="00CC1FAF" w:rsidRPr="00CE0BCE" w:rsidRDefault="00CC1FAF" w:rsidP="002F33D0">
      <w:pPr>
        <w:tabs>
          <w:tab w:val="left" w:pos="1064"/>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 xml:space="preserve">Учитывая институциональные и содержательные трансформации предпринимательства, актуализируется необходимость концептуального </w:t>
      </w:r>
      <w:r w:rsidRPr="00CE0BCE">
        <w:rPr>
          <w:rFonts w:ascii="Times New Roman" w:hAnsi="Times New Roman" w:cs="Times New Roman"/>
          <w:sz w:val="28"/>
          <w:szCs w:val="28"/>
          <w:lang w:val="kk-KZ"/>
        </w:rPr>
        <w:lastRenderedPageBreak/>
        <w:t>осмысления термина «предпринимательские структуры» в условиях цифровой экономики. Современный научный дискурс демонстрирует, что данное понятие трактуется многозначно, что обусловлено междисциплинарным характером его изучения, различиями в целевых установках исследований, а также спецификой национальных и региональных условий.</w:t>
      </w:r>
    </w:p>
    <w:p w14:paraId="4E636770" w14:textId="60C7BF1A" w:rsidR="00CC1FAF" w:rsidRPr="00CE0BCE" w:rsidRDefault="00CC1FAF" w:rsidP="002F33D0">
      <w:pPr>
        <w:tabs>
          <w:tab w:val="left" w:pos="1064"/>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 xml:space="preserve">В рамках сравнительно-аналитического подхода целесообразно систематизировать существующие трактовки предпринимательских структур с опорой на ключевые теоретико-методологические подходы. Это позволит выделить преобладающие направления в осмыслении природы, функций и характеристик данных структур, а также определить научную нишу, в которой формируется авторская интерпретация. В таблице </w:t>
      </w:r>
      <w:r w:rsidR="00DB70E8" w:rsidRPr="00CE0BCE">
        <w:rPr>
          <w:rFonts w:ascii="Times New Roman" w:hAnsi="Times New Roman" w:cs="Times New Roman"/>
          <w:sz w:val="28"/>
          <w:szCs w:val="28"/>
          <w:lang w:val="kk-KZ"/>
        </w:rPr>
        <w:t>2</w:t>
      </w:r>
      <w:r w:rsidRPr="00CE0BCE">
        <w:rPr>
          <w:rFonts w:ascii="Times New Roman" w:hAnsi="Times New Roman" w:cs="Times New Roman"/>
          <w:sz w:val="28"/>
          <w:szCs w:val="28"/>
          <w:lang w:val="kk-KZ"/>
        </w:rPr>
        <w:t xml:space="preserve"> представлены четыре доминирующих подхода, отражённых в работах отечественных и зарубежных авторов последних лет.</w:t>
      </w:r>
    </w:p>
    <w:p w14:paraId="56840189" w14:textId="77777777" w:rsidR="00A4711D" w:rsidRPr="00CE0BCE" w:rsidRDefault="00A4711D" w:rsidP="002F33D0">
      <w:pPr>
        <w:tabs>
          <w:tab w:val="left" w:pos="1064"/>
        </w:tabs>
        <w:spacing w:after="0" w:line="240" w:lineRule="auto"/>
        <w:ind w:firstLine="567"/>
        <w:jc w:val="both"/>
        <w:rPr>
          <w:rFonts w:ascii="Times New Roman" w:hAnsi="Times New Roman" w:cs="Times New Roman"/>
          <w:sz w:val="28"/>
          <w:szCs w:val="28"/>
          <w:lang w:val="kk-KZ"/>
        </w:rPr>
      </w:pPr>
    </w:p>
    <w:p w14:paraId="213BDA69" w14:textId="3C865638" w:rsidR="00A4711D" w:rsidRPr="00CE0BCE" w:rsidRDefault="00DB70E8" w:rsidP="002F33D0">
      <w:pPr>
        <w:tabs>
          <w:tab w:val="left" w:pos="1064"/>
        </w:tabs>
        <w:spacing w:after="0" w:line="240" w:lineRule="auto"/>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 xml:space="preserve">Таблица 2 – </w:t>
      </w:r>
      <w:r w:rsidR="0006478D" w:rsidRPr="00CE0BCE">
        <w:rPr>
          <w:rFonts w:ascii="Times New Roman" w:hAnsi="Times New Roman" w:cs="Times New Roman"/>
          <w:sz w:val="28"/>
          <w:szCs w:val="28"/>
          <w:lang w:val="kk-KZ"/>
        </w:rPr>
        <w:t>Современные подходы к определению понятия</w:t>
      </w:r>
      <w:r w:rsidRPr="00CE0BCE">
        <w:rPr>
          <w:rFonts w:ascii="Times New Roman" w:hAnsi="Times New Roman" w:cs="Times New Roman"/>
          <w:sz w:val="28"/>
          <w:szCs w:val="28"/>
          <w:lang w:val="kk-KZ"/>
        </w:rPr>
        <w:t xml:space="preserve"> «предпринимательские структуры»</w:t>
      </w:r>
    </w:p>
    <w:p w14:paraId="08A67C90" w14:textId="77777777" w:rsidR="00BF3797" w:rsidRPr="00CE0BCE" w:rsidRDefault="00BF3797" w:rsidP="002F33D0">
      <w:pPr>
        <w:tabs>
          <w:tab w:val="left" w:pos="1064"/>
        </w:tabs>
        <w:spacing w:after="0" w:line="240" w:lineRule="auto"/>
        <w:jc w:val="both"/>
        <w:rPr>
          <w:rFonts w:ascii="Times New Roman" w:hAnsi="Times New Roman" w:cs="Times New Roman"/>
          <w:sz w:val="28"/>
          <w:szCs w:val="28"/>
          <w:lang w:val="kk-KZ"/>
        </w:rPr>
      </w:pPr>
    </w:p>
    <w:tbl>
      <w:tblPr>
        <w:tblStyle w:val="a5"/>
        <w:tblW w:w="0" w:type="auto"/>
        <w:tblLayout w:type="fixed"/>
        <w:tblLook w:val="04A0" w:firstRow="1" w:lastRow="0" w:firstColumn="1" w:lastColumn="0" w:noHBand="0" w:noVBand="1"/>
      </w:tblPr>
      <w:tblGrid>
        <w:gridCol w:w="2263"/>
        <w:gridCol w:w="2410"/>
        <w:gridCol w:w="2730"/>
        <w:gridCol w:w="2225"/>
      </w:tblGrid>
      <w:tr w:rsidR="00CE0BCE" w:rsidRPr="00CE0BCE" w14:paraId="17E0F1B8" w14:textId="77777777" w:rsidTr="00EE74AE">
        <w:tc>
          <w:tcPr>
            <w:tcW w:w="2263" w:type="dxa"/>
          </w:tcPr>
          <w:p w14:paraId="1036A85E" w14:textId="77777777" w:rsidR="0006478D" w:rsidRPr="00CE0BCE" w:rsidRDefault="0006478D" w:rsidP="002F33D0">
            <w:pPr>
              <w:tabs>
                <w:tab w:val="left" w:pos="1064"/>
              </w:tabs>
              <w:ind w:firstLine="0"/>
              <w:jc w:val="center"/>
              <w:rPr>
                <w:szCs w:val="24"/>
                <w:lang w:val="kk-KZ"/>
              </w:rPr>
            </w:pPr>
            <w:r w:rsidRPr="00CE0BCE">
              <w:rPr>
                <w:szCs w:val="24"/>
                <w:lang w:val="kk-KZ"/>
              </w:rPr>
              <w:t>Подход</w:t>
            </w:r>
          </w:p>
        </w:tc>
        <w:tc>
          <w:tcPr>
            <w:tcW w:w="2410" w:type="dxa"/>
          </w:tcPr>
          <w:p w14:paraId="1BE5D6CC" w14:textId="77777777" w:rsidR="0006478D" w:rsidRPr="00CE0BCE" w:rsidRDefault="0006478D" w:rsidP="002F33D0">
            <w:pPr>
              <w:tabs>
                <w:tab w:val="left" w:pos="1064"/>
              </w:tabs>
              <w:ind w:firstLine="12"/>
              <w:jc w:val="center"/>
              <w:rPr>
                <w:szCs w:val="24"/>
                <w:lang w:val="kk-KZ"/>
              </w:rPr>
            </w:pPr>
            <w:r w:rsidRPr="00CE0BCE">
              <w:rPr>
                <w:szCs w:val="24"/>
                <w:lang w:val="kk-KZ"/>
              </w:rPr>
              <w:t>Авторы и источники</w:t>
            </w:r>
          </w:p>
        </w:tc>
        <w:tc>
          <w:tcPr>
            <w:tcW w:w="2730" w:type="dxa"/>
          </w:tcPr>
          <w:p w14:paraId="5B6E0FDF" w14:textId="77777777" w:rsidR="0006478D" w:rsidRPr="00CE0BCE" w:rsidRDefault="0006478D" w:rsidP="002F33D0">
            <w:pPr>
              <w:tabs>
                <w:tab w:val="left" w:pos="1064"/>
              </w:tabs>
              <w:ind w:firstLine="12"/>
              <w:jc w:val="center"/>
              <w:rPr>
                <w:szCs w:val="24"/>
                <w:lang w:val="kk-KZ"/>
              </w:rPr>
            </w:pPr>
            <w:r w:rsidRPr="00CE0BCE">
              <w:rPr>
                <w:szCs w:val="24"/>
                <w:lang w:val="kk-KZ"/>
              </w:rPr>
              <w:t>Содержание трактовки</w:t>
            </w:r>
          </w:p>
        </w:tc>
        <w:tc>
          <w:tcPr>
            <w:tcW w:w="2225" w:type="dxa"/>
          </w:tcPr>
          <w:p w14:paraId="2863CDF5" w14:textId="77777777" w:rsidR="0006478D" w:rsidRPr="00CE0BCE" w:rsidRDefault="0006478D" w:rsidP="002F33D0">
            <w:pPr>
              <w:tabs>
                <w:tab w:val="left" w:pos="1064"/>
              </w:tabs>
              <w:ind w:firstLine="12"/>
              <w:jc w:val="center"/>
              <w:rPr>
                <w:szCs w:val="24"/>
                <w:lang w:val="kk-KZ"/>
              </w:rPr>
            </w:pPr>
            <w:r w:rsidRPr="00CE0BCE">
              <w:rPr>
                <w:szCs w:val="24"/>
                <w:lang w:val="kk-KZ"/>
              </w:rPr>
              <w:t>Ключевые акценты</w:t>
            </w:r>
          </w:p>
        </w:tc>
      </w:tr>
      <w:tr w:rsidR="00CE0BCE" w:rsidRPr="00CE0BCE" w14:paraId="341C8A1A" w14:textId="77777777" w:rsidTr="00EE74AE">
        <w:tc>
          <w:tcPr>
            <w:tcW w:w="2263" w:type="dxa"/>
          </w:tcPr>
          <w:p w14:paraId="2BA5DEC9" w14:textId="77777777" w:rsidR="0006478D" w:rsidRPr="00CE0BCE" w:rsidRDefault="0006478D" w:rsidP="00702F64">
            <w:pPr>
              <w:tabs>
                <w:tab w:val="left" w:pos="1064"/>
              </w:tabs>
              <w:ind w:firstLine="0"/>
              <w:rPr>
                <w:szCs w:val="24"/>
                <w:lang w:val="kk-KZ"/>
              </w:rPr>
            </w:pPr>
            <w:r w:rsidRPr="00CE0BCE">
              <w:rPr>
                <w:szCs w:val="24"/>
                <w:lang w:val="kk-KZ"/>
              </w:rPr>
              <w:t>Институционально-правовой</w:t>
            </w:r>
          </w:p>
        </w:tc>
        <w:tc>
          <w:tcPr>
            <w:tcW w:w="2410" w:type="dxa"/>
          </w:tcPr>
          <w:p w14:paraId="6AAB0D83" w14:textId="679C97CF" w:rsidR="00BC0CE6" w:rsidRPr="00CE0BCE" w:rsidRDefault="00BC0CE6" w:rsidP="002F33D0">
            <w:pPr>
              <w:tabs>
                <w:tab w:val="left" w:pos="1064"/>
              </w:tabs>
              <w:ind w:firstLine="12"/>
              <w:rPr>
                <w:szCs w:val="24"/>
                <w:lang w:val="kk-KZ"/>
              </w:rPr>
            </w:pPr>
            <w:r w:rsidRPr="00CE0BCE">
              <w:rPr>
                <w:szCs w:val="24"/>
                <w:lang w:val="kk-KZ"/>
              </w:rPr>
              <w:t xml:space="preserve">Алехина и др. </w:t>
            </w:r>
            <w:r w:rsidRPr="00CE0BCE">
              <w:rPr>
                <w:szCs w:val="24"/>
                <w:lang w:val="kk-KZ"/>
              </w:rPr>
              <w:fldChar w:fldCharType="begin"/>
            </w:r>
            <w:r w:rsidR="009C6DCA">
              <w:rPr>
                <w:szCs w:val="24"/>
                <w:lang w:val="kk-KZ"/>
              </w:rPr>
              <w:instrText xml:space="preserve"> ADDIN ZOTERO_ITEM CSL_CITATION {"citationID":"a2ca328dka","properties":{"formattedCitation":"[6]","plainCitation":"[6]","noteIndex":0},"citationItems":[{"id":45,"uris":["http://zotero.org/users/16887523/items/T66UWUPI"],"itemData":{"id":45,"type":"article-journal","abstract":"Objectives: to study the conditions and factors of functioning of Russian entrepreneurial structures in the active stage of the pandemic and at the stage of post-sanctions recovery; to identify sectors of entrepreneurial activity most affected by sanctions restrictions; to substantiate a set of measures aimed at stimulating the activity of Russian entrepreneurial structures in the conditions of new economic realities.\nMethodology. The authors used methods of analysis and synthesis, systematization, comparative analysis, graphical method, methods of economic analysis to study the dynamics of socio-economic indicators, as well as a systematic approach to present the authors' conclusions.\nResults. The authors have analyzed the factors determining the activity of Russian entrepreneurial structures in the active stage of the pandemic and at the stage of post-covarian recovery. The article identifies the areas of activity of small and medium-sized entrepreneurial structures that are most affected by the sanctions restrictions imposed by the EU countries and the United States.\nConclusions. It is concluded that Russian entrepreneurial structures of small and medium-sized businesses are trapped in two turbulent periods - pandemic and sanctions restrictions. It is substantiated that in 2022 the SME sector showed the first signs of recovery after the pandemic, followed by the development of new challenges of uncertainty. A two-level model for stimulating entrepreneurial activity in conditions of sanctions restrictions, which includes a set of state policy measures, as well as tools for adapting companies in the form of ambivalent development strategy, is proposed.","container-title":"Известия Юго Западного государственного университета. Серия: Экономика. Социология. Менеджмент.","DOI":"https://doi.org/10.21869/2223-1552-2023-13-1-102-115","ISSN":"22231552","issue":"1","journalAbbreviation":"PSSU.SESM","language":"ru","page":"102-115","source":"DOI.org (Crossref)","title":"Новые векторы и ограничения в развитии предпринимательских структур в новых  экономических реалиях","URL":"https://ecsocmenus.elpub.ru/jour/article/view/169/168","volume":"13","author":[{"family":"Алехина","given":"О.Ф."},{"family":"Артюшкова","given":"А.Ю."},{"family":"Корякина","given":"Т.В."},{"family":"Иода","given":"Ю.В."}],"issued":{"date-parts":[["2023"]]}}}],"schema":"https://github.com/citation-style-language/schema/raw/master/csl-citation.json"} </w:instrText>
            </w:r>
            <w:r w:rsidRPr="00CE0BCE">
              <w:rPr>
                <w:szCs w:val="24"/>
                <w:lang w:val="kk-KZ"/>
              </w:rPr>
              <w:fldChar w:fldCharType="separate"/>
            </w:r>
            <w:r w:rsidR="009C6DCA" w:rsidRPr="009C6DCA">
              <w:t>[6]</w:t>
            </w:r>
            <w:r w:rsidRPr="00CE0BCE">
              <w:rPr>
                <w:szCs w:val="24"/>
                <w:lang w:val="kk-KZ"/>
              </w:rPr>
              <w:fldChar w:fldCharType="end"/>
            </w:r>
          </w:p>
          <w:p w14:paraId="797079D8" w14:textId="1D0C6BB5" w:rsidR="00BC0CE6" w:rsidRPr="00CE0BCE" w:rsidRDefault="00BC0CE6" w:rsidP="002F33D0">
            <w:pPr>
              <w:tabs>
                <w:tab w:val="left" w:pos="1064"/>
              </w:tabs>
              <w:ind w:firstLine="12"/>
              <w:rPr>
                <w:szCs w:val="24"/>
                <w:lang w:val="kk-KZ"/>
              </w:rPr>
            </w:pPr>
            <w:r w:rsidRPr="00CE0BCE">
              <w:rPr>
                <w:szCs w:val="24"/>
                <w:lang w:val="kk-KZ"/>
              </w:rPr>
              <w:t xml:space="preserve">Байзуллаев и др. </w:t>
            </w:r>
            <w:r w:rsidRPr="00CE0BCE">
              <w:rPr>
                <w:szCs w:val="24"/>
                <w:lang w:val="kk-KZ"/>
              </w:rPr>
              <w:fldChar w:fldCharType="begin"/>
            </w:r>
            <w:r w:rsidR="009C6DCA">
              <w:rPr>
                <w:szCs w:val="24"/>
                <w:lang w:val="kk-KZ"/>
              </w:rPr>
              <w:instrText xml:space="preserve"> ADDIN ZOTERO_ITEM CSL_CITATION {"citationID":"a2gc5nvr8gs","properties":{"formattedCitation":"[7]","plainCitation":"[7]","noteIndex":0},"citationItems":[{"id":46,"uris":["http://zotero.org/users/16887523/items/SH28PZ85"],"itemData":{"id":46,"type":"article-journal","container-title":"Московский экономический журнал","DOI":"10.55186/2413046X_2022_7_12_767","ISSN":"2413-046X","issue":"12","journalAbbreviation":"МЭЖ","page":"1-12","source":"DOI.org (Crossref)","title":"Новые предпринимательские структуры и их роль в развитии региональной промышленности","URL":"https://elibrary.ru/doi_resolution.asp?doi=10%2E55186%2F2413046X%5F2022%5F7%5F12%5F767","volume":"7","author":[{"family":"Байзулаев","given":"Салих Ахметович"},{"family":"Гергова","given":"Залина Хусеновна"},{"family":"Гузиева","given":"Лейля Межгитовна"},{"family":"Ягумова","given":"Зарема Нурбиевна"}],"accessed":{"date-parts":[["2025",11,19]]},"issued":{"date-parts":[["2022"]]}}}],"schema":"https://github.com/citation-style-language/schema/raw/master/csl-citation.json"} </w:instrText>
            </w:r>
            <w:r w:rsidRPr="00CE0BCE">
              <w:rPr>
                <w:szCs w:val="24"/>
                <w:lang w:val="kk-KZ"/>
              </w:rPr>
              <w:fldChar w:fldCharType="separate"/>
            </w:r>
            <w:r w:rsidR="009C6DCA" w:rsidRPr="009C6DCA">
              <w:t>[7]</w:t>
            </w:r>
            <w:r w:rsidRPr="00CE0BCE">
              <w:rPr>
                <w:szCs w:val="24"/>
                <w:lang w:val="kk-KZ"/>
              </w:rPr>
              <w:fldChar w:fldCharType="end"/>
            </w:r>
          </w:p>
          <w:p w14:paraId="761942A1" w14:textId="00276801" w:rsidR="009D6351" w:rsidRPr="00CE0BCE" w:rsidRDefault="00BC0CE6" w:rsidP="002F33D0">
            <w:pPr>
              <w:tabs>
                <w:tab w:val="left" w:pos="1064"/>
              </w:tabs>
              <w:ind w:firstLine="12"/>
              <w:rPr>
                <w:szCs w:val="24"/>
                <w:highlight w:val="yellow"/>
                <w:lang w:val="kk-KZ"/>
              </w:rPr>
            </w:pPr>
            <w:r w:rsidRPr="00CE0BCE">
              <w:rPr>
                <w:szCs w:val="24"/>
                <w:lang w:val="kk-KZ"/>
              </w:rPr>
              <w:t xml:space="preserve">Касимгазинова и др. </w:t>
            </w:r>
            <w:r w:rsidRPr="00CE0BCE">
              <w:rPr>
                <w:szCs w:val="24"/>
                <w:highlight w:val="yellow"/>
                <w:lang w:val="kk-KZ"/>
              </w:rPr>
              <w:fldChar w:fldCharType="begin"/>
            </w:r>
            <w:r w:rsidR="009C6DCA">
              <w:rPr>
                <w:szCs w:val="24"/>
                <w:highlight w:val="yellow"/>
                <w:lang w:val="kk-KZ"/>
              </w:rPr>
              <w:instrText xml:space="preserve"> ADDIN ZOTERO_ITEM CSL_CITATION {"citationID":"a1v64ctavif","properties":{"formattedCitation":"[8]","plainCitation":"[8]","noteIndex":0},"citationItems":[{"id":47,"uris":["http://zotero.org/users/16887523/items/HXBM2ZZI"],"itemData":{"id":47,"type":"article-journal","abstract":"Предпринимательский сектор в условиях рыночной экономики становится важнейшей движущей силой инновационного развития. Это связано с тем, что в условиях конкурентной борьбы для обеспечения максимального прироста прибыли предприниматель вынужден производить более сложную, инновационную продукцию. Таким образом, предпринимательство является «акселератором» инновационной активности. Интенсивность инновационной деятельности во многом определяет уровень экономического развития. Анализ развития экономики показывает, что наиболее прибыльными в настоящее время стали предприятия и отрасли в целом, которые ориентированы на производство высокотехнологичных товаров, таких как компьютеры и полупроводники, лекарственные средства и медицинское оборудование, средства связи и системы коммуникаций. Освоение высоких технологий в промышленности и выпуск новой наукоемкой продукции являются ключевыми факторами устойчивого экономического роста для большинства индустриально развитых стран мира. В связи с этим в последнее время особое внимание стало уделяться деятельности инновационного предпринимательства. В статье анализируется текущее состояние инновационного развития в Республике Казахстан. Рассматриваются основные проблемы и решения обеспечения стратегической устойчивости предпринимательских структур в условиях инновационного развития. Необходимо обеспечить модернизацию экономики за счет внедрения современных технологий и максимального использования интеллектуального потенциала страны. Реализация экономической стратегии определяет реализацию основных направлений социальной политики в соответствии с инновационным развитием казахстанского общества в целом.","container-title":"Вестник РОО \"Национальной Академии наук Республики Казахстан\"","DOI":"10.32014/2024.2518-1467.816","ISSN":"2518-1467, 1991-3494","issue":"4","journalAbbreviation":"THE BULLETIN","page":"439-453","source":"DOI.org (Crossref)","title":"РАЗВИТИЕ ИННОВАЦИОННОЙ ИНФРАСТРУКТУРЫ ПРЕДПРИНИМАТЕЛЬСТВА В РЕСПУБЛИКЕ КАЗАХСТАН","URL":"https://journals.nauka-nanrk.kz/bulletin-science/article/view/6831/4625","volume":"410","author":[{"family":"Касимгазинова","given":"А.М."},{"family":"Бабажанова","given":"Ж."},{"family":"Сагындыкова","given":"Р.Е."},{"family":"Шойбакова","given":"Е.О."},{"family":"Тахтаева","given":"Р.Ш."}],"accessed":{"date-parts":[["2025",11,19]]},"issued":{"date-parts":[["2024",9,26]]}}}],"schema":"https://github.com/citation-style-language/schema/raw/master/csl-citation.json"} </w:instrText>
            </w:r>
            <w:r w:rsidRPr="00CE0BCE">
              <w:rPr>
                <w:szCs w:val="24"/>
                <w:highlight w:val="yellow"/>
                <w:lang w:val="kk-KZ"/>
              </w:rPr>
              <w:fldChar w:fldCharType="separate"/>
            </w:r>
            <w:r w:rsidR="009C6DCA" w:rsidRPr="009C6DCA">
              <w:t>[8]</w:t>
            </w:r>
            <w:r w:rsidRPr="00CE0BCE">
              <w:rPr>
                <w:szCs w:val="24"/>
                <w:highlight w:val="yellow"/>
                <w:lang w:val="kk-KZ"/>
              </w:rPr>
              <w:fldChar w:fldCharType="end"/>
            </w:r>
          </w:p>
          <w:p w14:paraId="316E421F" w14:textId="77777777" w:rsidR="009D6351" w:rsidRPr="00617838" w:rsidRDefault="009D6351" w:rsidP="002F33D0">
            <w:pPr>
              <w:tabs>
                <w:tab w:val="left" w:pos="1064"/>
              </w:tabs>
              <w:ind w:firstLine="12"/>
              <w:rPr>
                <w:szCs w:val="24"/>
                <w:highlight w:val="yellow"/>
              </w:rPr>
            </w:pPr>
          </w:p>
          <w:p w14:paraId="15608EAD" w14:textId="1030B49B" w:rsidR="0006478D" w:rsidRPr="00CE0BCE" w:rsidRDefault="0006478D" w:rsidP="002F33D0">
            <w:pPr>
              <w:tabs>
                <w:tab w:val="left" w:pos="1064"/>
              </w:tabs>
              <w:ind w:firstLine="12"/>
              <w:jc w:val="center"/>
              <w:rPr>
                <w:szCs w:val="24"/>
                <w:highlight w:val="yellow"/>
                <w:lang w:val="kk-KZ"/>
              </w:rPr>
            </w:pPr>
          </w:p>
        </w:tc>
        <w:tc>
          <w:tcPr>
            <w:tcW w:w="2730" w:type="dxa"/>
          </w:tcPr>
          <w:p w14:paraId="344E4B87" w14:textId="77777777" w:rsidR="0006478D" w:rsidRPr="00CE0BCE" w:rsidRDefault="00467C13" w:rsidP="00702F64">
            <w:pPr>
              <w:tabs>
                <w:tab w:val="left" w:pos="1064"/>
              </w:tabs>
              <w:ind w:firstLine="12"/>
              <w:rPr>
                <w:szCs w:val="24"/>
                <w:lang w:val="kk-KZ"/>
              </w:rPr>
            </w:pPr>
            <w:r w:rsidRPr="00CE0BCE">
              <w:rPr>
                <w:szCs w:val="24"/>
              </w:rPr>
              <w:t>Предпринимательские структуры как субъекты, встроенные в систему национальных и региональных институтов.</w:t>
            </w:r>
          </w:p>
        </w:tc>
        <w:tc>
          <w:tcPr>
            <w:tcW w:w="2225" w:type="dxa"/>
          </w:tcPr>
          <w:p w14:paraId="3AB45B3A" w14:textId="77777777" w:rsidR="0006478D" w:rsidRPr="00CE0BCE" w:rsidRDefault="00467C13" w:rsidP="00702F64">
            <w:pPr>
              <w:tabs>
                <w:tab w:val="left" w:pos="1064"/>
              </w:tabs>
              <w:ind w:firstLine="12"/>
              <w:rPr>
                <w:szCs w:val="24"/>
                <w:lang w:val="kk-KZ"/>
              </w:rPr>
            </w:pPr>
            <w:r w:rsidRPr="00CE0BCE">
              <w:rPr>
                <w:szCs w:val="24"/>
              </w:rPr>
              <w:t>Регулирование, правовая среда, институциональная устойчивость, формирование отраслей</w:t>
            </w:r>
          </w:p>
        </w:tc>
      </w:tr>
      <w:tr w:rsidR="00CE0BCE" w:rsidRPr="00CE0BCE" w14:paraId="35F26874" w14:textId="77777777" w:rsidTr="00EE74AE">
        <w:tc>
          <w:tcPr>
            <w:tcW w:w="2263" w:type="dxa"/>
          </w:tcPr>
          <w:p w14:paraId="45EACC9B" w14:textId="77777777" w:rsidR="0006478D" w:rsidRPr="00CE0BCE" w:rsidRDefault="0006478D" w:rsidP="00702F64">
            <w:pPr>
              <w:tabs>
                <w:tab w:val="left" w:pos="1064"/>
              </w:tabs>
              <w:ind w:firstLine="0"/>
              <w:rPr>
                <w:szCs w:val="24"/>
                <w:lang w:val="kk-KZ"/>
              </w:rPr>
            </w:pPr>
            <w:r w:rsidRPr="00CE0BCE">
              <w:rPr>
                <w:szCs w:val="24"/>
                <w:lang w:val="kk-KZ"/>
              </w:rPr>
              <w:t>Экосистемно-сетевой</w:t>
            </w:r>
          </w:p>
        </w:tc>
        <w:tc>
          <w:tcPr>
            <w:tcW w:w="2410" w:type="dxa"/>
          </w:tcPr>
          <w:p w14:paraId="0D3DB8C6" w14:textId="40F8EF64" w:rsidR="006D1072" w:rsidRPr="00CE0BCE" w:rsidRDefault="006D1072" w:rsidP="002F33D0">
            <w:pPr>
              <w:ind w:firstLine="12"/>
              <w:rPr>
                <w:rFonts w:eastAsia="Times New Roman"/>
                <w:szCs w:val="24"/>
                <w:lang w:val="en-US" w:eastAsia="ru-RU"/>
              </w:rPr>
            </w:pPr>
            <w:r w:rsidRPr="00CE0BCE">
              <w:rPr>
                <w:rFonts w:eastAsia="Times New Roman"/>
                <w:szCs w:val="24"/>
                <w:lang w:val="en-US" w:eastAsia="ru-RU"/>
              </w:rPr>
              <w:t>A. Fernandes, J. Ferreira</w:t>
            </w:r>
            <w:r w:rsidR="00BF3797" w:rsidRPr="00CE0BCE">
              <w:rPr>
                <w:rFonts w:eastAsia="Times New Roman"/>
                <w:szCs w:val="24"/>
                <w:lang w:val="en-US" w:eastAsia="ru-RU"/>
              </w:rPr>
              <w:t xml:space="preserve"> </w:t>
            </w:r>
            <w:r w:rsidR="00352DFF" w:rsidRPr="00CE0BCE">
              <w:rPr>
                <w:rFonts w:eastAsia="Times New Roman"/>
                <w:szCs w:val="24"/>
                <w:lang w:val="en-US" w:eastAsia="ru-RU"/>
              </w:rPr>
              <w:fldChar w:fldCharType="begin"/>
            </w:r>
            <w:r w:rsidR="00AE44BA">
              <w:rPr>
                <w:rFonts w:eastAsia="Times New Roman"/>
                <w:szCs w:val="24"/>
                <w:lang w:val="en-US" w:eastAsia="ru-RU"/>
              </w:rPr>
              <w:instrText xml:space="preserve"> ADDIN ZOTERO_ITEM CSL_CITATION {"citationID":"a1qduu8oaih","properties":{"formattedCitation":"[9]","plainCitation":"[9]","noteIndex":0},"citationItems":[{"id":"jo0Cjpe8/k5cvSadA","uris":["http://www.mendeley.com/documents/?uuid=3eac3b99-2a8f-4c40-8708-ae508d3f4114"],"itemData":{"DOI":"10.1007/s11846-020-00437-6","ISSN":"1863-6683","author":[{"dropping-particle":"","family":"Fernandes","given":"Ana Joana","non-dropping-particle":"","parse-names":false,"suffix":""},{"dropping-particle":"","family":"Ferreira","given":"Joao J.","non-dropping-particle":"","parse-names":false,"suffix":""}],"container-title":"Review of Managerial Science","id":"zUTERPJI/4biuddgl","issue":"1","issued":{"date-parts":[["2022","1","8"]]},"note":"2","page":"189-247","title":"Entrepreneurial ecosystems and networks: a literature review and research agenda","type":"article-journal","volume":"16"}}],"schema":"https://github.com/citation-style-language/schema/raw/master/csl-citation.json"} </w:instrText>
            </w:r>
            <w:r w:rsidR="00352DFF" w:rsidRPr="00CE0BCE">
              <w:rPr>
                <w:rFonts w:eastAsia="Times New Roman"/>
                <w:szCs w:val="24"/>
                <w:lang w:val="en-US" w:eastAsia="ru-RU"/>
              </w:rPr>
              <w:fldChar w:fldCharType="separate"/>
            </w:r>
            <w:r w:rsidR="009C6DCA" w:rsidRPr="009C6DCA">
              <w:rPr>
                <w:lang w:val="en-US"/>
              </w:rPr>
              <w:t>[9]</w:t>
            </w:r>
            <w:r w:rsidR="00352DFF" w:rsidRPr="00CE0BCE">
              <w:rPr>
                <w:rFonts w:eastAsia="Times New Roman"/>
                <w:szCs w:val="24"/>
                <w:lang w:val="en-US" w:eastAsia="ru-RU"/>
              </w:rPr>
              <w:fldChar w:fldCharType="end"/>
            </w:r>
            <w:r w:rsidRPr="00CE0BCE">
              <w:rPr>
                <w:rFonts w:eastAsia="Times New Roman"/>
                <w:szCs w:val="24"/>
                <w:lang w:val="en-US" w:eastAsia="ru-RU"/>
              </w:rPr>
              <w:t xml:space="preserve">; </w:t>
            </w:r>
          </w:p>
          <w:p w14:paraId="1F5CA451" w14:textId="658FB991" w:rsidR="006D1072" w:rsidRPr="00CE0BCE" w:rsidRDefault="006D1072" w:rsidP="002F33D0">
            <w:pPr>
              <w:ind w:firstLine="12"/>
              <w:rPr>
                <w:rFonts w:eastAsia="Times New Roman"/>
                <w:szCs w:val="24"/>
                <w:lang w:val="en-US" w:eastAsia="ru-RU"/>
              </w:rPr>
            </w:pPr>
            <w:r w:rsidRPr="00CE0BCE">
              <w:rPr>
                <w:rFonts w:eastAsia="Times New Roman"/>
                <w:szCs w:val="24"/>
                <w:lang w:val="en-US" w:eastAsia="ru-RU"/>
              </w:rPr>
              <w:t xml:space="preserve">B. Fischer </w:t>
            </w:r>
            <w:r w:rsidRPr="00CE0BCE">
              <w:rPr>
                <w:rFonts w:eastAsia="Times New Roman"/>
                <w:szCs w:val="24"/>
                <w:lang w:eastAsia="ru-RU"/>
              </w:rPr>
              <w:t>и</w:t>
            </w:r>
            <w:r w:rsidRPr="00CE0BCE">
              <w:rPr>
                <w:rFonts w:eastAsia="Times New Roman"/>
                <w:szCs w:val="24"/>
                <w:lang w:val="en-US" w:eastAsia="ru-RU"/>
              </w:rPr>
              <w:t xml:space="preserve"> </w:t>
            </w:r>
            <w:r w:rsidRPr="00CE0BCE">
              <w:rPr>
                <w:rFonts w:eastAsia="Times New Roman"/>
                <w:szCs w:val="24"/>
                <w:lang w:eastAsia="ru-RU"/>
              </w:rPr>
              <w:t>др</w:t>
            </w:r>
            <w:r w:rsidRPr="00CE0BCE">
              <w:rPr>
                <w:rFonts w:eastAsia="Times New Roman"/>
                <w:szCs w:val="24"/>
                <w:lang w:val="en-US" w:eastAsia="ru-RU"/>
              </w:rPr>
              <w:t>.</w:t>
            </w:r>
            <w:r w:rsidR="00352DFF" w:rsidRPr="00CE0BCE">
              <w:rPr>
                <w:rFonts w:eastAsia="Times New Roman"/>
                <w:szCs w:val="24"/>
                <w:lang w:val="en-US" w:eastAsia="ru-RU"/>
              </w:rPr>
              <w:t xml:space="preserve"> </w:t>
            </w:r>
            <w:r w:rsidR="00352DFF" w:rsidRPr="00CE0BCE">
              <w:rPr>
                <w:rFonts w:eastAsia="Times New Roman"/>
                <w:szCs w:val="24"/>
                <w:lang w:val="en-US" w:eastAsia="ru-RU"/>
              </w:rPr>
              <w:fldChar w:fldCharType="begin"/>
            </w:r>
            <w:r w:rsidR="00AE44BA">
              <w:rPr>
                <w:rFonts w:eastAsia="Times New Roman"/>
                <w:szCs w:val="24"/>
                <w:lang w:val="en-US" w:eastAsia="ru-RU"/>
              </w:rPr>
              <w:instrText xml:space="preserve"> ADDIN ZOTERO_ITEM CSL_CITATION {"citationID":"a1t7f9agls5","properties":{"formattedCitation":"[10]","plainCitation":"[10]","noteIndex":0},"citationItems":[{"id":"jo0Cjpe8/OSBm9scc","uris":["http://www.mendeley.com/documents/?uuid=468babe7-3367-4c14-b38b-f97fdac34859"],"itemData":{"DOI":"10.1016/j.jbusres.2022.04.018","ISSN":"01482963","author":[{"dropping-particle":"","family":"Fischer","given":"Bruno","non-dropping-particle":"","parse-names":false,"suffix":""},{"dropping-particle":"","family":"Meissner","given":"Dirk","non-dropping-particle":"","parse-names":false,"suffix":""},{"dropping-particle":"","family":"Vonortas","given":"Nicholas","non-dropping-particle":"","parse-names":false,"suffix":""},{"dropping-particle":"","family":"Guerrero","given":"Maribel","non-dropping-particle":"","parse-names":false,"suffix":""}],"container-title":"Journal of Business Research","id":"zUTERPJI/SukxiIfk","issued":{"date-parts":[["2022","8"]]},"note":"1","page":"27-36","title":"Spatial features of entrepreneurial ecosystems","type":"article-journal","volume":"147"}}],"schema":"https://github.com/citation-style-language/schema/raw/master/csl-citation.json"} </w:instrText>
            </w:r>
            <w:r w:rsidR="00352DFF" w:rsidRPr="00CE0BCE">
              <w:rPr>
                <w:rFonts w:eastAsia="Times New Roman"/>
                <w:szCs w:val="24"/>
                <w:lang w:val="en-US" w:eastAsia="ru-RU"/>
              </w:rPr>
              <w:fldChar w:fldCharType="separate"/>
            </w:r>
            <w:r w:rsidR="009C6DCA" w:rsidRPr="009C6DCA">
              <w:t>[10]</w:t>
            </w:r>
            <w:r w:rsidR="00352DFF" w:rsidRPr="00CE0BCE">
              <w:rPr>
                <w:rFonts w:eastAsia="Times New Roman"/>
                <w:szCs w:val="24"/>
                <w:lang w:val="en-US" w:eastAsia="ru-RU"/>
              </w:rPr>
              <w:fldChar w:fldCharType="end"/>
            </w:r>
            <w:r w:rsidRPr="00CE0BCE">
              <w:rPr>
                <w:rFonts w:eastAsia="Times New Roman"/>
                <w:szCs w:val="24"/>
                <w:lang w:val="en-US" w:eastAsia="ru-RU"/>
              </w:rPr>
              <w:t xml:space="preserve">; </w:t>
            </w:r>
          </w:p>
          <w:p w14:paraId="1B5A83FF" w14:textId="68D46559" w:rsidR="006D1072" w:rsidRPr="00CE0BCE" w:rsidRDefault="006D1072" w:rsidP="002F33D0">
            <w:pPr>
              <w:ind w:firstLine="12"/>
              <w:rPr>
                <w:rFonts w:eastAsia="Times New Roman"/>
                <w:szCs w:val="24"/>
                <w:lang w:val="en-US" w:eastAsia="ru-RU"/>
              </w:rPr>
            </w:pPr>
            <w:r w:rsidRPr="00CE0BCE">
              <w:rPr>
                <w:rFonts w:eastAsia="Times New Roman"/>
                <w:szCs w:val="24"/>
                <w:lang w:val="en-US" w:eastAsia="ru-RU"/>
              </w:rPr>
              <w:t>A. Grandori</w:t>
            </w:r>
            <w:r w:rsidR="00352DFF" w:rsidRPr="00CE0BCE">
              <w:rPr>
                <w:rFonts w:eastAsia="Times New Roman"/>
                <w:szCs w:val="24"/>
                <w:lang w:val="en-US" w:eastAsia="ru-RU"/>
              </w:rPr>
              <w:t xml:space="preserve"> </w:t>
            </w:r>
            <w:r w:rsidR="00352DFF" w:rsidRPr="00CE0BCE">
              <w:rPr>
                <w:rFonts w:eastAsia="Times New Roman"/>
                <w:szCs w:val="24"/>
                <w:lang w:val="en-US" w:eastAsia="ru-RU"/>
              </w:rPr>
              <w:fldChar w:fldCharType="begin"/>
            </w:r>
            <w:r w:rsidR="00AE44BA">
              <w:rPr>
                <w:rFonts w:eastAsia="Times New Roman"/>
                <w:szCs w:val="24"/>
                <w:lang w:val="en-US" w:eastAsia="ru-RU"/>
              </w:rPr>
              <w:instrText xml:space="preserve"> ADDIN ZOTERO_ITEM CSL_CITATION {"citationID":"a2hhmg2sj6k","properties":{"formattedCitation":"[11]","plainCitation":"[11]","noteIndex":0},"citationItems":[{"id":"jo0Cjpe8/Zimb4yPU","uris":["http://www.mendeley.com/documents/?uuid=8ca9c26b-7fe4-481e-815f-fc927fe173fe"],"itemData":{"DOI":"10.1007/s11187-024-00883-6","ISBN":"0123456789","ISSN":"15730913","abstract":"Everyone uses—but no one defines—the term “entrepreneurial firm.” Nobel laureate Oliver Williamson described the entrepreneurial firm as “a special challenge” to the theory of the firm. Organization scholars struggle with the “evergreen problem” of whether “entrepreneurial organizations are distinct from established organizations.” Building on a rarely used distinction in early transaction cost economics between “capitalist,” “entrepreneurial,” and “collective” enterprises, an entrepreneurial governance mode is here dimensionalized and distinguished from other modes of governing an enterprise. The critical dimension is the allocation of property rights, whereby entrepreneurial governance can be characterized as a hybrid between capital governance and labor governance. This notion is then used to derive the conditions that other relevant legal and organizational traits of the entrepreneurial firm should satisfy to be compatible with this hybrid character. The conclusions indicate three main trails for a new research agenda in a structural view of entrepreneurship: new organizational dimensions and forms; the design of ownership structures; and entrepreneurship and law.","author":[{"dropping-particle":"","family":"Grandori","given":"Anna","non-dropping-particle":"","parse-names":false,"suffix":""}],"container-title":"Small Business Economics","id":"zUTERPJI/ugY2emp9","issue":"4","issued":{"date-parts":[["2024"]]},"note":"6","page":"1503-1516","publisher":"Springer US","title":"Entrepreneurial governance and the nature of the entrepreneurial firm","type":"article-journal","volume":"63"}}],"schema":"https://github.com/citation-style-language/schema/raw/master/csl-citation.json"} </w:instrText>
            </w:r>
            <w:r w:rsidR="00352DFF" w:rsidRPr="00CE0BCE">
              <w:rPr>
                <w:rFonts w:eastAsia="Times New Roman"/>
                <w:szCs w:val="24"/>
                <w:lang w:val="en-US" w:eastAsia="ru-RU"/>
              </w:rPr>
              <w:fldChar w:fldCharType="separate"/>
            </w:r>
            <w:r w:rsidR="009C6DCA" w:rsidRPr="009C6DCA">
              <w:t>[11]</w:t>
            </w:r>
            <w:r w:rsidR="00352DFF" w:rsidRPr="00CE0BCE">
              <w:rPr>
                <w:rFonts w:eastAsia="Times New Roman"/>
                <w:szCs w:val="24"/>
                <w:lang w:val="en-US" w:eastAsia="ru-RU"/>
              </w:rPr>
              <w:fldChar w:fldCharType="end"/>
            </w:r>
            <w:r w:rsidRPr="00CE0BCE">
              <w:rPr>
                <w:rFonts w:eastAsia="Times New Roman"/>
                <w:szCs w:val="24"/>
                <w:lang w:val="en-US" w:eastAsia="ru-RU"/>
              </w:rPr>
              <w:t xml:space="preserve">; </w:t>
            </w:r>
          </w:p>
          <w:p w14:paraId="0E38EDF9" w14:textId="533E96DE" w:rsidR="006D1072" w:rsidRPr="00CE0BCE" w:rsidRDefault="006D1072" w:rsidP="002F33D0">
            <w:pPr>
              <w:ind w:firstLine="12"/>
              <w:rPr>
                <w:rFonts w:eastAsia="Times New Roman"/>
                <w:szCs w:val="24"/>
                <w:lang w:val="en-US" w:eastAsia="ru-RU"/>
              </w:rPr>
            </w:pPr>
            <w:r w:rsidRPr="00CE0BCE">
              <w:rPr>
                <w:rFonts w:eastAsia="Times New Roman"/>
                <w:szCs w:val="24"/>
                <w:lang w:val="en-US" w:eastAsia="ru-RU"/>
              </w:rPr>
              <w:t>B. Spigel</w:t>
            </w:r>
            <w:r w:rsidR="00352DFF" w:rsidRPr="00CE0BCE">
              <w:rPr>
                <w:rFonts w:eastAsia="Times New Roman"/>
                <w:szCs w:val="24"/>
                <w:lang w:val="en-US" w:eastAsia="ru-RU"/>
              </w:rPr>
              <w:t xml:space="preserve"> </w:t>
            </w:r>
            <w:r w:rsidR="00352DFF" w:rsidRPr="00CE0BCE">
              <w:rPr>
                <w:rFonts w:eastAsia="Times New Roman"/>
                <w:szCs w:val="24"/>
                <w:lang w:val="en-US" w:eastAsia="ru-RU"/>
              </w:rPr>
              <w:fldChar w:fldCharType="begin"/>
            </w:r>
            <w:r w:rsidR="00AE44BA">
              <w:rPr>
                <w:rFonts w:eastAsia="Times New Roman"/>
                <w:szCs w:val="24"/>
                <w:lang w:val="en-US" w:eastAsia="ru-RU"/>
              </w:rPr>
              <w:instrText xml:space="preserve"> ADDIN ZOTERO_ITEM CSL_CITATION {"citationID":"a18cvq65i8g","properties":{"formattedCitation":"[12]","plainCitation":"[12]","noteIndex":0},"citationItems":[{"id":"jo0Cjpe8/WYC89FMI","uris":["http://www.mendeley.com/documents/?uuid=dc5a0a7d-d82e-4dae-b810-bdd51052aa84"],"itemData":{"DOI":"10.1111/etap.12167","ISSN":"1042-2587","abstract":"Entrepreneurial ecosystems have emerged as a popular concept to explain the persistence of high–growth entrepreneurship within regions. However, as a theoretical concept ecosystems remain underdeveloped, making it difficult to understand their structure and influence on the entrepreneurship process. The article argues that ecosystems are composed of 10 cultural, social, and material attributes that provide benefits and resources to entrepreneurs and that the relationships between these attributes reproduce the ecosystem. This model is illustrated with case studies of Waterloo, Ontario, and Calgary, Alberta, Canada. The cases demonstrate the variety of different configurations that ecosystems can take.","author":[{"dropping-particle":"","family":"Spigel","given":"Ben","non-dropping-particle":"","parse-names":false,"suffix":""}],"container-title":"Entrepreneurship Theory and Practice","id":"zUTERPJI/FqcD30gS","issue":"1","issued":{"date-parts":[["2017","1","1"]]},"note":"4","page":"49-72","title":"The Relational Organization of Entrepreneurial Ecosystems","type":"article-journal","volume":"41"}}],"schema":"https://github.com/citation-style-language/schema/raw/master/csl-citation.json"} </w:instrText>
            </w:r>
            <w:r w:rsidR="00352DFF" w:rsidRPr="00CE0BCE">
              <w:rPr>
                <w:rFonts w:eastAsia="Times New Roman"/>
                <w:szCs w:val="24"/>
                <w:lang w:val="en-US" w:eastAsia="ru-RU"/>
              </w:rPr>
              <w:fldChar w:fldCharType="separate"/>
            </w:r>
            <w:r w:rsidR="009C6DCA" w:rsidRPr="009C6DCA">
              <w:t>[12]</w:t>
            </w:r>
            <w:r w:rsidR="00352DFF" w:rsidRPr="00CE0BCE">
              <w:rPr>
                <w:rFonts w:eastAsia="Times New Roman"/>
                <w:szCs w:val="24"/>
                <w:lang w:val="en-US" w:eastAsia="ru-RU"/>
              </w:rPr>
              <w:fldChar w:fldCharType="end"/>
            </w:r>
          </w:p>
          <w:p w14:paraId="5BB822E2" w14:textId="67834BFC" w:rsidR="0006478D" w:rsidRPr="00617838" w:rsidRDefault="0006478D" w:rsidP="002F33D0">
            <w:pPr>
              <w:tabs>
                <w:tab w:val="left" w:pos="1064"/>
              </w:tabs>
              <w:ind w:firstLine="12"/>
              <w:jc w:val="center"/>
              <w:rPr>
                <w:szCs w:val="24"/>
                <w:highlight w:val="yellow"/>
                <w:lang w:val="en-US"/>
              </w:rPr>
            </w:pPr>
          </w:p>
        </w:tc>
        <w:tc>
          <w:tcPr>
            <w:tcW w:w="2730" w:type="dxa"/>
          </w:tcPr>
          <w:p w14:paraId="421F2A5E" w14:textId="7346E166" w:rsidR="0006478D" w:rsidRPr="00CE0BCE" w:rsidRDefault="00467C13" w:rsidP="00702F64">
            <w:pPr>
              <w:tabs>
                <w:tab w:val="left" w:pos="1064"/>
              </w:tabs>
              <w:ind w:firstLine="12"/>
              <w:rPr>
                <w:szCs w:val="24"/>
                <w:lang w:val="kk-KZ"/>
              </w:rPr>
            </w:pPr>
            <w:r w:rsidRPr="00CE0BCE">
              <w:rPr>
                <w:szCs w:val="24"/>
              </w:rPr>
              <w:t xml:space="preserve">Структуры как элементы предпринимательских экосистем с высоким уровнем сетевой </w:t>
            </w:r>
            <w:r w:rsidR="00EE74AE" w:rsidRPr="00CE0BCE">
              <w:rPr>
                <w:szCs w:val="24"/>
              </w:rPr>
              <w:t>кооперации и диффузии инноваций</w:t>
            </w:r>
          </w:p>
        </w:tc>
        <w:tc>
          <w:tcPr>
            <w:tcW w:w="2225" w:type="dxa"/>
          </w:tcPr>
          <w:p w14:paraId="40A93210" w14:textId="77777777" w:rsidR="0006478D" w:rsidRPr="00CE0BCE" w:rsidRDefault="00467C13" w:rsidP="00702F64">
            <w:pPr>
              <w:tabs>
                <w:tab w:val="left" w:pos="1064"/>
              </w:tabs>
              <w:ind w:firstLine="12"/>
              <w:rPr>
                <w:szCs w:val="24"/>
                <w:lang w:val="kk-KZ"/>
              </w:rPr>
            </w:pPr>
            <w:r w:rsidRPr="00CE0BCE">
              <w:rPr>
                <w:szCs w:val="24"/>
              </w:rPr>
              <w:t>Взаимодействие акторов, сетевая динамика, экосистемы, платформа</w:t>
            </w:r>
          </w:p>
        </w:tc>
      </w:tr>
      <w:tr w:rsidR="00CE0BCE" w:rsidRPr="00CE0BCE" w14:paraId="653BDC18" w14:textId="77777777" w:rsidTr="00EE74AE">
        <w:tc>
          <w:tcPr>
            <w:tcW w:w="2263" w:type="dxa"/>
          </w:tcPr>
          <w:p w14:paraId="2F9DFF69" w14:textId="77777777" w:rsidR="0006478D" w:rsidRPr="00CE0BCE" w:rsidRDefault="0006478D" w:rsidP="00702F64">
            <w:pPr>
              <w:tabs>
                <w:tab w:val="left" w:pos="1064"/>
              </w:tabs>
              <w:ind w:firstLine="0"/>
              <w:rPr>
                <w:szCs w:val="24"/>
                <w:lang w:val="kk-KZ"/>
              </w:rPr>
            </w:pPr>
            <w:r w:rsidRPr="00CE0BCE">
              <w:rPr>
                <w:szCs w:val="24"/>
                <w:lang w:val="kk-KZ"/>
              </w:rPr>
              <w:t>Инновационно-ориентированный</w:t>
            </w:r>
          </w:p>
        </w:tc>
        <w:tc>
          <w:tcPr>
            <w:tcW w:w="2410" w:type="dxa"/>
          </w:tcPr>
          <w:p w14:paraId="6A97563A" w14:textId="3B3E7A7C" w:rsidR="00352DFF" w:rsidRPr="00CE0BCE" w:rsidRDefault="00352DFF" w:rsidP="002F33D0">
            <w:pPr>
              <w:tabs>
                <w:tab w:val="left" w:pos="1064"/>
              </w:tabs>
              <w:ind w:firstLine="12"/>
              <w:rPr>
                <w:szCs w:val="24"/>
                <w:lang w:val="kk-KZ"/>
              </w:rPr>
            </w:pPr>
            <w:r w:rsidRPr="00CE0BCE">
              <w:rPr>
                <w:szCs w:val="24"/>
                <w:lang w:val="kk-KZ"/>
              </w:rPr>
              <w:t>Т.А. Головина и И.Л. Авдеева</w:t>
            </w:r>
            <w:r w:rsidRPr="00CE0BCE">
              <w:rPr>
                <w:szCs w:val="24"/>
              </w:rPr>
              <w:t xml:space="preserve"> </w:t>
            </w:r>
            <w:r w:rsidRPr="00CE0BCE">
              <w:rPr>
                <w:szCs w:val="24"/>
                <w:lang w:val="en-US"/>
              </w:rPr>
              <w:fldChar w:fldCharType="begin"/>
            </w:r>
            <w:r w:rsidR="009C6DCA">
              <w:rPr>
                <w:szCs w:val="24"/>
              </w:rPr>
              <w:instrText xml:space="preserve"> ADDIN ZOTERO_ITEM CSL_CITATION {"citationID":"a24k6rg2m52","properties":{"formattedCitation":"[13]","plainCitation":"[13]","noteIndex":0},"citationItems":[{"id":53,"uris":["http://zotero.org/users/16887523/items/LDM7HY56"],"itemData":{"id":53,"type":"article-journal","container-title":"Деловой вестник предпринимателя","DOI":"10.24412/2687-0991-2022-1-7-43-50","ISSN":"2687099120","issue":"1","page":"43-50","title":"Инновационная деятельность предпринимательских структур в условиях риска и неопределенности","URL":"https://cyberleninka.ru/article/n/innovatsionnaya-deyatelnost-predprinimatelskih-struktur-v-usloviyah-riska-i-neopredelennosti/viewer","volume":"7","author":[{"family":"Головина","given":"Т.А."},{"family":"Авдеева","given":"И.Л."}],"issued":{"date-parts":[["2022"]]}}}],"schema":"https://github.com/citation-style-language/schema/raw/master/csl-citation.json"} </w:instrText>
            </w:r>
            <w:r w:rsidRPr="00CE0BCE">
              <w:rPr>
                <w:szCs w:val="24"/>
                <w:lang w:val="en-US"/>
              </w:rPr>
              <w:fldChar w:fldCharType="separate"/>
            </w:r>
            <w:r w:rsidR="009C6DCA" w:rsidRPr="009C6DCA">
              <w:t>[13]</w:t>
            </w:r>
            <w:r w:rsidRPr="00CE0BCE">
              <w:rPr>
                <w:szCs w:val="24"/>
                <w:lang w:val="en-US"/>
              </w:rPr>
              <w:fldChar w:fldCharType="end"/>
            </w:r>
            <w:r w:rsidRPr="00CE0BCE">
              <w:rPr>
                <w:szCs w:val="24"/>
                <w:lang w:val="kk-KZ"/>
              </w:rPr>
              <w:t>;</w:t>
            </w:r>
          </w:p>
          <w:p w14:paraId="3356A2DD" w14:textId="64499D46" w:rsidR="00352DFF" w:rsidRPr="00CE0BCE" w:rsidRDefault="00352DFF" w:rsidP="002F33D0">
            <w:pPr>
              <w:tabs>
                <w:tab w:val="left" w:pos="1064"/>
              </w:tabs>
              <w:ind w:firstLine="12"/>
              <w:rPr>
                <w:szCs w:val="24"/>
                <w:lang w:val="kk-KZ"/>
              </w:rPr>
            </w:pPr>
            <w:r w:rsidRPr="00CE0BCE">
              <w:rPr>
                <w:szCs w:val="24"/>
                <w:lang w:val="kk-KZ"/>
              </w:rPr>
              <w:t>Е.Я. Литау и А.Н. Сологуб</w:t>
            </w:r>
            <w:r w:rsidRPr="00CE0BCE">
              <w:rPr>
                <w:szCs w:val="24"/>
              </w:rPr>
              <w:t xml:space="preserve"> </w:t>
            </w:r>
            <w:r w:rsidRPr="00CE0BCE">
              <w:rPr>
                <w:szCs w:val="24"/>
                <w:lang w:val="en-US"/>
              </w:rPr>
              <w:fldChar w:fldCharType="begin"/>
            </w:r>
            <w:r w:rsidR="009C6DCA">
              <w:rPr>
                <w:szCs w:val="24"/>
              </w:rPr>
              <w:instrText xml:space="preserve"> ADDIN ZOTERO_ITEM CSL_CITATION {"citationID":"a2pnqdh47ec","properties":{"formattedCitation":"[14]","plainCitation":"[14]","noteIndex":0},"citationItems":[{"id":54,"uris":["http://zotero.org/users/16887523/items/6TD6V4PJ"],"itemData":{"id":54,"type":"article-journal","container-title":"Научный журнал НИУ ИТМО. Серйя «Экономйка й Экологйческйй менеджмент»","DOI":"10.17586/2310-1172-2023-16-4-46-56","ISSN":"23101172","issue":"4","journalAbbreviation":"E&amp;EM","page":"46-56","source":"DOI.org (Crossref)","title":"Управление развитием экологически ориентированных предпринимательских структур в условиях цифровой трансформации","URL":"http://economics.ihbt.ifmo.ru/ru/article/22465/upravlenie_razvitiem_ekologicheski_orientirovannyh_predprinimatelskih_struktur_v_usloviyah_cifrovoy_transformacii.htm","author":[{"family":"Литау","given":"Е.А."},{"family":"Сологуб","given":"А.Н."}],"accessed":{"date-parts":[["2025",11,19]]},"issued":{"date-parts":[["2023"]]}}}],"schema":"https://github.com/citation-style-language/schema/raw/master/csl-citation.json"} </w:instrText>
            </w:r>
            <w:r w:rsidRPr="00CE0BCE">
              <w:rPr>
                <w:szCs w:val="24"/>
                <w:lang w:val="en-US"/>
              </w:rPr>
              <w:fldChar w:fldCharType="separate"/>
            </w:r>
            <w:r w:rsidR="009C6DCA" w:rsidRPr="009C6DCA">
              <w:t>[14]</w:t>
            </w:r>
            <w:r w:rsidRPr="00CE0BCE">
              <w:rPr>
                <w:szCs w:val="24"/>
                <w:lang w:val="en-US"/>
              </w:rPr>
              <w:fldChar w:fldCharType="end"/>
            </w:r>
            <w:r w:rsidRPr="00CE0BCE">
              <w:rPr>
                <w:szCs w:val="24"/>
                <w:lang w:val="kk-KZ"/>
              </w:rPr>
              <w:t xml:space="preserve">; </w:t>
            </w:r>
          </w:p>
          <w:p w14:paraId="3352811D" w14:textId="50F2D048" w:rsidR="00352DFF" w:rsidRPr="00CE0BCE" w:rsidRDefault="00352DFF" w:rsidP="002F33D0">
            <w:pPr>
              <w:tabs>
                <w:tab w:val="left" w:pos="1064"/>
              </w:tabs>
              <w:ind w:firstLine="12"/>
              <w:rPr>
                <w:szCs w:val="24"/>
                <w:lang w:val="kk-KZ"/>
              </w:rPr>
            </w:pPr>
            <w:r w:rsidRPr="00CE0BCE">
              <w:rPr>
                <w:szCs w:val="24"/>
                <w:lang w:val="kk-KZ"/>
              </w:rPr>
              <w:t>З.К. Самайбекова</w:t>
            </w:r>
            <w:r w:rsidRPr="00CE0BCE">
              <w:rPr>
                <w:szCs w:val="24"/>
              </w:rPr>
              <w:t xml:space="preserve"> </w:t>
            </w:r>
            <w:r w:rsidRPr="00CE0BCE">
              <w:rPr>
                <w:szCs w:val="24"/>
                <w:lang w:val="en-US"/>
              </w:rPr>
              <w:fldChar w:fldCharType="begin"/>
            </w:r>
            <w:r w:rsidR="009C6DCA">
              <w:rPr>
                <w:szCs w:val="24"/>
              </w:rPr>
              <w:instrText xml:space="preserve"> ADDIN ZOTERO_ITEM CSL_CITATION {"citationID":"a17ie1l0akd","properties":{"formattedCitation":"[15]","plainCitation":"[15]","noteIndex":0},"citationItems":[{"id":56,"uris":["http://zotero.org/users/16887523/items/IU2L3I9Y"],"itemData":{"id":56,"type":"article-journal","abstract":"The introduction of digital technologies in strategic personnel management with the innovative development of business structures provides an improvement in the efficiency of HR processes through automation and digitalization of routine tasks, such as time tracking, document processing and analysis of personnel data, will allow companies to obtain valuable information about employee performance, predict needs for personnel and develop team development strategies. Digital technologies in strategic personnel management provide a more flexible, faster and informed approach to human resource management, which is a critical element of the successful innovative development of business structures. The purpose of the article is to understand the extent to which digital technologies influence strategic personnel management, to determine the impact of these technologies on the effectiveness of human resource management and the overall success of business structures in the context of innovative development. The influence of the use of digital technologies in the process of strategic personnel management, the advantages of using IT technologies in innovative development for business structures are considered. The main directions of implementation of digital technologies in business structures are presented: transformation of the quality of customer service and business models; transformation of operational processes. Common digital tools that increase the efficiency of strategic personnel management in entrepreneurial structures of innovative development are highlighted. The main tasks of business structures in strategic personnel management are also presented, taking into account the process of digitalization of innovative development. It is noted that for modern business structures in innovative development it is extremely important to be able to maintain a congruent level of competitiveness in the medium term, introducing and using digital technologies in strategic personnel management.","container-title":"Экономика промышленности","DOI":"10.17073/2072-1633-2024-1-1254","ISSN":"2413-662X, 2072-1633","issue":"1","journalAbbreviation":"RJIE","license":"https://ecoprom.misis.ru/jour/about/editorialPolicies#openAccessPolicy","page":"40-49","source":"DOI.org (Crossref)","title":"Цифровые технологии в стратегическом управлении персоналом инновационного развития предпринимательских структур","URL":"https://ecoprom.misis.ru/jour/article/view/1254","volume":"17","author":[{"family":"Самайбекова","given":"З. К."}],"accessed":{"date-parts":[["2025",11,19]]},"issued":{"date-parts":[["2024",1,24]]}}}],"schema":"https://github.com/citation-style-language/schema/raw/master/csl-citation.json"} </w:instrText>
            </w:r>
            <w:r w:rsidRPr="00CE0BCE">
              <w:rPr>
                <w:szCs w:val="24"/>
                <w:lang w:val="en-US"/>
              </w:rPr>
              <w:fldChar w:fldCharType="separate"/>
            </w:r>
            <w:r w:rsidR="009C6DCA" w:rsidRPr="009C6DCA">
              <w:t>[15]</w:t>
            </w:r>
            <w:r w:rsidRPr="00CE0BCE">
              <w:rPr>
                <w:szCs w:val="24"/>
                <w:lang w:val="en-US"/>
              </w:rPr>
              <w:fldChar w:fldCharType="end"/>
            </w:r>
            <w:r w:rsidRPr="00CE0BCE">
              <w:rPr>
                <w:szCs w:val="24"/>
                <w:lang w:val="kk-KZ"/>
              </w:rPr>
              <w:t xml:space="preserve">; </w:t>
            </w:r>
          </w:p>
          <w:p w14:paraId="5B5C2DBE" w14:textId="6E9B586D" w:rsidR="0006478D" w:rsidRPr="00CE0BCE" w:rsidRDefault="00352DFF" w:rsidP="002F33D0">
            <w:pPr>
              <w:tabs>
                <w:tab w:val="left" w:pos="1064"/>
              </w:tabs>
              <w:ind w:firstLine="12"/>
              <w:rPr>
                <w:szCs w:val="24"/>
                <w:highlight w:val="yellow"/>
                <w:lang w:val="kk-KZ"/>
              </w:rPr>
            </w:pPr>
            <w:r w:rsidRPr="00CE0BCE">
              <w:rPr>
                <w:szCs w:val="24"/>
                <w:lang w:val="kk-KZ"/>
              </w:rPr>
              <w:t>G. Elia и др.</w:t>
            </w:r>
            <w:r w:rsidRPr="00CE0BCE">
              <w:rPr>
                <w:szCs w:val="24"/>
              </w:rPr>
              <w:t xml:space="preserve"> </w:t>
            </w:r>
            <w:r w:rsidRPr="00CE0BCE">
              <w:rPr>
                <w:szCs w:val="24"/>
                <w:lang w:val="en-US"/>
              </w:rPr>
              <w:fldChar w:fldCharType="begin"/>
            </w:r>
            <w:r w:rsidR="00AE44BA">
              <w:rPr>
                <w:szCs w:val="24"/>
              </w:rPr>
              <w:instrText xml:space="preserve"> ADDIN ZOTERO_ITEM CSL_CITATION {"citationID":"apa3hiacnd","properties":{"formattedCitation":"[16]","plainCitation":"[16]","noteIndex":0},"citationItems":[{"id":"jo0Cjpe8/JVhucU7A","uris":["http://www.mendeley.com/documents/?uuid=c2814128-ed6b-4a06-992a-f47098ebe34b"],"itemData":{"DOI":"10.1016/j.techfore.2019.119791","ISSN":"00401625","author":[{"dropping-particle":"","family":"Elia","given":"Gianluca","non-dropping-particle":"","parse-names":false,"suffix":""},{"dropping-particle":"","family":"Margherita","given":"Alessandro","non-dropping-particle":"","parse-names":false,"suffix":""},{"dropping-particle":"","family":"Passiante","given":"Giuseppina","non-dropping-particle":"","parse-names":false,"suffix":""}],"container-title":"Technological Forecasting and Social Change","id":"zUTERPJI/Al4Zlcgl","issued":{"date-parts":[["2020","1"]]},"page":"119791","title":"Digital entrepreneurship ecosystem: How digital technologies and collective intelligence are reshaping the entrepreneurial process","type":"article-journal","volume":"150"}}],"schema":"https://github.com/citation-style-language/schema/raw/master/csl-citation.json"} </w:instrText>
            </w:r>
            <w:r w:rsidRPr="00CE0BCE">
              <w:rPr>
                <w:szCs w:val="24"/>
                <w:lang w:val="en-US"/>
              </w:rPr>
              <w:fldChar w:fldCharType="separate"/>
            </w:r>
            <w:r w:rsidR="009C6DCA" w:rsidRPr="009C6DCA">
              <w:t>[16]</w:t>
            </w:r>
            <w:r w:rsidRPr="00CE0BCE">
              <w:rPr>
                <w:szCs w:val="24"/>
                <w:lang w:val="en-US"/>
              </w:rPr>
              <w:fldChar w:fldCharType="end"/>
            </w:r>
            <w:r w:rsidRPr="00617838">
              <w:rPr>
                <w:szCs w:val="24"/>
              </w:rPr>
              <w:t xml:space="preserve"> </w:t>
            </w:r>
          </w:p>
        </w:tc>
        <w:tc>
          <w:tcPr>
            <w:tcW w:w="2730" w:type="dxa"/>
          </w:tcPr>
          <w:p w14:paraId="047C3A30" w14:textId="1727B929" w:rsidR="0006478D" w:rsidRPr="00CE0BCE" w:rsidRDefault="007A0D8A" w:rsidP="00702F64">
            <w:pPr>
              <w:tabs>
                <w:tab w:val="left" w:pos="1064"/>
              </w:tabs>
              <w:ind w:firstLine="12"/>
              <w:rPr>
                <w:szCs w:val="24"/>
                <w:lang w:val="kk-KZ"/>
              </w:rPr>
            </w:pPr>
            <w:r w:rsidRPr="00CE0BCE">
              <w:rPr>
                <w:szCs w:val="24"/>
              </w:rPr>
              <w:t>Подчёркивается роль инновационного поведения, цифровой трансформации и адаптивнос</w:t>
            </w:r>
            <w:r w:rsidR="00EE74AE" w:rsidRPr="00CE0BCE">
              <w:rPr>
                <w:szCs w:val="24"/>
              </w:rPr>
              <w:t>ти предпринимательских структур</w:t>
            </w:r>
          </w:p>
        </w:tc>
        <w:tc>
          <w:tcPr>
            <w:tcW w:w="2225" w:type="dxa"/>
          </w:tcPr>
          <w:p w14:paraId="2CD0E708" w14:textId="77777777" w:rsidR="0006478D" w:rsidRPr="00CE0BCE" w:rsidRDefault="007A0D8A" w:rsidP="00702F64">
            <w:pPr>
              <w:tabs>
                <w:tab w:val="left" w:pos="1064"/>
              </w:tabs>
              <w:ind w:firstLine="12"/>
              <w:rPr>
                <w:szCs w:val="24"/>
                <w:lang w:val="kk-KZ"/>
              </w:rPr>
            </w:pPr>
            <w:r w:rsidRPr="00CE0BCE">
              <w:rPr>
                <w:szCs w:val="24"/>
              </w:rPr>
              <w:t>Адаптивность, цифровизация, инновационный потенциал, устойчивое развитие</w:t>
            </w:r>
          </w:p>
        </w:tc>
      </w:tr>
      <w:tr w:rsidR="00CE0BCE" w:rsidRPr="00CE0BCE" w14:paraId="273C245B" w14:textId="77777777" w:rsidTr="00EE74AE">
        <w:tc>
          <w:tcPr>
            <w:tcW w:w="2263" w:type="dxa"/>
          </w:tcPr>
          <w:p w14:paraId="44777BC8" w14:textId="77777777" w:rsidR="0006478D" w:rsidRPr="00CE0BCE" w:rsidRDefault="0006478D" w:rsidP="00702F64">
            <w:pPr>
              <w:tabs>
                <w:tab w:val="left" w:pos="1064"/>
              </w:tabs>
              <w:ind w:firstLine="0"/>
              <w:rPr>
                <w:szCs w:val="24"/>
              </w:rPr>
            </w:pPr>
            <w:r w:rsidRPr="00CE0BCE">
              <w:rPr>
                <w:szCs w:val="24"/>
                <w:lang w:val="kk-KZ"/>
              </w:rPr>
              <w:t>Системно-диагностический</w:t>
            </w:r>
          </w:p>
        </w:tc>
        <w:tc>
          <w:tcPr>
            <w:tcW w:w="2410" w:type="dxa"/>
            <w:shd w:val="clear" w:color="auto" w:fill="auto"/>
          </w:tcPr>
          <w:p w14:paraId="39FE842D" w14:textId="6D056758" w:rsidR="00352DFF" w:rsidRPr="00CE0BCE" w:rsidRDefault="00352DFF" w:rsidP="002F33D0">
            <w:pPr>
              <w:tabs>
                <w:tab w:val="left" w:pos="1064"/>
              </w:tabs>
              <w:ind w:firstLine="12"/>
              <w:rPr>
                <w:szCs w:val="24"/>
                <w:lang w:val="kk-KZ"/>
              </w:rPr>
            </w:pPr>
            <w:r w:rsidRPr="00CE0BCE">
              <w:rPr>
                <w:szCs w:val="24"/>
                <w:lang w:val="kk-KZ"/>
              </w:rPr>
              <w:t>Н.А. Кулагина и др.</w:t>
            </w:r>
            <w:r w:rsidR="00EE74AE" w:rsidRPr="00CE0BCE">
              <w:rPr>
                <w:szCs w:val="24"/>
                <w:lang w:val="kk-KZ"/>
              </w:rPr>
              <w:t xml:space="preserve"> </w:t>
            </w:r>
            <w:r w:rsidR="00EE74AE" w:rsidRPr="00CE0BCE">
              <w:rPr>
                <w:szCs w:val="24"/>
                <w:lang w:val="kk-KZ"/>
              </w:rPr>
              <w:fldChar w:fldCharType="begin"/>
            </w:r>
            <w:r w:rsidR="009C6DCA">
              <w:rPr>
                <w:szCs w:val="24"/>
                <w:lang w:val="kk-KZ"/>
              </w:rPr>
              <w:instrText xml:space="preserve"> ADDIN ZOTERO_ITEM CSL_CITATION {"citationID":"avgaffk531","properties":{"formattedCitation":"[17]","plainCitation":"[17]","noteIndex":0},"citationItems":[{"id":59,"uris":["http://zotero.org/users/16887523/items/X7SI8ZPQ"],"itemData":{"id":59,"type":"article-journal","abstract":"Relevance. The powerful digital transformation that the world economy is currently undergoing brings to the fore the issues of innovative development of entrepreneurial structures as flagships of their competitive advantages. Insufficient attention to the issues of digital maturity of enterprises and their innovative potential confirms the relevance of scientific and theoretical study of this direction. Within the framework of this article, we will turn to the implicit indicator of the innovation sphere – the innovation potential, the issues of its assessment in the conditions of an imbalance of economic relations and the need to increase the investment attractiveness of business entities as a condition. The purpose of the study is a theoretical and methodological study of the issues of a comprehensive assessment of the innovative potential of entrepreneurial structures, taking into account the aspects of digitalization of the economy, which requires a significant rethinking of the entire strategy of development of economic entities in the long term. Objectives: analysis of existing approaches to the definition of the concept of \"innovative potential\"; consideration of modern methods for assessing the level of innovative potential of organizations; development of the author's methodology for assessing the level of innovative potential, taking into account indicators of digital development. Methodology. The methodological basis of the study is a systematic approach, as a set of methods of structural, statistical and dynamic assessment. The methods of classification and comparative analysis, empirical, monographic methods of cognition, deductive and inductive, and the method of expert assessments were used as research methods. Results. The article considers the main trends of innovative development of the Russian Federation as conditions for the realization of the innovative potential of entrepreneurial structures; the existing approaches to the definition and evaluation of the definition of \"innovation potential\" are analyzed; the author's method of diagnostics of the innovative potential of entrepreneurial structures with consideration of aspects of digital transformation is proposed. Conclusion. The proposed methodology for assessing the level of innovation potential in the long term provides opportunities for comparative retrospective analysis of the results obtained, both for one business entity and for business structures operating within the same industry. The resulting values can be used in the development of a strategy to ensure the competitiveness of the enterprise in terms of the innovation policy of the organization and a more detailed analysis of the causes of successes and failures in the field of innovative development, including in the context of digital development.","container-title":"Известия Юго-Западного государственного университета. Серия: Экономика. Социология. Менеджмент.","DOI":"10.21869/2223-1552-2021-11-6-65-77","ISSN":"22231552","issue":"6","journalAbbreviation":"PSSU.SESM","page":"65-77","source":"DOI.org (Crossref)","title":"Цифровые аспекты комплексной диагностики инновационного потенциала предпринимательских структур","URL":"https://elibrary.ru/item.asp?id=47503763","volume":"11","author":[{"family":"Кулагина","given":"Н.А."},{"family":"Чепикова","given":"Е.М"},{"family":"Мугутдинов","given":"Р.M."}],"accessed":{"date-parts":[["2025",11,19]]},"issued":{"date-parts":[["2021"]]}}}],"schema":"https://github.com/citation-style-language/schema/raw/master/csl-citation.json"} </w:instrText>
            </w:r>
            <w:r w:rsidR="00EE74AE" w:rsidRPr="00CE0BCE">
              <w:rPr>
                <w:szCs w:val="24"/>
                <w:lang w:val="kk-KZ"/>
              </w:rPr>
              <w:fldChar w:fldCharType="separate"/>
            </w:r>
            <w:r w:rsidR="009C6DCA" w:rsidRPr="009C6DCA">
              <w:t>[17]</w:t>
            </w:r>
            <w:r w:rsidR="00EE74AE" w:rsidRPr="00CE0BCE">
              <w:rPr>
                <w:szCs w:val="24"/>
                <w:lang w:val="kk-KZ"/>
              </w:rPr>
              <w:fldChar w:fldCharType="end"/>
            </w:r>
            <w:r w:rsidRPr="00CE0BCE">
              <w:rPr>
                <w:szCs w:val="24"/>
                <w:lang w:val="kk-KZ"/>
              </w:rPr>
              <w:t xml:space="preserve">; </w:t>
            </w:r>
          </w:p>
          <w:p w14:paraId="681FE063" w14:textId="2B5CB064" w:rsidR="00352DFF" w:rsidRPr="00CE0BCE" w:rsidRDefault="00352DFF" w:rsidP="002F33D0">
            <w:pPr>
              <w:tabs>
                <w:tab w:val="left" w:pos="1064"/>
              </w:tabs>
              <w:ind w:firstLine="12"/>
              <w:rPr>
                <w:szCs w:val="24"/>
                <w:lang w:val="kk-KZ"/>
              </w:rPr>
            </w:pPr>
            <w:r w:rsidRPr="00CE0BCE">
              <w:rPr>
                <w:szCs w:val="24"/>
                <w:lang w:val="kk-KZ"/>
              </w:rPr>
              <w:t>Г.А. Лактионов</w:t>
            </w:r>
            <w:r w:rsidR="00EE74AE" w:rsidRPr="00CE0BCE">
              <w:rPr>
                <w:szCs w:val="24"/>
                <w:lang w:val="kk-KZ"/>
              </w:rPr>
              <w:t xml:space="preserve"> </w:t>
            </w:r>
            <w:r w:rsidR="00EE74AE" w:rsidRPr="00CE0BCE">
              <w:rPr>
                <w:szCs w:val="24"/>
                <w:lang w:val="kk-KZ"/>
              </w:rPr>
              <w:fldChar w:fldCharType="begin"/>
            </w:r>
            <w:r w:rsidR="009C6DCA">
              <w:rPr>
                <w:szCs w:val="24"/>
                <w:lang w:val="kk-KZ"/>
              </w:rPr>
              <w:instrText xml:space="preserve"> ADDIN ZOTERO_ITEM CSL_CITATION {"citationID":"ago4258lis","properties":{"formattedCitation":"[18]","plainCitation":"[18]","noteIndex":0},"citationItems":[{"id":60,"uris":["http://zotero.org/users/16887523/items/XQVYC8HC"],"itemData":{"id":60,"type":"article-journal","abstract":"В статье рассматриваются теоретические подходы к исследо- ванию сущности экономической устойчивости предпринимательской структу- ры, приводится методика оценки экономической устойчивости организации на основе метода многомерного сравнительного анализа. Экономическая устойчивость предпринимательских структур является ключевым фактором успешного функционирования бизнеса в современных условиях. Эта аннота- ция рассматривает основные аспекты обеспечения устойчивости предприя- тий в динамичной экономике. В работе анализируются стратегии управления финансовыми рисками, диверсификации бизнеса, укрепления финансовой базы и минимизации внешних воздействий на бизнес-процессы. Особое внимание уделяется влиянию макроэкономических факторов, политической стабильности и рыночной конкуренции на экономическую устойчивость пред- принимательских структур. Рассматриваются примеры успешных стратегий устойчивого развития бизнеса в различных отраслях, включая инновации, устойчивое производство и социальную ответственность. Также обсуждают- ся методы адаптации к изменяющимся рыночным условиям и глобальным вызовам. Эта аннотация предоставляет обзор ключевых аспектов обеспече- ния экономической устойчивости предпринимательских структур и их роли в стабильном развитии экономики. В статье рассматриваются теоретиче- ские подходы к исследованию сущности экономической устойчивости пред- принимательской структуры, приводится методика оценки экономической устойчивости организации на основе метода многомерного сравнительного анализа. Применительно к современной российской рыночной экономике устойчивость как интегрированный (обобщающий) показатель деятельности хозяйственных систем предпринимательского типа следует рассматривать не столько в статике, сколько в конкурентной динамичной среде их функци- онирования. Причем резкие изменения в деловой конъюнктуре часто ведут к банкротству экономически слабых фирм. Дело здесь не только в их разме- рах, масштабах деятельности, а прежде всего в умении гибко маневрировать своими ресурсами, ориентироваться на товарных рынках, быстро перестраи- вать свою деятельность применительно к новым требованиям.","container-title":"Journal of Monetary Economics and Management","DOI":"10.26118/2782-4586.2024.65.73.034","ISSN":"27824586","issue":"2","language":"ru","page":"237-241","source":"DOI.org (Crossref)","title":"Экономическая устойчивость предпринимательских структур","URL":"https://www.elibrary.ru/item.asp?id=65515683","author":[{"family":"Лактионов","given":"Г.А."}],"accessed":{"date-parts":[["2025",11,19]]},"issued":{"date-parts":[["2024",4,19]]}}}],"schema":"https://github.com/citation-style-language/schema/raw/master/csl-citation.json"} </w:instrText>
            </w:r>
            <w:r w:rsidR="00EE74AE" w:rsidRPr="00CE0BCE">
              <w:rPr>
                <w:szCs w:val="24"/>
                <w:lang w:val="kk-KZ"/>
              </w:rPr>
              <w:fldChar w:fldCharType="separate"/>
            </w:r>
            <w:r w:rsidR="009C6DCA" w:rsidRPr="009C6DCA">
              <w:t>[18]</w:t>
            </w:r>
            <w:r w:rsidR="00EE74AE" w:rsidRPr="00CE0BCE">
              <w:rPr>
                <w:szCs w:val="24"/>
                <w:lang w:val="kk-KZ"/>
              </w:rPr>
              <w:fldChar w:fldCharType="end"/>
            </w:r>
            <w:r w:rsidRPr="00CE0BCE">
              <w:rPr>
                <w:szCs w:val="24"/>
                <w:lang w:val="kk-KZ"/>
              </w:rPr>
              <w:t>;</w:t>
            </w:r>
          </w:p>
          <w:p w14:paraId="36D4732F" w14:textId="635CD459" w:rsidR="0006478D" w:rsidRPr="00CE0BCE" w:rsidRDefault="00352DFF" w:rsidP="002F33D0">
            <w:pPr>
              <w:tabs>
                <w:tab w:val="left" w:pos="1064"/>
              </w:tabs>
              <w:ind w:firstLine="12"/>
              <w:rPr>
                <w:szCs w:val="24"/>
                <w:highlight w:val="yellow"/>
                <w:lang w:val="kk-KZ"/>
              </w:rPr>
            </w:pPr>
            <w:r w:rsidRPr="00CE0BCE">
              <w:rPr>
                <w:szCs w:val="24"/>
                <w:lang w:val="kk-KZ"/>
              </w:rPr>
              <w:t>Л.С. Леонтьева, А.В. Чурашкина</w:t>
            </w:r>
            <w:r w:rsidR="00EE74AE" w:rsidRPr="00CE0BCE">
              <w:rPr>
                <w:szCs w:val="24"/>
                <w:lang w:val="kk-KZ"/>
              </w:rPr>
              <w:t xml:space="preserve"> </w:t>
            </w:r>
            <w:r w:rsidR="00EE74AE" w:rsidRPr="00CE0BCE">
              <w:rPr>
                <w:szCs w:val="24"/>
                <w:lang w:val="kk-KZ"/>
              </w:rPr>
              <w:fldChar w:fldCharType="begin"/>
            </w:r>
            <w:r w:rsidR="009C6DCA">
              <w:rPr>
                <w:szCs w:val="24"/>
                <w:lang w:val="kk-KZ"/>
              </w:rPr>
              <w:instrText xml:space="preserve"> ADDIN ZOTERO_ITEM CSL_CITATION {"citationID":"amj8r6uiv","properties":{"formattedCitation":"[19]","plainCitation":"[19]","noteIndex":0},"citationItems":[{"id":61,"uris":["http://zotero.org/users/16887523/items/JAUPGSSZ"],"itemData":{"id":61,"type":"article-journal","abstract":"The aim of the article is to reveal the idea of the notion ‘entrepreneurial structures’ strategic development’. The author’s approach to this notion investigation is proposed, which uses methods of system analysis and systematization of development criteria. The author designed a three-level model of development criteria based on principles of their dependence and mutual deduction and substantiated the possibility to consider pair categories of quality and quantity, simple and complicated, regress and progress, activity and passivity, efficiency and inefficiency as development criteria. On this foundation the author formed understanding of entrepreneurial structures’ strategic development as a synthetic process of changing their activity and efficiency. According to the author, parameters of activity and efficiency are related to strategic characteristics and their change shows quantitative and qualitative aspects of entrepreneurial structures’ strategic development. It creates prerequisites for grounding assessment indicators characterizing the level and dynamics of activity and efficiency of entrepreneurial structures’ functioning and their integral assessment. The description of the process of entrepreneurial structures’ strategic development on the basis of these indicators can give an opportunity to resolve tasks of monitoring orientation and to raise the level of substantiation and assessment of consequences of strategic managerial decisions.","container-title":"Вестник Российского экономического университета имени Г. В. Плеханова","DOI":"10.21686/2413-2829-2019-3-103-113","ISSN":"2587-9251, 2413-2829","issue":"3","journalAbbreviation":"Vestn. Ross. èkon. univ. im. G. V. Plehanova","page":"103-113","source":"DOI.org (Crossref)","title":"СУЩНОСТЬ И ОСОБЕННОСТИ СТРАТЕГИЧЕСКОГО РАЗВИТИЯ ПРЕДПРИНИМАТЕЛЬСКИХ СТРУКТУР.","URL":"https://vest.rea.ru/jour/article/view/712","author":[{"family":"Леонтьева","given":"Л.С."},{"family":"Чурашкина","given":"А.В."}],"accessed":{"date-parts":[["2025",11,19]]},"issued":{"date-parts":[["2019",6,30]]}}}],"schema":"https://github.com/citation-style-language/schema/raw/master/csl-citation.json"} </w:instrText>
            </w:r>
            <w:r w:rsidR="00EE74AE" w:rsidRPr="00CE0BCE">
              <w:rPr>
                <w:szCs w:val="24"/>
                <w:lang w:val="kk-KZ"/>
              </w:rPr>
              <w:fldChar w:fldCharType="separate"/>
            </w:r>
            <w:r w:rsidR="009C6DCA" w:rsidRPr="009C6DCA">
              <w:t>[19]</w:t>
            </w:r>
            <w:r w:rsidR="00EE74AE" w:rsidRPr="00CE0BCE">
              <w:rPr>
                <w:szCs w:val="24"/>
                <w:lang w:val="kk-KZ"/>
              </w:rPr>
              <w:fldChar w:fldCharType="end"/>
            </w:r>
          </w:p>
        </w:tc>
        <w:tc>
          <w:tcPr>
            <w:tcW w:w="2730" w:type="dxa"/>
          </w:tcPr>
          <w:p w14:paraId="0F53AF83" w14:textId="77777777" w:rsidR="0006478D" w:rsidRPr="00CE0BCE" w:rsidRDefault="00CC1FAF" w:rsidP="00702F64">
            <w:pPr>
              <w:tabs>
                <w:tab w:val="left" w:pos="1064"/>
              </w:tabs>
              <w:ind w:firstLine="12"/>
              <w:rPr>
                <w:szCs w:val="24"/>
                <w:lang w:val="kk-KZ"/>
              </w:rPr>
            </w:pPr>
            <w:r w:rsidRPr="00CE0BCE">
              <w:rPr>
                <w:szCs w:val="24"/>
                <w:lang w:val="kk-KZ"/>
              </w:rPr>
              <w:t>Предпринимательские структуры как объекты стратегического анализа, оценки устойчивости, диагностики потенциала</w:t>
            </w:r>
          </w:p>
        </w:tc>
        <w:tc>
          <w:tcPr>
            <w:tcW w:w="2225" w:type="dxa"/>
          </w:tcPr>
          <w:p w14:paraId="1880FB7A" w14:textId="77777777" w:rsidR="0006478D" w:rsidRPr="00CE0BCE" w:rsidRDefault="00CC1FAF" w:rsidP="00702F64">
            <w:pPr>
              <w:tabs>
                <w:tab w:val="left" w:pos="1064"/>
              </w:tabs>
              <w:ind w:firstLine="12"/>
              <w:rPr>
                <w:szCs w:val="24"/>
                <w:lang w:val="kk-KZ"/>
              </w:rPr>
            </w:pPr>
            <w:r w:rsidRPr="00CE0BCE">
              <w:rPr>
                <w:szCs w:val="24"/>
                <w:lang w:val="kk-KZ"/>
              </w:rPr>
              <w:t>Диагностика, устойчивость, методика анализа, стратегическое управление</w:t>
            </w:r>
          </w:p>
        </w:tc>
      </w:tr>
      <w:tr w:rsidR="00EE74AE" w:rsidRPr="00CE0BCE" w14:paraId="6E373072" w14:textId="77777777" w:rsidTr="00EE74AE">
        <w:tc>
          <w:tcPr>
            <w:tcW w:w="9628" w:type="dxa"/>
            <w:gridSpan w:val="4"/>
          </w:tcPr>
          <w:p w14:paraId="494B70E7" w14:textId="48218061" w:rsidR="00CC1FAF" w:rsidRPr="00CE0BCE" w:rsidRDefault="00DF34C6" w:rsidP="00A40C4F">
            <w:pPr>
              <w:tabs>
                <w:tab w:val="left" w:pos="1064"/>
              </w:tabs>
              <w:ind w:firstLine="459"/>
              <w:jc w:val="both"/>
              <w:rPr>
                <w:szCs w:val="24"/>
                <w:lang w:val="kk-KZ"/>
              </w:rPr>
            </w:pPr>
            <w:r w:rsidRPr="00CE0BCE">
              <w:rPr>
                <w:szCs w:val="24"/>
                <w:lang w:val="kk-KZ"/>
              </w:rPr>
              <w:t>Примечание</w:t>
            </w:r>
            <w:r w:rsidR="00A40C4F">
              <w:rPr>
                <w:szCs w:val="24"/>
                <w:lang w:val="kk-KZ"/>
              </w:rPr>
              <w:t xml:space="preserve"> – Со</w:t>
            </w:r>
            <w:r w:rsidR="00CC1FAF" w:rsidRPr="00CE0BCE">
              <w:rPr>
                <w:szCs w:val="24"/>
                <w:lang w:val="kk-KZ"/>
              </w:rPr>
              <w:t>ставлено автором на основе анализа отечественных и зарубежных исследований</w:t>
            </w:r>
          </w:p>
        </w:tc>
      </w:tr>
    </w:tbl>
    <w:p w14:paraId="5D565695" w14:textId="77777777" w:rsidR="00DF34C6" w:rsidRPr="00CE0BCE" w:rsidRDefault="00DF34C6" w:rsidP="002F33D0">
      <w:pPr>
        <w:tabs>
          <w:tab w:val="left" w:pos="1064"/>
        </w:tabs>
        <w:spacing w:after="0" w:line="240" w:lineRule="auto"/>
        <w:ind w:firstLine="567"/>
        <w:jc w:val="both"/>
        <w:rPr>
          <w:rFonts w:ascii="Times New Roman" w:hAnsi="Times New Roman" w:cs="Times New Roman"/>
          <w:sz w:val="28"/>
          <w:szCs w:val="28"/>
          <w:lang w:val="kk-KZ"/>
        </w:rPr>
      </w:pPr>
    </w:p>
    <w:p w14:paraId="0322F9AA" w14:textId="1AC04651" w:rsidR="00C07C2D" w:rsidRPr="00CE0BCE" w:rsidRDefault="00C07C2D" w:rsidP="002F33D0">
      <w:pPr>
        <w:tabs>
          <w:tab w:val="left" w:pos="1064"/>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lastRenderedPageBreak/>
        <w:t>Представленные в таблице подходы позволяют систематизировать современные научные представления о сущности предпринимательских структур, выделяя ключевые теоретические рамки, в которых развивается данная категория. Несмотря на различия в акцентах, каждый из подходов отражает важные аспекты функционирования предпринимательских структур в условиях цифровизации, глобальной конкуренции и ускоряющейся инновационной динамики.</w:t>
      </w:r>
    </w:p>
    <w:p w14:paraId="6FD0A9A6" w14:textId="55673300" w:rsidR="00C07C2D" w:rsidRPr="00CE0BCE" w:rsidRDefault="00C07C2D" w:rsidP="00C808CB">
      <w:pPr>
        <w:tabs>
          <w:tab w:val="left" w:pos="1064"/>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Так, институционально-правовой подход акцентирует внимание на нормативных основах деятельности, роли институтов, государственной поддержке и регулировании</w:t>
      </w:r>
      <w:r w:rsidR="00EE74AE" w:rsidRPr="00CE0BCE">
        <w:rPr>
          <w:rFonts w:ascii="Times New Roman" w:hAnsi="Times New Roman" w:cs="Times New Roman"/>
          <w:sz w:val="28"/>
          <w:szCs w:val="28"/>
          <w:lang w:val="kk-KZ"/>
        </w:rPr>
        <w:t xml:space="preserve"> </w:t>
      </w:r>
      <w:r w:rsidR="00EE74AE"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{"citationID":"a2csebir2tb","properties":{"formattedCitation":"[6\\uc0\\u8211{}8]","plainCitation":"[6–8]","noteIndex":0},"citationItems":[{"id":45,"uris":["http://zotero.org/users/16887523/items/T66UWUPI"],"itemData":{"id":45,"type":"article-journal","abstract":"Objectives: to study the conditions and factors of functioning of Russian entrepreneurial structures in the active stage of the pandemic and at the stage of post-sanctions recovery; to identify sectors of entrepreneurial activity most affected by sanctions restrictions; to substantiate a set of measures aimed at stimulating the activity of Russian entrepreneurial structures in the conditions of new economic realities.\nMethodology. The authors used methods of analysis and synthesis, systematization, comparative analysis, graphical method, methods of economic analysis to study the dynamics of socio-economic indicators, as well as a systematic approach to present the authors' conclusions.\nResults. The authors have analyzed the factors determining the activity of Russian entrepreneurial structures in the active stage of the pandemic and at the stage of post-covarian recovery. The article identifies the areas of activity of small and medium-sized entrepreneurial structures that are most affected by the sanctions restrictions imposed by the EU countries and the United States.\nConclusions. It is concluded that Russian entrepreneurial structures of small and medium-sized businesses are trapped in two turbulent periods - pandemic and sanctions restrictions. It is substantiated that in 2022 the SME sector showed the first signs of recovery after the pandemic, followed by the development of new challenges of uncertainty. A two-level model for stimulating entrepreneurial activity in conditions of sanctions restrictions, which includes a set of state policy measures, as well as tools for adapting companies in the form of ambivalent development strategy, is proposed.","container-title":"Известия Юго Западного государственного университета. Серия: Экономика. Социология. Менеджмент.","DOI":"https://doi.org/10.21869/2223-1552-2023-13-1-102-115","ISSN":"22231552","issue":"1","journalAbbreviation":"PSSU.SESM","language":"ru","page":"102-115","source":"DOI.org (Crossref)","title":"Новые векторы и ограничения в развитии предпринимательских структур в новых  экономических реалиях","URL":"https://ecsocmenus.elpub.ru/jour/article/view/169/168","volume":"13","author":[{"family":"Алехина","given":"О.Ф."},{"family":"Артюшкова","given":"А.Ю."},{"family":"Корякина","given":"Т.В."},{"family":"Иода","given":"Ю.В."}],"issued":{"date-parts":[["2023"]]}}},{"id":46,"uris":["http://zotero.org/users/16887523/items/SH28PZ85"],"itemData":{"id":46,"type":"article-journal","container-title":"Московский экономический журнал","DOI":"10.55186/2413046X_2022_7_12_767","ISSN":"2413-046X","issue":"12","journalAbbreviation":"МЭЖ","page":"1-12","source":"DOI.org (Crossref)","title":"Новые предпринимательские структуры и их роль в развитии региональной промышленности","URL":"https://elibrary.ru/doi_resolution.asp?doi=10%2E55186%2F2413046X%5F2022%5F7%5F12%5F767","volume":"7","author":[{"family":"Байзулаев","given":"Салих Ахметович"},{"family":"Гергова","given":"Залина Хусеновна"},{"family":"Гузиева","given":"Лейля Межгитовна"},{"family":"Ягумова","given":"Зарема Нурбиевна"}],"accessed":{"date-parts":[["2025",11,19]]},"issued":{"date-parts":[["2022"]]}}},{"id":47,"uris":["http://zotero.org/users/16887523/items/HXBM2ZZI"],"itemData":{"id":47,"type":"article-journal","abstract":"Предпринимательский сектор в условиях рыночной экономики становится важнейшей движущей силой инновационного развития. Это связано с тем, что в условиях конкурентной борьбы для обеспечения максимального прироста прибыли предприниматель вынужден производить более сложную, инновационную продукцию. Таким образом, предпринимательство является «акселератором» инновационной активности. Интенсивность инновационной деятельности во многом определяет уровень экономического развития. Анализ развития экономики показывает, что наиболее прибыльными в настоящее время стали предприятия и отрасли в целом, которые ориентированы на производство высокотехнологичных товаров, таких как компьютеры и полупроводники, лекарственные средства и медицинское оборудование, средства связи и системы коммуникаций. Освоение высоких технологий в промышленности и выпуск новой наукоемкой продукции являются ключевыми факторами устойчивого экономического роста для большинства индустриально развитых стран мира. В связи с этим в последнее время особое внимание стало уделяться деятельности инновационного предпринимательства. В статье анализируется текущее состояние инновационного развития в Республике Казахстан. Рассматриваются основные проблемы и решения обеспечения стратегической устойчивости предпринимательских структур в условиях инновационного развития. Необходимо обеспечить модернизацию экономики за счет внедрения современных технологий и максимального использования интеллектуального потенциала страны. Реализация экономической стратегии определяет реализацию основных направлений социальной политики в соответствии с инновационным развитием казахстанского общества в целом.","container-title":"Вестник РОО \"Национальной Академии наук Республики Казахстан\"","DOI":"10.32014/2024.2518-1467.816","ISSN":"2518-1467, 1991-3494","issue":"4","journalAbbreviation":"THE BULLETIN","page":"439-453","source":"DOI.org (Crossref)","title":"РАЗВИТИЕ ИННОВАЦИОННОЙ ИНФРАСТРУКТУРЫ ПРЕДПРИНИМАТЕЛЬСТВА В РЕСПУБЛИКЕ КАЗАХСТАН","URL":"https://journals.nauka-nanrk.kz/bulletin-science/article/view/6831/4625","volume":"410","author":[{"family":"Касимгазинова","given":"А.М."},{"family":"Бабажанова","given":"Ж."},{"family":"Сагындыкова","given":"Р.Е."},{"family":"Шойбакова","given":"Е.О."},{"family":"Тахтаева","given":"Р.Ш."}],"accessed":{"date-parts":[["2025",11,19]]},"issued":{"date-parts":[["2024",9,26]]}}}],"schema":"https://github.com/citation-style-language/schema/raw/master/csl-citation.json"} </w:instrText>
      </w:r>
      <w:r w:rsidR="00EE74AE"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szCs w:val="24"/>
        </w:rPr>
        <w:t>[6–8]</w:t>
      </w:r>
      <w:r w:rsidR="00EE74AE"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 xml:space="preserve">, что особенно важно при анализе условий функционирования предпринимательских структур в переходной экономике, такой как Казахстан. Экосистемно-сетевой подход позволяет рассматривать предпринимательские структуры в контексте их взаимодействия с внешней средой </w:t>
      </w:r>
      <w:r w:rsidR="009D20AE">
        <w:rPr>
          <w:rFonts w:ascii="Times New Roman" w:hAnsi="Times New Roman" w:cs="Times New Roman"/>
          <w:sz w:val="28"/>
          <w:szCs w:val="28"/>
          <w:lang w:val="kk-KZ"/>
        </w:rPr>
        <w:t>–</w:t>
      </w:r>
      <w:r w:rsidRPr="00CE0BCE">
        <w:rPr>
          <w:rFonts w:ascii="Times New Roman" w:hAnsi="Times New Roman" w:cs="Times New Roman"/>
          <w:sz w:val="28"/>
          <w:szCs w:val="28"/>
          <w:lang w:val="kk-KZ"/>
        </w:rPr>
        <w:t xml:space="preserve"> партнёрскими организациями, рынками, инфраструктурой, научно-образовательными центрами</w:t>
      </w:r>
      <w:r w:rsidR="00EE74AE" w:rsidRPr="00CE0BCE">
        <w:rPr>
          <w:rFonts w:ascii="Times New Roman" w:hAnsi="Times New Roman" w:cs="Times New Roman"/>
          <w:sz w:val="28"/>
          <w:szCs w:val="28"/>
          <w:lang w:val="kk-KZ"/>
        </w:rPr>
        <w:t xml:space="preserve"> </w:t>
      </w:r>
      <w:r w:rsidR="00EE74AE" w:rsidRPr="00CE0BCE">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1qgpua0lgc","properties":{"formattedCitation":"[9\\uc0\\u8211{}12]","plainCitation":"[9–12]","noteIndex":0},"citationItems":[{"id":"jo0Cjpe8/k5cvSadA","uris":["http://www.mendeley.com/documents/?uuid=3eac3b99-2a8f-4c40-8708-ae508d3f4114"],"itemData":{"DOI":"10.1007/s11846-020-00437-6","ISSN":"1863-6683","author":[{"dropping-particle":"","family":"Fernandes","given":"Ana Joana","non-dropping-particle":"","parse-names":false,"suffix":""},{"dropping-particle":"","family":"Ferreira","given":"Joao J.","non-dropping-particle":"","parse-names":false,"suffix":""}],"container-title":"Review of Managerial Science","id":"zUTERPJI/4biuddgl","issue":"1","issued":{"date-parts":[["2022","1","8"]]},"note":"2","page":"189-247","title":"Entrepreneurial ecosystems and networks: a literature review and research agenda","type":"article-journal","volume":"16"}},{"id":"jo0Cjpe8/OSBm9scc","uris":["http://www.mendeley.com/documents/?uuid=468babe7-3367-4c14-b38b-f97fdac34859"],"itemData":{"DOI":"10.1016/j.jbusres.2022.04.018","ISSN":"01482963","author":[{"dropping-particle":"","family":"Fischer","given":"Bruno","non-dropping-particle":"","parse-names":false,"suffix":""},{"dropping-particle":"","family":"Meissner","given":"Dirk","non-dropping-particle":"","parse-names":false,"suffix":""},{"dropping-particle":"","family":"Vonortas","given":"Nicholas","non-dropping-particle":"","parse-names":false,"suffix":""},{"dropping-particle":"","family":"Guerrero","given":"Maribel","non-dropping-particle":"","parse-names":false,"suffix":""}],"container-title":"Journal of Business Research","id":"zUTERPJI/SukxiIfk","issued":{"date-parts":[["2022","8"]]},"note":"1","page":"27-36","title":"Spatial features of entrepreneurial ecosystems","type":"article-journal","volume":"147"}},{"id":"jo0Cjpe8/Zimb4yPU","uris":["http://www.mendeley.com/documents/?uuid=8ca9c26b-7fe4-481e-815f-fc927fe173fe"],"itemData":{"DOI":"10.1007/s11187-024-00883-6","ISBN":"0123456789","ISSN":"15730913","abstract":"Everyone uses—but no one defines—the term “entrepreneurial firm.” Nobel laureate Oliver Williamson described the entrepreneurial firm as “a special challenge” to the theory of the firm. Organization scholars struggle with the “evergreen problem” of whether “entrepreneurial organizations are distinct from established organizations.” Building on a rarely used distinction in early transaction cost economics between “capitalist,” “entrepreneurial,” and “collective” enterprises, an entrepreneurial governance mode is here dimensionalized and distinguished from other modes of governing an enterprise. The critical dimension is the allocation of property rights, whereby entrepreneurial governance can be characterized as a hybrid between capital governance and labor governance. This notion is then used to derive the conditions that other relevant legal and organizational traits of the entrepreneurial firm should satisfy to be compatible with this hybrid character. The conclusions indicate three main trails for a new research agenda in a structural view of entrepreneurship: new organizational dimensions and forms; the design of ownership structures; and entrepreneurship and law.","author":[{"dropping-particle":"","family":"Grandori","given":"Anna","non-dropping-particle":"","parse-names":false,"suffix":""}],"container-title":"Small Business Economics","id":"zUTERPJI/ugY2emp9","issue":"4","issued":{"date-parts":[["2024"]]},"note":"6","page":"1503-1516","publisher":"Springer US","title":"Entrepreneurial governance and the nature of the entrepreneurial firm","type":"article-journal","volume":"63"}},{"id":"jo0Cjpe8/WYC89FMI","uris":["http://www.mendeley.com/documents/?uuid=dc5a0a7d-d82e-4dae-b810-bdd51052aa84"],"itemData":{"DOI":"10.1111/etap.12167","ISSN":"1042-2587","abstract":"Entrepreneurial ecosystems have emerged as a popular concept to explain the persistence of high–growth entrepreneurship within regions. However, as a theoretical concept ecosystems remain underdeveloped, making it difficult to understand their structure and influence on the entrepreneurship process. The article argues that ecosystems are composed of 10 cultural, social, and material attributes that provide benefits and resources to entrepreneurs and that the relationships between these attributes reproduce the ecosystem. This model is illustrated with case studies of Waterloo, Ontario, and Calgary, Alberta, Canada. The cases demonstrate the variety of different configurations that ecosystems can take.","author":[{"dropping-particle":"","family":"Spigel","given":"Ben","non-dropping-particle":"","parse-names":false,"suffix":""}],"container-title":"Entrepreneurship Theory and Practice","id":"zUTERPJI/FqcD30gS","issue":"1","issued":{"date-parts":[["2017","1","1"]]},"note":"4","page":"49-72","title":"The Relational Organization of Entrepreneurial Ecosystems","type":"article-journal","volume":"41"}}],"schema":"https://github.com/citation-style-language/schema/raw/master/csl-citation.json"} </w:instrText>
      </w:r>
      <w:r w:rsidR="00EE74AE"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szCs w:val="24"/>
        </w:rPr>
        <w:t>[9–12]</w:t>
      </w:r>
      <w:r w:rsidR="00EE74AE"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 xml:space="preserve">, </w:t>
      </w:r>
      <w:r w:rsidR="009D20AE">
        <w:rPr>
          <w:rFonts w:ascii="Times New Roman" w:hAnsi="Times New Roman" w:cs="Times New Roman"/>
          <w:sz w:val="28"/>
          <w:szCs w:val="28"/>
          <w:lang w:val="kk-KZ"/>
        </w:rPr>
        <w:t>–</w:t>
      </w:r>
      <w:r w:rsidRPr="00CE0BCE">
        <w:rPr>
          <w:rFonts w:ascii="Times New Roman" w:hAnsi="Times New Roman" w:cs="Times New Roman"/>
          <w:sz w:val="28"/>
          <w:szCs w:val="28"/>
          <w:lang w:val="kk-KZ"/>
        </w:rPr>
        <w:t xml:space="preserve"> что актуально при формировании механизмов стимулирования инноваций. Инновационно-ориентированный подход подчёркивает способность структур к трансформации, восприятию новшеств и реализации инновационного потенциала</w:t>
      </w:r>
      <w:r w:rsidR="00EE74AE" w:rsidRPr="00CE0BCE">
        <w:rPr>
          <w:rFonts w:ascii="Times New Roman" w:hAnsi="Times New Roman" w:cs="Times New Roman"/>
          <w:sz w:val="28"/>
          <w:szCs w:val="28"/>
        </w:rPr>
        <w:t xml:space="preserve"> </w:t>
      </w:r>
      <w:r w:rsidR="00EE74AE" w:rsidRPr="00CE0BCE">
        <w:rPr>
          <w:rFonts w:ascii="Times New Roman" w:hAnsi="Times New Roman" w:cs="Times New Roman"/>
          <w:sz w:val="28"/>
          <w:szCs w:val="28"/>
          <w:lang w:val="en-US"/>
        </w:rPr>
        <w:fldChar w:fldCharType="begin"/>
      </w:r>
      <w:r w:rsidR="00AE44BA">
        <w:rPr>
          <w:rFonts w:ascii="Times New Roman" w:hAnsi="Times New Roman" w:cs="Times New Roman"/>
          <w:sz w:val="28"/>
          <w:szCs w:val="28"/>
        </w:rPr>
        <w:instrText xml:space="preserve"> ADDIN ZOTERO_ITEM CSL_CITATION {"citationID":"a1jt2hag5uc","properties":{"formattedCitation":"[13\\uc0\\u8211{}16]","plainCitation":"[13–16]","noteIndex":0},"citationItems":[{"id":53,"uris":["http://zotero.org/users/16887523/items/LDM7HY56"],"itemData":{"id":53,"type":"article-journal","container-title":"Деловой вестник предпринимателя","DOI":"10.24412/2687-0991-2022-1-7-43-50","ISSN":"2687099120","issue":"1","page":"43-50","title":"Инновационная деятельность предпринимательских структур в условиях риска и неопределенности","URL":"https://cyberleninka.ru/article/n/innovatsionnaya-deyatelnost-predprinimatelskih-struktur-v-usloviyah-riska-i-neopredelennosti/viewer","volume":"7","author":[{"family":"Головина","given":"Т.А."},{"family":"Авдеева","given":"И.Л."}],"issued":{"date-parts":[["2022"]]}}},{"id":54,"uris":["http://zotero.org/users/16887523/items/6TD6V4PJ"],"itemData":{"id":54,"type":"article-journal","container-title":"Научный журнал НИУ ИТМО. Серйя «Экономйка й Экологйческйй менеджмент»","DOI":"10.17586/2310-1172-2023-16-4-46-56","ISSN":"23101172","issue":"4","journalAbbreviation":"E&amp;EM","page":"46-56","source":"DOI.org (Crossref)","title":"Управление развитием экологически ориентированных предпринимательских структур в условиях цифровой трансформации","URL":"http://economics.ihbt.ifmo.ru/ru/article/22465/upravlenie_razvitiem_ekologicheski_orientirovannyh_predprinimatelskih_struktur_v_usloviyah_cifrovoy_transformacii.htm","author":[{"family":"Литау","given":"Е.А."},{"family":"Сологуб","given":"А.Н."}],"accessed":{"date-parts":[["2025",11,19]]},"issued":{"date-parts":[["2023"]]}}},{"id":56,"uris":["http://zotero.org/users/16887523/items/IU2L3I9Y"],"itemData":{"id":56,"type":"article-journal","abstract":"The introduction of digital technologies in strategic personnel management with the innovative development of business structures provides an improvement in the efficiency of HR processes through automation and digitalization of routine tasks, such as time tracking, document processing and analysis of personnel data, will allow companies to obtain valuable information about employee performance, predict needs for personnel and develop team development strategies. Digital technologies in strategic personnel management provide a more flexible, faster and informed approach to human resource management, which is a critical element of the successful innovative development of business structures. The purpose of the article is to understand the extent to which digital technologies influence strategic personnel management, to determine the impact of these technologies on the effectiveness of human resource management and the overall success of business structures in the context of innovative development. The influence of the use of digital technologies in the process of strategic personnel management, the advantages of using IT technologies in innovative development for business structures are considered. The main directions of implementation of digital technologies in business structures are presented: transformation of the quality of customer service and business models; transformation of operational processes. Common digital tools that increase the efficiency of strategic personnel management in entrepreneurial structures of innovative development are highlighted. The main tasks of business structures in strategic personnel management are also presented, taking into account the process of digitalization of innovative development. It is noted that for modern business structures in innovative development it is extremely important to be able to maintain a congruent level of competitiveness in the medium term, introducing and using digital technologies in strategic personnel management.","container-title":"Экономика промышленности","DOI":"10.17073/2072-1633-2024-1-1254","ISSN":"2413-662X, 2072-1633","issue":"1","journalAbbreviation":"RJIE","license":"https://ecoprom.misis.ru/jour/about/editorialPolicies#openAccessPolicy","page":"40-49","source":"DOI.org (Crossref)","title":"Цифровые технологии в стратегическом управлении персоналом инновационного развития предпринимательских структур","URL":"https://ecoprom.misis.ru/jour/article/view/1254","volume":"17","author":[{"family":"Самайбекова","given":"З. К."}],"accessed":{"date-parts":[["2025",11,19]]},"issued":{"date-parts":[["2024",1,24]]}}},{"id":"jo0Cjpe8/JVhucU7A","uris":["http://www.mendeley.com/documents/?uuid=c2814128-ed6b-4a06-992a-f47098ebe34b"],"itemData":{"DOI":"10.1016/j.techfore.2019.119791","ISSN":"00401625","author":[{"dropping-particle":"","family":"Elia","given":"Gianluca","non-dropping-particle":"","parse-names":false,"suffix":""},{"dropping-particle":"","family":"Margherita","given":"Alessandro","non-dropping-particle":"","parse-names":false,"suffix":""},{"dropping-particle":"","family":"Passiante","given":"Giuseppina","non-dropping-particle":"","parse-names":false,"suffix":""}],"container-title":"Technological Forecasting and Social Change","id":"zUTERPJI/Al4Zlcgl","issued":{"date-parts":[["2020","1"]]},"page":"119791","title":"Digital entrepreneurship ecosystem: How digital technologies and collective intelligence are reshaping the entrepreneurial process","type":"article-journal","volume":"150"}}],"schema":"https://github.com/citation-style-language/schema/raw/master/csl-citation.json"} </w:instrText>
      </w:r>
      <w:r w:rsidR="00EE74AE" w:rsidRPr="00CE0BCE">
        <w:rPr>
          <w:rFonts w:ascii="Times New Roman" w:hAnsi="Times New Roman" w:cs="Times New Roman"/>
          <w:sz w:val="28"/>
          <w:szCs w:val="28"/>
          <w:lang w:val="en-US"/>
        </w:rPr>
        <w:fldChar w:fldCharType="separate"/>
      </w:r>
      <w:r w:rsidR="009C6DCA" w:rsidRPr="009C6DCA">
        <w:rPr>
          <w:rFonts w:ascii="Times New Roman" w:hAnsi="Times New Roman" w:cs="Times New Roman"/>
          <w:sz w:val="28"/>
          <w:szCs w:val="24"/>
        </w:rPr>
        <w:t>[13–16]</w:t>
      </w:r>
      <w:r w:rsidR="00EE74AE" w:rsidRPr="00CE0BCE">
        <w:rPr>
          <w:rFonts w:ascii="Times New Roman" w:hAnsi="Times New Roman" w:cs="Times New Roman"/>
          <w:sz w:val="28"/>
          <w:szCs w:val="28"/>
          <w:lang w:val="en-US"/>
        </w:rPr>
        <w:fldChar w:fldCharType="end"/>
      </w:r>
      <w:r w:rsidRPr="00CE0BCE">
        <w:rPr>
          <w:rFonts w:ascii="Times New Roman" w:hAnsi="Times New Roman" w:cs="Times New Roman"/>
          <w:sz w:val="28"/>
          <w:szCs w:val="28"/>
          <w:lang w:val="kk-KZ"/>
        </w:rPr>
        <w:t>. Наконец, системно-управленческий и диагностический подход обеспечивает основу для последующего анализа и проектирования инновационного потенциала на уровне организации и региона</w:t>
      </w:r>
      <w:r w:rsidR="00B33397" w:rsidRPr="00CE0BCE">
        <w:rPr>
          <w:rFonts w:ascii="Times New Roman" w:hAnsi="Times New Roman" w:cs="Times New Roman"/>
          <w:sz w:val="28"/>
          <w:szCs w:val="28"/>
          <w:lang w:val="kk-KZ"/>
        </w:rPr>
        <w:t xml:space="preserve"> </w:t>
      </w:r>
      <w:r w:rsidR="00B33397"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{"citationID":"ag6r1ed3a9","properties":{"formattedCitation":"[17\\uc0\\u8211{}19]","plainCitation":"[17–19]","noteIndex":0},"citationItems":[{"id":59,"uris":["http://zotero.org/users/16887523/items/X7SI8ZPQ"],"itemData":{"id":59,"type":"article-journal","abstract":"Relevance. The powerful digital transformation that the world economy is currently undergoing brings to the fore the issues of innovative development of entrepreneurial structures as flagships of their competitive advantages. Insufficient attention to the issues of digital maturity of enterprises and their innovative potential confirms the relevance of scientific and theoretical study of this direction. Within the framework of this article, we will turn to the implicit indicator of the innovation sphere – the innovation potential, the issues of its assessment in the conditions of an imbalance of economic relations and the need to increase the investment attractiveness of business entities as a condition. The purpose of the study is a theoretical and methodological study of the issues of a comprehensive assessment of the innovative potential of entrepreneurial structures, taking into account the aspects of digitalization of the economy, which requires a significant rethinking of the entire strategy of development of economic entities in the long term. Objectives: analysis of existing approaches to the definition of the concept of \"innovative potential\"; consideration of modern methods for assessing the level of innovative potential of organizations; development of the author's methodology for assessing the level of innovative potential, taking into account indicators of digital development. Methodology. The methodological basis of the study is a systematic approach, as a set of methods of structural, statistical and dynamic assessment. The methods of classification and comparative analysis, empirical, monographic methods of cognition, deductive and inductive, and the method of expert assessments were used as research methods. Results. The article considers the main trends of innovative development of the Russian Federation as conditions for the realization of the innovative potential of entrepreneurial structures; the existing approaches to the definition and evaluation of the definition of \"innovation potential\" are analyzed; the author's method of diagnostics of the innovative potential of entrepreneurial structures with consideration of aspects of digital transformation is proposed. Conclusion. The proposed methodology for assessing the level of innovation potential in the long term provides opportunities for comparative retrospective analysis of the results obtained, both for one business entity and for business structures operating within the same industry. The resulting values can be used in the development of a strategy to ensure the competitiveness of the enterprise in terms of the innovation policy of the organization and a more detailed analysis of the causes of successes and failures in the field of innovative development, including in the context of digital development.","container-title":"Известия Юго-Западного государственного университета. Серия: Экономика. Социология. Менеджмент.","DOI":"10.21869/2223-1552-2021-11-6-65-77","ISSN":"22231552","issue":"6","journalAbbreviation":"PSSU.SESM","page":"65-77","source":"DOI.org (Crossref)","title":"Цифровые аспекты комплексной диагностики инновационного потенциала предпринимательских структур","URL":"https://elibrary.ru/item.asp?id=47503763","volume":"11","author":[{"family":"Кулагина","given":"Н.А."},{"family":"Чепикова","given":"Е.М"},{"family":"Мугутдинов","given":"Р.M."}],"accessed":{"date-parts":[["2025",11,19]]},"issued":{"date-parts":[["2021"]]}}},{"id":60,"uris":["http://zotero.org/users/16887523/items/XQVYC8HC"],"itemData":{"id":60,"type":"article-journal","abstract":"В статье рассматриваются теоретические подходы к исследо- ванию сущности экономической устойчивости предпринимательской структу- ры, приводится методика оценки экономической устойчивости организации на основе метода многомерного сравнительного анализа. Экономическая устойчивость предпринимательских структур является ключевым фактором успешного функционирования бизнеса в современных условиях. Эта аннота- ция рассматривает основные аспекты обеспечения устойчивости предприя- тий в динамичной экономике. В работе анализируются стратегии управления финансовыми рисками, диверсификации бизнеса, укрепления финансовой базы и минимизации внешних воздействий на бизнес-процессы. Особое внимание уделяется влиянию макроэкономических факторов, политической стабильности и рыночной конкуренции на экономическую устойчивость пред- принимательских структур. Рассматриваются примеры успешных стратегий устойчивого развития бизнеса в различных отраслях, включая инновации, устойчивое производство и социальную ответственность. Также обсуждают- ся методы адаптации к изменяющимся рыночным условиям и глобальным вызовам. Эта аннотация предоставляет обзор ключевых аспектов обеспече- ния экономической устойчивости предпринимательских структур и их роли в стабильном развитии экономики. В статье рассматриваются теоретиче- ские подходы к исследованию сущности экономической устойчивости пред- принимательской структуры, приводится методика оценки экономической устойчивости организации на основе метода многомерного сравнительного анализа. Применительно к современной российской рыночной экономике устойчивость как интегрированный (обобщающий) показатель деятельности хозяйственных систем предпринимательского типа следует рассматривать не столько в статике, сколько в конкурентной динамичной среде их функци- онирования. Причем резкие изменения в деловой конъюнктуре часто ведут к банкротству экономически слабых фирм. Дело здесь не только в их разме- рах, масштабах деятельности, а прежде всего в умении гибко маневрировать своими ресурсами, ориентироваться на товарных рынках, быстро перестраи- вать свою деятельность применительно к новым требованиям.","container-title":"Journal of Monetary Economics and Management","DOI":"10.26118/2782-4586.2024.65.73.034","ISSN":"27824586","issue":"2","language":"ru","page":"237-241","source":"DOI.org (Crossref)","title":"Экономическая устойчивость предпринимательских структур","URL":"https://www.elibrary.ru/item.asp?id=65515683","author":[{"family":"Лактионов","given":"Г.А."}],"accessed":{"date-parts":[["2025",11,19]]},"issued":{"date-parts":[["2024",4,19]]}}},{"id":61,"uris":["http://zotero.org/users/16887523/items/JAUPGSSZ"],"itemData":{"id":61,"type":"article-journal","abstract":"The aim of the article is to reveal the idea of the notion ‘entrepreneurial structures’ strategic development’. The author’s approach to this notion investigation is proposed, which uses methods of system analysis and systematization of development criteria. The author designed a three-level model of development criteria based on principles of their dependence and mutual deduction and substantiated the possibility to consider pair categories of quality and quantity, simple and complicated, regress and progress, activity and passivity, efficiency and inefficiency as development criteria. On this foundation the author formed understanding of entrepreneurial structures’ strategic development as a synthetic process of changing their activity and efficiency. According to the author, parameters of activity and efficiency are related to strategic characteristics and their change shows quantitative and qualitative aspects of entrepreneurial structures’ strategic development. It creates prerequisites for grounding assessment indicators characterizing the level and dynamics of activity and efficiency of entrepreneurial structures’ functioning and their integral assessment. The description of the process of entrepreneurial structures’ strategic development on the basis of these indicators can give an opportunity to resolve tasks of monitoring orientation and to raise the level of substantiation and assessment of consequences of strategic managerial decisions.","container-title":"Вестник Российского экономического университета имени Г. В. Плеханова","DOI":"10.21686/2413-2829-2019-3-103-113","ISSN":"2587-9251, 2413-2829","issue":"3","journalAbbreviation":"Vestn. Ross. èkon. univ. im. G. V. Plehanova","page":"103-113","source":"DOI.org (Crossref)","title":"СУЩНОСТЬ И ОСОБЕННОСТИ СТРАТЕГИЧЕСКОГО РАЗВИТИЯ ПРЕДПРИНИМАТЕЛЬСКИХ СТРУКТУР.","URL":"https://vest.rea.ru/jour/article/view/712","author":[{"family":"Леонтьева","given":"Л.С."},{"family":"Чурашкина","given":"А.В."}],"accessed":{"date-parts":[["2025",11,19]]},"issued":{"date-parts":[["2019",6,30]]}}}],"schema":"https://github.com/citation-style-language/schema/raw/master/csl-citation.json"} </w:instrText>
      </w:r>
      <w:r w:rsidR="00B33397"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szCs w:val="24"/>
        </w:rPr>
        <w:t>[17–19]</w:t>
      </w:r>
      <w:r w:rsidR="00B33397"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w:t>
      </w:r>
    </w:p>
    <w:p w14:paraId="33093CAB" w14:textId="34F19546" w:rsidR="00C8338B" w:rsidRPr="00CE0BCE" w:rsidRDefault="00D1423F" w:rsidP="002F33D0">
      <w:pPr>
        <w:tabs>
          <w:tab w:val="left" w:pos="1064"/>
        </w:tabs>
        <w:spacing w:after="0" w:line="240" w:lineRule="auto"/>
        <w:ind w:firstLine="567"/>
        <w:jc w:val="both"/>
        <w:rPr>
          <w:rFonts w:ascii="Times New Roman" w:hAnsi="Times New Roman" w:cs="Times New Roman"/>
          <w:sz w:val="28"/>
          <w:szCs w:val="28"/>
          <w:lang w:val="kk-KZ"/>
        </w:rPr>
      </w:pPr>
      <w:r w:rsidRPr="00D1423F">
        <w:rPr>
          <w:rFonts w:ascii="Times New Roman" w:hAnsi="Times New Roman" w:cs="Times New Roman"/>
          <w:sz w:val="28"/>
          <w:szCs w:val="28"/>
          <w:lang w:val="kk-KZ"/>
        </w:rPr>
        <w:t>С методологической позиции рассматриваемые четыре подхода не противопоставляются друг другу, а образуют взаимосвязанную систему аналитических оснований, совокупное применение которых обеспечивает формирование целостного и универсального представления о предпринимательских структурах, необходимого для реализации целей настоящего исследования.</w:t>
      </w:r>
      <w:r w:rsidR="00C07C2D" w:rsidRPr="00CE0BCE">
        <w:rPr>
          <w:rFonts w:ascii="Times New Roman" w:hAnsi="Times New Roman" w:cs="Times New Roman"/>
          <w:sz w:val="28"/>
          <w:szCs w:val="28"/>
          <w:lang w:val="kk-KZ"/>
        </w:rPr>
        <w:t xml:space="preserve"> Поэтому предлагаемая в диссертации авторская трактовка понятия базируется на совмещении этих подходов, с акцентом на инновационно-ориентированный и системно-управленческий, поскольку они наиболее полно отражают направленность анализа на оценку и проектирование инновационного потенциала</w:t>
      </w:r>
      <w:r w:rsidR="00A5770E">
        <w:rPr>
          <w:rFonts w:ascii="Times New Roman" w:hAnsi="Times New Roman" w:cs="Times New Roman"/>
          <w:sz w:val="28"/>
          <w:szCs w:val="28"/>
          <w:lang w:val="kk-KZ"/>
        </w:rPr>
        <w:t xml:space="preserve"> </w:t>
      </w:r>
      <w:r w:rsidR="00A5770E">
        <w:rPr>
          <w:rFonts w:ascii="Times New Roman" w:hAnsi="Times New Roman" w:cs="Times New Roman"/>
          <w:sz w:val="28"/>
          <w:szCs w:val="28"/>
          <w:lang w:val="kk-KZ"/>
        </w:rPr>
        <w:fldChar w:fldCharType="begin"/>
      </w:r>
      <w:r w:rsidR="00A5770E">
        <w:rPr>
          <w:rFonts w:ascii="Times New Roman" w:hAnsi="Times New Roman" w:cs="Times New Roman"/>
          <w:sz w:val="28"/>
          <w:szCs w:val="28"/>
          <w:lang w:val="kk-KZ"/>
        </w:rPr>
        <w:instrText xml:space="preserve"> ADDIN ZOTERO_ITEM CSL_CITATION {"citationID":"a23qun3n4sa","properties":{"formattedCitation":"[20]","plainCitation":"[20]","noteIndex":0},"citationItems":[{"id":586,"uris":["http://zotero.org/users/16887523/items/SJFNQIRI"],"itemData":{"id":586,"type":"paper-conference","event-title":"Қазақстанның инновациялық дамуына жастардың шығармашылығы: Студенттердің, магистранттардың және жас ғалымдардың ІХ Халықаралық ҒТК материалдары","page":"180-184","publisher":"Д. Серікбаев атындағы Шығыс Қазақстан техникалық университеті","publisher-place":"Өскемен","title":"Кәсіпорынның инновациялық әлеуетін жобалау негіздері","volume":"6","author":[{"family":"Самат","given":"Н."},{"family":"Саденова","given":"А.М."}],"issued":{"date-parts":[["2023"]],"season":"14"}}}],"schema":"https://github.com/citation-style-language/schema/raw/master/csl-citation.json"} </w:instrText>
      </w:r>
      <w:r w:rsidR="00A5770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[20]</w:t>
      </w:r>
      <w:r w:rsidR="00A5770E">
        <w:rPr>
          <w:rFonts w:ascii="Times New Roman" w:hAnsi="Times New Roman" w:cs="Times New Roman"/>
          <w:sz w:val="28"/>
          <w:szCs w:val="28"/>
          <w:lang w:val="kk-KZ"/>
        </w:rPr>
        <w:fldChar w:fldCharType="end"/>
      </w:r>
      <w:r w:rsidR="00C07C2D" w:rsidRPr="00CE0BCE">
        <w:rPr>
          <w:rFonts w:ascii="Times New Roman" w:hAnsi="Times New Roman" w:cs="Times New Roman"/>
          <w:sz w:val="28"/>
          <w:szCs w:val="28"/>
          <w:lang w:val="kk-KZ"/>
        </w:rPr>
        <w:t>.</w:t>
      </w:r>
    </w:p>
    <w:p w14:paraId="0469442A" w14:textId="7E0DCB96" w:rsidR="00C07C2D" w:rsidRPr="00CE0BCE" w:rsidRDefault="00C07C2D" w:rsidP="002F33D0">
      <w:pPr>
        <w:tabs>
          <w:tab w:val="left" w:pos="1064"/>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 xml:space="preserve">Учитывая интегративный характер представленных подходов и специфику задач диссертационного исследования, в рамках настоящей работы под предпринимательскими структурами предлагается понимать самостоятельно функционирующие экономические единицы, деятельность которых подчиняется законам предпринимательства и ориентирована на поиск эффективных решений в условиях рыночной конкуренции. К таким структурам относятся организации всех масштабов </w:t>
      </w:r>
      <w:r w:rsidR="009D20AE">
        <w:rPr>
          <w:rFonts w:ascii="Times New Roman" w:hAnsi="Times New Roman" w:cs="Times New Roman"/>
          <w:sz w:val="28"/>
          <w:szCs w:val="28"/>
          <w:lang w:val="kk-KZ"/>
        </w:rPr>
        <w:t>–</w:t>
      </w:r>
      <w:r w:rsidRPr="00CE0BCE">
        <w:rPr>
          <w:rFonts w:ascii="Times New Roman" w:hAnsi="Times New Roman" w:cs="Times New Roman"/>
          <w:sz w:val="28"/>
          <w:szCs w:val="28"/>
          <w:lang w:val="kk-KZ"/>
        </w:rPr>
        <w:t xml:space="preserve"> от микропредприятий и малых фирм до средних и крупных компаний, </w:t>
      </w:r>
      <w:r w:rsidR="009D20AE">
        <w:rPr>
          <w:rFonts w:ascii="Times New Roman" w:hAnsi="Times New Roman" w:cs="Times New Roman"/>
          <w:sz w:val="28"/>
          <w:szCs w:val="28"/>
          <w:lang w:val="kk-KZ"/>
        </w:rPr>
        <w:t>–</w:t>
      </w:r>
      <w:r w:rsidRPr="00CE0BCE">
        <w:rPr>
          <w:rFonts w:ascii="Times New Roman" w:hAnsi="Times New Roman" w:cs="Times New Roman"/>
          <w:sz w:val="28"/>
          <w:szCs w:val="28"/>
          <w:lang w:val="kk-KZ"/>
        </w:rPr>
        <w:t xml:space="preserve"> обладающие необходимой степенью автономии и ресурсами, обеспечивающими стабильное функционирование и устойчивое развитие, в том числе на основе внедрения инноваций.</w:t>
      </w:r>
    </w:p>
    <w:p w14:paraId="5568C324" w14:textId="77777777" w:rsidR="00C07C2D" w:rsidRPr="00CE0BCE" w:rsidRDefault="00C07C2D" w:rsidP="002F33D0">
      <w:pPr>
        <w:tabs>
          <w:tab w:val="left" w:pos="1064"/>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 xml:space="preserve">Ключевыми характеристиками предпринимательских структур в данной трактовке выступают хозяйственная самостоятельность, институциональная легитимность, способность к стратегической адаптации и инновационному </w:t>
      </w:r>
      <w:r w:rsidRPr="00CE0BCE">
        <w:rPr>
          <w:rFonts w:ascii="Times New Roman" w:hAnsi="Times New Roman" w:cs="Times New Roman"/>
          <w:sz w:val="28"/>
          <w:szCs w:val="28"/>
          <w:lang w:val="kk-KZ"/>
        </w:rPr>
        <w:lastRenderedPageBreak/>
        <w:t>обновлению. Их основная цель заключается в обеспечении конкурентоспособности и получении прибыли посредством активного освоения новшеств и гибкого реагирования на изменения внешней среды. Таким образом, предпринимательская структура в настоящем исследовании эквивалентна понятию «фирма» или «компания», но при этом акцентируется её функция как субъекта, обладающего инновационным потенциалом и способного к его проектированию и реализации.</w:t>
      </w:r>
    </w:p>
    <w:p w14:paraId="2F132BA6" w14:textId="5564AFA8" w:rsidR="00056D73" w:rsidRPr="00CE0BCE" w:rsidRDefault="00056D73" w:rsidP="002F33D0">
      <w:pPr>
        <w:tabs>
          <w:tab w:val="left" w:pos="1064"/>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 xml:space="preserve">В научной литературе последних лет прослеживается стремление к всё более точному разграничению понятий «инновационный потенциал» и «инновационная активность». При этом существует значительное разнообразие трактовок каждого из этих понятий </w:t>
      </w:r>
      <w:r w:rsidR="009D20AE">
        <w:rPr>
          <w:rFonts w:ascii="Times New Roman" w:hAnsi="Times New Roman" w:cs="Times New Roman"/>
          <w:sz w:val="28"/>
          <w:szCs w:val="28"/>
          <w:lang w:val="kk-KZ"/>
        </w:rPr>
        <w:t>–</w:t>
      </w:r>
      <w:r w:rsidRPr="00CE0BCE">
        <w:rPr>
          <w:rFonts w:ascii="Times New Roman" w:hAnsi="Times New Roman" w:cs="Times New Roman"/>
          <w:sz w:val="28"/>
          <w:szCs w:val="28"/>
          <w:lang w:val="kk-KZ"/>
        </w:rPr>
        <w:t xml:space="preserve"> в зависимости от теоретического подхода, уровня анализа (фирменный, отраслевой, региональный), исследовательских задач и институционального контекста.</w:t>
      </w:r>
    </w:p>
    <w:p w14:paraId="0D7E448B" w14:textId="1D39A53A" w:rsidR="00C07C2D" w:rsidRPr="00CE0BCE" w:rsidRDefault="00056D73" w:rsidP="002F33D0">
      <w:pPr>
        <w:tabs>
          <w:tab w:val="left" w:pos="1064"/>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Для формирования концептуальной основы настоящего исследования было проведено изучение современных подходов к определению ключевых категорий</w:t>
      </w:r>
      <w:r w:rsidR="004F7A70" w:rsidRPr="00CE0BCE">
        <w:rPr>
          <w:rFonts w:ascii="Times New Roman" w:hAnsi="Times New Roman" w:cs="Times New Roman"/>
          <w:sz w:val="28"/>
          <w:szCs w:val="28"/>
          <w:lang w:val="kk-KZ"/>
        </w:rPr>
        <w:t xml:space="preserve"> (</w:t>
      </w:r>
      <w:r w:rsidR="00650C6D" w:rsidRPr="00CE0BCE">
        <w:rPr>
          <w:rFonts w:ascii="Times New Roman" w:hAnsi="Times New Roman" w:cs="Times New Roman"/>
          <w:sz w:val="28"/>
          <w:szCs w:val="28"/>
          <w:lang w:val="kk-KZ"/>
        </w:rPr>
        <w:t>т</w:t>
      </w:r>
      <w:r w:rsidR="004F7A70" w:rsidRPr="00CE0BCE">
        <w:rPr>
          <w:rFonts w:ascii="Times New Roman" w:hAnsi="Times New Roman" w:cs="Times New Roman"/>
          <w:sz w:val="28"/>
          <w:szCs w:val="28"/>
          <w:lang w:val="kk-KZ"/>
        </w:rPr>
        <w:t>аблиц</w:t>
      </w:r>
      <w:r w:rsidR="00650C6D" w:rsidRPr="00CE0BCE">
        <w:rPr>
          <w:rFonts w:ascii="Times New Roman" w:hAnsi="Times New Roman" w:cs="Times New Roman"/>
          <w:sz w:val="28"/>
          <w:szCs w:val="28"/>
          <w:lang w:val="kk-KZ"/>
        </w:rPr>
        <w:t>а</w:t>
      </w:r>
      <w:r w:rsidR="004F7A70" w:rsidRPr="00CE0BCE">
        <w:rPr>
          <w:rFonts w:ascii="Times New Roman" w:hAnsi="Times New Roman" w:cs="Times New Roman"/>
          <w:sz w:val="28"/>
          <w:szCs w:val="28"/>
          <w:lang w:val="kk-KZ"/>
        </w:rPr>
        <w:t xml:space="preserve"> 3</w:t>
      </w:r>
      <w:r w:rsidR="00EE6CB4" w:rsidRPr="00CE0BCE">
        <w:rPr>
          <w:rFonts w:ascii="Times New Roman" w:hAnsi="Times New Roman" w:cs="Times New Roman"/>
          <w:sz w:val="28"/>
          <w:szCs w:val="28"/>
          <w:lang w:val="kk-KZ"/>
        </w:rPr>
        <w:t>)</w:t>
      </w:r>
      <w:r w:rsidRPr="00CE0BCE">
        <w:rPr>
          <w:rFonts w:ascii="Times New Roman" w:hAnsi="Times New Roman" w:cs="Times New Roman"/>
          <w:sz w:val="28"/>
          <w:szCs w:val="28"/>
          <w:lang w:val="kk-KZ"/>
        </w:rPr>
        <w:t xml:space="preserve">. </w:t>
      </w:r>
    </w:p>
    <w:p w14:paraId="401835AE" w14:textId="77777777" w:rsidR="00D6192B" w:rsidRPr="00CE0BCE" w:rsidRDefault="00D6192B" w:rsidP="002F33D0">
      <w:pPr>
        <w:tabs>
          <w:tab w:val="left" w:pos="1064"/>
        </w:tabs>
        <w:spacing w:after="0" w:line="240" w:lineRule="auto"/>
        <w:ind w:firstLine="567"/>
        <w:jc w:val="both"/>
        <w:rPr>
          <w:rFonts w:ascii="Times New Roman" w:hAnsi="Times New Roman" w:cs="Times New Roman"/>
          <w:sz w:val="28"/>
          <w:szCs w:val="28"/>
          <w:lang w:val="kk-KZ"/>
        </w:rPr>
      </w:pPr>
    </w:p>
    <w:p w14:paraId="7BD01BFD" w14:textId="3D7E8F1A" w:rsidR="00EE6CB4" w:rsidRPr="00CE0BCE" w:rsidRDefault="004F7A70" w:rsidP="002F33D0">
      <w:pPr>
        <w:tabs>
          <w:tab w:val="left" w:pos="1064"/>
        </w:tabs>
        <w:spacing w:after="0" w:line="240" w:lineRule="auto"/>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 xml:space="preserve">Таблица 3 – </w:t>
      </w:r>
      <w:r w:rsidR="00AC1C47" w:rsidRPr="00CE0BCE">
        <w:rPr>
          <w:rFonts w:ascii="Times New Roman" w:hAnsi="Times New Roman" w:cs="Times New Roman"/>
          <w:sz w:val="28"/>
          <w:szCs w:val="28"/>
          <w:lang w:val="kk-KZ"/>
        </w:rPr>
        <w:t>Сравнительный анализ современных подходов к определению понятий «инновационный потенциал» и «инновационная активность»</w:t>
      </w:r>
    </w:p>
    <w:p w14:paraId="3B44B2A9" w14:textId="77777777" w:rsidR="00650C6D" w:rsidRPr="00C46E6B" w:rsidRDefault="00650C6D" w:rsidP="002F33D0">
      <w:pPr>
        <w:tabs>
          <w:tab w:val="left" w:pos="1064"/>
        </w:tabs>
        <w:spacing w:after="0" w:line="240" w:lineRule="auto"/>
        <w:jc w:val="both"/>
        <w:rPr>
          <w:rFonts w:ascii="Times New Roman" w:hAnsi="Times New Roman" w:cs="Times New Roman"/>
          <w:sz w:val="20"/>
          <w:szCs w:val="20"/>
          <w:lang w:val="kk-KZ"/>
        </w:rPr>
      </w:pPr>
    </w:p>
    <w:tbl>
      <w:tblPr>
        <w:tblStyle w:val="a5"/>
        <w:tblW w:w="5000" w:type="pct"/>
        <w:tblLook w:val="04A0" w:firstRow="1" w:lastRow="0" w:firstColumn="1" w:lastColumn="0" w:noHBand="0" w:noVBand="1"/>
      </w:tblPr>
      <w:tblGrid>
        <w:gridCol w:w="2045"/>
        <w:gridCol w:w="3942"/>
        <w:gridCol w:w="3641"/>
      </w:tblGrid>
      <w:tr w:rsidR="00CE0BCE" w:rsidRPr="00CE0BCE" w14:paraId="28CFAC25" w14:textId="77777777" w:rsidTr="00C46E6B">
        <w:tc>
          <w:tcPr>
            <w:tcW w:w="1062" w:type="pct"/>
          </w:tcPr>
          <w:p w14:paraId="79CEB98F" w14:textId="77777777" w:rsidR="00CB559A" w:rsidRPr="00CE0BCE" w:rsidRDefault="00CB559A" w:rsidP="002F33D0">
            <w:pPr>
              <w:tabs>
                <w:tab w:val="left" w:pos="1064"/>
              </w:tabs>
              <w:ind w:firstLine="0"/>
              <w:jc w:val="center"/>
              <w:rPr>
                <w:szCs w:val="24"/>
                <w:lang w:val="kk-KZ"/>
              </w:rPr>
            </w:pPr>
            <w:r w:rsidRPr="00CE0BCE">
              <w:rPr>
                <w:szCs w:val="24"/>
                <w:lang w:val="kk-KZ"/>
              </w:rPr>
              <w:t>Автор</w:t>
            </w:r>
          </w:p>
        </w:tc>
        <w:tc>
          <w:tcPr>
            <w:tcW w:w="2047" w:type="pct"/>
          </w:tcPr>
          <w:p w14:paraId="0AB19E82" w14:textId="77777777" w:rsidR="00CB559A" w:rsidRPr="00CE0BCE" w:rsidRDefault="00AC1C47" w:rsidP="002F33D0">
            <w:pPr>
              <w:tabs>
                <w:tab w:val="left" w:pos="1064"/>
              </w:tabs>
              <w:ind w:firstLine="0"/>
              <w:jc w:val="center"/>
              <w:rPr>
                <w:szCs w:val="24"/>
                <w:lang w:val="kk-KZ"/>
              </w:rPr>
            </w:pPr>
            <w:r w:rsidRPr="00CE0BCE">
              <w:rPr>
                <w:szCs w:val="24"/>
                <w:lang w:val="kk-KZ"/>
              </w:rPr>
              <w:t>«Инновационный потенциал»</w:t>
            </w:r>
          </w:p>
        </w:tc>
        <w:tc>
          <w:tcPr>
            <w:tcW w:w="1891" w:type="pct"/>
          </w:tcPr>
          <w:p w14:paraId="5B1AA8EE" w14:textId="3A81EA04" w:rsidR="00CB559A" w:rsidRPr="00CE0BCE" w:rsidRDefault="00AC1C47" w:rsidP="002F33D0">
            <w:pPr>
              <w:tabs>
                <w:tab w:val="left" w:pos="1064"/>
              </w:tabs>
              <w:ind w:firstLine="0"/>
              <w:jc w:val="center"/>
              <w:rPr>
                <w:szCs w:val="24"/>
                <w:lang w:val="kk-KZ"/>
              </w:rPr>
            </w:pPr>
            <w:r w:rsidRPr="00CE0BCE">
              <w:rPr>
                <w:szCs w:val="24"/>
                <w:lang w:val="kk-KZ"/>
              </w:rPr>
              <w:t>«Инновационная активность</w:t>
            </w:r>
            <w:r w:rsidR="004F7A70" w:rsidRPr="00CE0BCE">
              <w:rPr>
                <w:szCs w:val="24"/>
                <w:lang w:val="kk-KZ"/>
              </w:rPr>
              <w:t>»</w:t>
            </w:r>
          </w:p>
        </w:tc>
      </w:tr>
      <w:tr w:rsidR="00702F64" w:rsidRPr="00CE0BCE" w14:paraId="29A095F4" w14:textId="77777777" w:rsidTr="00C46E6B">
        <w:tc>
          <w:tcPr>
            <w:tcW w:w="1062" w:type="pct"/>
          </w:tcPr>
          <w:p w14:paraId="7B9A6964" w14:textId="1F5DD015" w:rsidR="00702F64" w:rsidRPr="00CE0BCE" w:rsidRDefault="00702F64" w:rsidP="00C46E6B">
            <w:pPr>
              <w:tabs>
                <w:tab w:val="left" w:pos="1064"/>
              </w:tabs>
              <w:ind w:firstLine="0"/>
              <w:jc w:val="center"/>
              <w:rPr>
                <w:szCs w:val="24"/>
                <w:lang w:val="kk-KZ"/>
              </w:rPr>
            </w:pPr>
            <w:r>
              <w:rPr>
                <w:szCs w:val="24"/>
                <w:lang w:val="kk-KZ"/>
              </w:rPr>
              <w:t>1</w:t>
            </w:r>
          </w:p>
        </w:tc>
        <w:tc>
          <w:tcPr>
            <w:tcW w:w="2047" w:type="pct"/>
          </w:tcPr>
          <w:p w14:paraId="6DCA2B91" w14:textId="6E04CEC0" w:rsidR="00702F64" w:rsidRPr="00CE0BCE" w:rsidRDefault="00702F64" w:rsidP="00C46E6B">
            <w:pPr>
              <w:tabs>
                <w:tab w:val="left" w:pos="1064"/>
              </w:tabs>
              <w:ind w:firstLine="0"/>
              <w:jc w:val="center"/>
              <w:rPr>
                <w:szCs w:val="24"/>
                <w:lang w:val="kk-KZ"/>
              </w:rPr>
            </w:pPr>
            <w:r>
              <w:rPr>
                <w:szCs w:val="24"/>
                <w:lang w:val="kk-KZ"/>
              </w:rPr>
              <w:t>2</w:t>
            </w:r>
          </w:p>
        </w:tc>
        <w:tc>
          <w:tcPr>
            <w:tcW w:w="1891" w:type="pct"/>
          </w:tcPr>
          <w:p w14:paraId="7FF65ED2" w14:textId="689B5ED1" w:rsidR="00702F64" w:rsidRPr="00CE0BCE" w:rsidRDefault="00702F64" w:rsidP="00C46E6B">
            <w:pPr>
              <w:tabs>
                <w:tab w:val="left" w:pos="1064"/>
              </w:tabs>
              <w:ind w:firstLine="0"/>
              <w:jc w:val="center"/>
              <w:rPr>
                <w:szCs w:val="24"/>
                <w:lang w:val="kk-KZ"/>
              </w:rPr>
            </w:pPr>
            <w:r>
              <w:rPr>
                <w:szCs w:val="24"/>
                <w:lang w:val="kk-KZ"/>
              </w:rPr>
              <w:t>3</w:t>
            </w:r>
          </w:p>
        </w:tc>
      </w:tr>
      <w:tr w:rsidR="00CE0BCE" w:rsidRPr="00CE0BCE" w14:paraId="5C5E6062" w14:textId="77777777" w:rsidTr="00C46E6B">
        <w:tc>
          <w:tcPr>
            <w:tcW w:w="1062" w:type="pct"/>
          </w:tcPr>
          <w:p w14:paraId="420BE0AE" w14:textId="5A9A7136" w:rsidR="00CB559A" w:rsidRPr="00CE0BCE" w:rsidRDefault="00650C6D" w:rsidP="002F33D0">
            <w:pPr>
              <w:tabs>
                <w:tab w:val="left" w:pos="1064"/>
              </w:tabs>
              <w:ind w:firstLine="0"/>
              <w:jc w:val="both"/>
              <w:rPr>
                <w:szCs w:val="24"/>
                <w:highlight w:val="yellow"/>
                <w:lang w:val="kk-KZ"/>
              </w:rPr>
            </w:pPr>
            <w:r w:rsidRPr="00CE0BCE">
              <w:rPr>
                <w:szCs w:val="24"/>
                <w:lang w:val="kk-KZ"/>
              </w:rPr>
              <w:t xml:space="preserve">И.В. Писарев </w:t>
            </w:r>
            <w:r w:rsidR="007D6EA9" w:rsidRPr="00CE0BCE">
              <w:rPr>
                <w:szCs w:val="24"/>
                <w:lang w:val="kk-KZ"/>
              </w:rPr>
              <w:fldChar w:fldCharType="begin"/>
            </w:r>
            <w:r w:rsidR="00AE44BA">
              <w:rPr>
                <w:szCs w:val="24"/>
                <w:lang w:val="kk-KZ"/>
              </w:rPr>
              <w:instrText xml:space="preserve"> ADDIN ZOTERO_ITEM CSL_CITATION {"citationID":"a2dvc6rri3","properties":{"formattedCitation":"[21]","plainCitation":"[21]","noteIndex":0},"citationItems":[{"id":"jo0Cjpe8/7ArGJv1i","uris":["http://www.mendeley.com/documents/?uuid=5854fd7a-29c6-4675-b392-325f8a10e09c"],"itemData":{"DOI":"10.24147/1812-3988.2025.23(1).107-115","author":[{"dropping-particle":"","family":"Писарев","given":"И. В.","non-dropping-particle":"","parse-names":false,"suffix":""}],"container-title":"Вестник Омского университета. Серия «Экономика»","id":"zUTERPJI/e4SVVF53","issue":"1","issued":{"date-parts":[["2025"]]},"page":"107-115","title":"ВЗАИМОСВЯЗЬ ПОНЯТИЙ «ИННОВАЦИОННАЯ АКТИВНОСТЬ» И «ИННОВАЦИОННАЯ ДЕЯТЕЛЬНОСТЬ»","type":"article-journal","volume":"23"}}],"schema":"https://github.com/citation-style-language/schema/raw/master/csl-citation.json"} </w:instrText>
            </w:r>
            <w:r w:rsidR="007D6EA9" w:rsidRPr="00CE0BCE">
              <w:rPr>
                <w:szCs w:val="24"/>
                <w:lang w:val="kk-KZ"/>
              </w:rPr>
              <w:fldChar w:fldCharType="separate"/>
            </w:r>
            <w:r w:rsidR="009C6DCA" w:rsidRPr="009C6DCA">
              <w:t>[21]</w:t>
            </w:r>
            <w:r w:rsidR="007D6EA9" w:rsidRPr="00CE0BCE">
              <w:rPr>
                <w:szCs w:val="24"/>
                <w:lang w:val="kk-KZ"/>
              </w:rPr>
              <w:fldChar w:fldCharType="end"/>
            </w:r>
          </w:p>
        </w:tc>
        <w:tc>
          <w:tcPr>
            <w:tcW w:w="2047" w:type="pct"/>
          </w:tcPr>
          <w:p w14:paraId="5CB759DC" w14:textId="77777777" w:rsidR="00CB559A" w:rsidRPr="00CE0BCE" w:rsidRDefault="00CB559A" w:rsidP="002F33D0">
            <w:pPr>
              <w:tabs>
                <w:tab w:val="left" w:pos="1064"/>
              </w:tabs>
              <w:ind w:firstLine="0"/>
              <w:jc w:val="both"/>
              <w:rPr>
                <w:szCs w:val="24"/>
                <w:lang w:val="kk-KZ"/>
              </w:rPr>
            </w:pPr>
            <w:r w:rsidRPr="00CE0BCE">
              <w:rPr>
                <w:szCs w:val="24"/>
              </w:rPr>
              <w:t>Совокупность ресурсов и условий, способствующих генерации и реализации инноваций.</w:t>
            </w:r>
          </w:p>
        </w:tc>
        <w:tc>
          <w:tcPr>
            <w:tcW w:w="1891" w:type="pct"/>
          </w:tcPr>
          <w:p w14:paraId="00FF4749" w14:textId="77777777" w:rsidR="00CB559A" w:rsidRPr="00CE0BCE" w:rsidRDefault="00CB559A" w:rsidP="002F33D0">
            <w:pPr>
              <w:tabs>
                <w:tab w:val="left" w:pos="1064"/>
              </w:tabs>
              <w:ind w:firstLine="0"/>
              <w:jc w:val="both"/>
              <w:rPr>
                <w:szCs w:val="24"/>
              </w:rPr>
            </w:pPr>
            <w:r w:rsidRPr="00CE0BCE">
              <w:rPr>
                <w:szCs w:val="24"/>
              </w:rPr>
              <w:t>Реализуемые мероприятия и действия, направленные на внедрение инноваций.</w:t>
            </w:r>
          </w:p>
        </w:tc>
      </w:tr>
      <w:tr w:rsidR="00CE0BCE" w:rsidRPr="00CE0BCE" w14:paraId="2B06C233" w14:textId="77777777" w:rsidTr="00C46E6B">
        <w:tc>
          <w:tcPr>
            <w:tcW w:w="1062" w:type="pct"/>
          </w:tcPr>
          <w:p w14:paraId="2BA47788" w14:textId="3F6322FD" w:rsidR="00CB559A" w:rsidRPr="00CE0BCE" w:rsidRDefault="00650C6D" w:rsidP="002F33D0">
            <w:pPr>
              <w:tabs>
                <w:tab w:val="left" w:pos="1064"/>
              </w:tabs>
              <w:ind w:firstLine="0"/>
              <w:jc w:val="both"/>
              <w:rPr>
                <w:szCs w:val="24"/>
                <w:highlight w:val="yellow"/>
                <w:lang w:val="kk-KZ"/>
              </w:rPr>
            </w:pPr>
            <w:r w:rsidRPr="00CE0BCE">
              <w:rPr>
                <w:szCs w:val="24"/>
                <w:lang w:val="kk-KZ"/>
              </w:rPr>
              <w:t xml:space="preserve">И.С. Андрошина </w:t>
            </w:r>
            <w:r w:rsidR="007D6EA9" w:rsidRPr="00CE0BCE">
              <w:rPr>
                <w:szCs w:val="24"/>
                <w:highlight w:val="yellow"/>
                <w:lang w:val="kk-KZ"/>
              </w:rPr>
              <w:fldChar w:fldCharType="begin"/>
            </w:r>
            <w:r w:rsidR="00AE44BA">
              <w:rPr>
                <w:szCs w:val="24"/>
                <w:highlight w:val="yellow"/>
                <w:lang w:val="kk-KZ"/>
              </w:rPr>
              <w:instrText xml:space="preserve"> ADDIN ZOTERO_ITEM CSL_CITATION {"citationID":"a1drcvaohi9","properties":{"formattedCitation":"[22]","plainCitation":"[22]","noteIndex":0},"citationItems":[{"id":"jo0Cjpe8/l1Q4IPJP","uris":["http://www.mendeley.com/documents/?uuid=06c43d85-d1be-435b-b30f-482a47f1b1dc"],"itemData":{"author":[{"dropping-particle":"","family":"Андрошина","given":"И. С.","non-dropping-particle":"","parse-names":false,"suffix":""},{"dropping-particle":"","family":"Зотова","given":"Д. В.","non-dropping-particle":"","parse-names":false,"suffix":""},{"dropping-particle":"","family":"Каранфил","given":"Д. Х.","non-dropping-particle":"","parse-names":false,"suffix":""},{"dropping-particle":"","family":"Белова","given":"А. А.","non-dropping-particle":"","parse-names":false,"suffix":""}],"container-title":"Вестник Академии знаний","id":"zUTERPJI/Zx5PYre8","issue":"5","issued":{"date-parts":[["2024"]]},"page":"52-55","title":"ИННОВАЦИОННЫЙ ПОТЕНЦИАЛ ЭНЕРГЕТИЧЕСКИХ КОМПАНИЙ КАК ФАКТОР РОСТА ИХ СТОИМОСТИ","type":"article-journal","volume":"65"}}],"schema":"https://github.com/citation-style-language/schema/raw/master/csl-citation.json"} </w:instrText>
            </w:r>
            <w:r w:rsidR="007D6EA9" w:rsidRPr="00CE0BCE">
              <w:rPr>
                <w:szCs w:val="24"/>
                <w:highlight w:val="yellow"/>
                <w:lang w:val="kk-KZ"/>
              </w:rPr>
              <w:fldChar w:fldCharType="separate"/>
            </w:r>
            <w:r w:rsidR="009C6DCA" w:rsidRPr="009C6DCA">
              <w:t>[22]</w:t>
            </w:r>
            <w:r w:rsidR="007D6EA9" w:rsidRPr="00CE0BCE">
              <w:rPr>
                <w:szCs w:val="24"/>
                <w:highlight w:val="yellow"/>
                <w:lang w:val="kk-KZ"/>
              </w:rPr>
              <w:fldChar w:fldCharType="end"/>
            </w:r>
          </w:p>
        </w:tc>
        <w:tc>
          <w:tcPr>
            <w:tcW w:w="2047" w:type="pct"/>
          </w:tcPr>
          <w:p w14:paraId="5F8A58DF" w14:textId="77777777" w:rsidR="00CB559A" w:rsidRPr="00CE0BCE" w:rsidRDefault="00CB559A" w:rsidP="002F33D0">
            <w:pPr>
              <w:tabs>
                <w:tab w:val="left" w:pos="1064"/>
              </w:tabs>
              <w:ind w:firstLine="0"/>
              <w:jc w:val="both"/>
              <w:rPr>
                <w:szCs w:val="24"/>
                <w:lang w:val="kk-KZ"/>
              </w:rPr>
            </w:pPr>
            <w:r w:rsidRPr="00CE0BCE">
              <w:rPr>
                <w:szCs w:val="24"/>
              </w:rPr>
              <w:t>Комплекс научного, технического, финансового и интеллектуального потенциала предприятия.</w:t>
            </w:r>
          </w:p>
        </w:tc>
        <w:tc>
          <w:tcPr>
            <w:tcW w:w="1891" w:type="pct"/>
          </w:tcPr>
          <w:p w14:paraId="59805341" w14:textId="77777777" w:rsidR="00CB559A" w:rsidRPr="00CE0BCE" w:rsidRDefault="00CB559A" w:rsidP="002F33D0">
            <w:pPr>
              <w:tabs>
                <w:tab w:val="left" w:pos="1064"/>
              </w:tabs>
              <w:ind w:firstLine="0"/>
              <w:jc w:val="both"/>
              <w:rPr>
                <w:szCs w:val="24"/>
              </w:rPr>
            </w:pPr>
          </w:p>
        </w:tc>
      </w:tr>
      <w:tr w:rsidR="00CE0BCE" w:rsidRPr="00CE0BCE" w14:paraId="2B608801" w14:textId="77777777" w:rsidTr="00C46E6B">
        <w:tc>
          <w:tcPr>
            <w:tcW w:w="1062" w:type="pct"/>
          </w:tcPr>
          <w:p w14:paraId="0CB9CC3D" w14:textId="76E81E9C" w:rsidR="00650C6D" w:rsidRPr="00CE0BCE" w:rsidRDefault="00650C6D" w:rsidP="002F33D0">
            <w:pPr>
              <w:tabs>
                <w:tab w:val="left" w:pos="1064"/>
              </w:tabs>
              <w:ind w:firstLine="0"/>
              <w:jc w:val="both"/>
              <w:rPr>
                <w:szCs w:val="24"/>
                <w:lang w:val="kk-KZ"/>
              </w:rPr>
            </w:pPr>
            <w:r w:rsidRPr="00CE0BCE">
              <w:rPr>
                <w:szCs w:val="24"/>
                <w:lang w:val="kk-KZ"/>
              </w:rPr>
              <w:t>Н.Ф.</w:t>
            </w:r>
            <w:r w:rsidR="00C3196C" w:rsidRPr="00CE0BCE">
              <w:rPr>
                <w:szCs w:val="24"/>
                <w:lang w:val="kk-KZ"/>
              </w:rPr>
              <w:t>Бондалетова,</w:t>
            </w:r>
            <w:r w:rsidRPr="00CE0BCE">
              <w:rPr>
                <w:szCs w:val="24"/>
                <w:lang w:val="kk-KZ"/>
              </w:rPr>
              <w:t xml:space="preserve"> </w:t>
            </w:r>
          </w:p>
          <w:p w14:paraId="3D54F359" w14:textId="2AF23ED5" w:rsidR="00CB559A" w:rsidRPr="00CE0BCE" w:rsidRDefault="00650C6D" w:rsidP="002F33D0">
            <w:pPr>
              <w:tabs>
                <w:tab w:val="left" w:pos="1064"/>
              </w:tabs>
              <w:ind w:firstLine="0"/>
              <w:rPr>
                <w:szCs w:val="24"/>
                <w:highlight w:val="yellow"/>
                <w:lang w:val="kk-KZ"/>
              </w:rPr>
            </w:pPr>
            <w:r w:rsidRPr="00CE0BCE">
              <w:rPr>
                <w:szCs w:val="24"/>
                <w:lang w:val="kk-KZ"/>
              </w:rPr>
              <w:t xml:space="preserve">Д.Н. Греченкова  </w:t>
            </w:r>
            <w:r w:rsidRPr="00CE0BCE">
              <w:rPr>
                <w:szCs w:val="24"/>
                <w:highlight w:val="yellow"/>
                <w:lang w:val="kk-KZ"/>
              </w:rPr>
              <w:fldChar w:fldCharType="begin"/>
            </w:r>
            <w:r w:rsidR="00AE44BA">
              <w:rPr>
                <w:szCs w:val="24"/>
                <w:highlight w:val="yellow"/>
                <w:lang w:val="kk-KZ"/>
              </w:rPr>
              <w:instrText xml:space="preserve"> ADDIN ZOTERO_ITEM CSL_CITATION {"citationID":"a22ktl6nf07","properties":{"formattedCitation":"[23]","plainCitation":"[23]","noteIndex":0},"citationItems":[{"id":"jo0Cjpe8/c7OgLCir","uris":["http://www.mendeley.com/documents/?uuid=ca757845-68ba-4774-af05-2b8303eede91"],"itemData":{"DOI":"10.17513/vaael.2758","author":[{"dropping-particle":"","family":"Бондалетова","given":"Н.Ф.","non-dropping-particle":"","parse-names":false,"suffix":""},{"dropping-particle":"","family":"Греченкова","given":"Д.Н.","non-dropping-particle":"","parse-names":false,"suffix":""}],"container-title":"Вестник Алтайской Академии Экономики и Права","id":"zUTERPJI/I73IbJg1","issue":"№4","issued":{"date-parts":[["2023"]]},"page":"27-31","title":"ИННОВАЦИОННЫЙ ПОТЕНЦИАЛ КАК ПУТЬ ПОВЫШЕНИЯ ИНВЕСТИЦИОННОЙ ПРИВЛЕКАТЕЛЬНОСТИ ПРЕДПРИЯТИЯ","type":"article-journal","volume":"1"}}],"schema":"https://github.com/citation-style-language/schema/raw/master/csl-citation.json"} </w:instrText>
            </w:r>
            <w:r w:rsidRPr="00CE0BCE">
              <w:rPr>
                <w:szCs w:val="24"/>
                <w:highlight w:val="yellow"/>
                <w:lang w:val="kk-KZ"/>
              </w:rPr>
              <w:fldChar w:fldCharType="separate"/>
            </w:r>
            <w:r w:rsidR="009C6DCA" w:rsidRPr="009C6DCA">
              <w:t>[23]</w:t>
            </w:r>
            <w:r w:rsidRPr="00CE0BCE">
              <w:rPr>
                <w:szCs w:val="24"/>
                <w:highlight w:val="yellow"/>
                <w:lang w:val="kk-KZ"/>
              </w:rPr>
              <w:fldChar w:fldCharType="end"/>
            </w:r>
            <w:r w:rsidRPr="00CE0BCE">
              <w:rPr>
                <w:szCs w:val="24"/>
                <w:highlight w:val="yellow"/>
                <w:lang w:val="kk-KZ"/>
              </w:rPr>
              <w:t xml:space="preserve"> </w:t>
            </w:r>
          </w:p>
        </w:tc>
        <w:tc>
          <w:tcPr>
            <w:tcW w:w="2047" w:type="pct"/>
          </w:tcPr>
          <w:p w14:paraId="7F08687B" w14:textId="77777777" w:rsidR="00CB559A" w:rsidRPr="00CE0BCE" w:rsidRDefault="00CB559A" w:rsidP="002F33D0">
            <w:pPr>
              <w:tabs>
                <w:tab w:val="left" w:pos="1064"/>
              </w:tabs>
              <w:ind w:firstLine="0"/>
              <w:jc w:val="both"/>
              <w:rPr>
                <w:szCs w:val="24"/>
                <w:lang w:val="kk-KZ"/>
              </w:rPr>
            </w:pPr>
            <w:r w:rsidRPr="00CE0BCE">
              <w:rPr>
                <w:szCs w:val="24"/>
              </w:rPr>
              <w:t>Потенциал как фактор повышения инвестиционной привлекательности и роста рыночной стоимости компании.</w:t>
            </w:r>
          </w:p>
        </w:tc>
        <w:tc>
          <w:tcPr>
            <w:tcW w:w="1891" w:type="pct"/>
          </w:tcPr>
          <w:p w14:paraId="009D3E02" w14:textId="77777777" w:rsidR="00CB559A" w:rsidRPr="00CE0BCE" w:rsidRDefault="00CB559A" w:rsidP="002F33D0">
            <w:pPr>
              <w:tabs>
                <w:tab w:val="left" w:pos="1064"/>
              </w:tabs>
              <w:ind w:firstLine="0"/>
              <w:jc w:val="both"/>
              <w:rPr>
                <w:szCs w:val="24"/>
                <w:lang w:val="kk-KZ"/>
              </w:rPr>
            </w:pPr>
            <w:r w:rsidRPr="00CE0BCE">
              <w:rPr>
                <w:szCs w:val="24"/>
              </w:rPr>
              <w:t>Деятельность по внедрению инноваций, повышающая капитализацию.</w:t>
            </w:r>
          </w:p>
        </w:tc>
      </w:tr>
      <w:tr w:rsidR="00CE0BCE" w:rsidRPr="00CE0BCE" w14:paraId="5EED7A39" w14:textId="77777777" w:rsidTr="00C46E6B">
        <w:tc>
          <w:tcPr>
            <w:tcW w:w="1062" w:type="pct"/>
          </w:tcPr>
          <w:p w14:paraId="314E4776" w14:textId="3F5AA889" w:rsidR="00CB559A" w:rsidRPr="00CE0BCE" w:rsidRDefault="00C3196C" w:rsidP="002F33D0">
            <w:pPr>
              <w:tabs>
                <w:tab w:val="left" w:pos="1064"/>
              </w:tabs>
              <w:ind w:firstLine="0"/>
              <w:jc w:val="both"/>
              <w:rPr>
                <w:szCs w:val="24"/>
                <w:highlight w:val="yellow"/>
                <w:lang w:val="kk-KZ"/>
              </w:rPr>
            </w:pPr>
            <w:r w:rsidRPr="00CE0BCE">
              <w:rPr>
                <w:szCs w:val="24"/>
                <w:lang w:val="kk-KZ"/>
              </w:rPr>
              <w:t>G. Elia и др.</w:t>
            </w:r>
            <w:r w:rsidRPr="00617838">
              <w:rPr>
                <w:szCs w:val="24"/>
                <w:lang w:val="en-US"/>
              </w:rPr>
              <w:t xml:space="preserve"> </w:t>
            </w:r>
            <w:r w:rsidR="007D6EA9" w:rsidRPr="00CE0BCE">
              <w:rPr>
                <w:szCs w:val="24"/>
                <w:highlight w:val="yellow"/>
                <w:lang w:val="kk-KZ"/>
              </w:rPr>
              <w:fldChar w:fldCharType="begin"/>
            </w:r>
            <w:r w:rsidR="00AE44BA">
              <w:rPr>
                <w:szCs w:val="24"/>
                <w:highlight w:val="yellow"/>
                <w:lang w:val="kk-KZ"/>
              </w:rPr>
              <w:instrText xml:space="preserve"> ADDIN ZOTERO_ITEM CSL_CITATION {"citationID":"akfleu3mfn","properties":{"formattedCitation":"[16]","plainCitation":"[16]","noteIndex":0},"citationItems":[{"id":"jo0Cjpe8/JVhucU7A","uris":["http://www.mendeley.com/documents/?uuid=c2814128-ed6b-4a06-992a-f47098ebe34b"],"itemData":{"DOI":"10.1016/j.techfore.2019.119791","ISSN":"00401625","author":[{"dropping-particle":"","family":"Elia","given":"Gianluca","non-dropping-particle":"","parse-names":false,"suffix":""},{"dropping-particle":"","family":"Margherita","given":"Alessandro","non-dropping-particle":"","parse-names":false,"suffix":""},{"dropping-particle":"","family":"Passiante","given":"Giuseppina","non-dropping-particle":"","parse-names":false,"suffix":""}],"container-title":"Technological Forecasting and Social Change","id":"zUTERPJI/Al4Zlcgl","issued":{"date-parts":[["2020","1"]]},"page":"119791","title":"Digital entrepreneurship ecosystem: How digital technologies and collective intelligence are reshaping the entrepreneurial process","type":"article-journal","volume":"150"}}],"schema":"https://github.com/citation-style-language/schema/raw/master/csl-citation.json"} </w:instrText>
            </w:r>
            <w:r w:rsidR="007D6EA9" w:rsidRPr="00CE0BCE">
              <w:rPr>
                <w:szCs w:val="24"/>
                <w:highlight w:val="yellow"/>
                <w:lang w:val="kk-KZ"/>
              </w:rPr>
              <w:fldChar w:fldCharType="separate"/>
            </w:r>
            <w:r w:rsidR="009C6DCA" w:rsidRPr="009C6DCA">
              <w:t>[16]</w:t>
            </w:r>
            <w:r w:rsidR="007D6EA9" w:rsidRPr="00CE0BCE">
              <w:rPr>
                <w:szCs w:val="24"/>
                <w:highlight w:val="yellow"/>
                <w:lang w:val="kk-KZ"/>
              </w:rPr>
              <w:fldChar w:fldCharType="end"/>
            </w:r>
          </w:p>
        </w:tc>
        <w:tc>
          <w:tcPr>
            <w:tcW w:w="2047" w:type="pct"/>
          </w:tcPr>
          <w:p w14:paraId="23184895" w14:textId="77777777" w:rsidR="00CB559A" w:rsidRPr="00CE0BCE" w:rsidRDefault="00CB559A" w:rsidP="002F33D0">
            <w:pPr>
              <w:tabs>
                <w:tab w:val="left" w:pos="1064"/>
              </w:tabs>
              <w:ind w:firstLine="0"/>
              <w:jc w:val="both"/>
              <w:rPr>
                <w:szCs w:val="24"/>
                <w:lang w:val="kk-KZ"/>
              </w:rPr>
            </w:pPr>
            <w:r w:rsidRPr="00CE0BCE">
              <w:rPr>
                <w:szCs w:val="24"/>
                <w:lang w:val="kk-KZ"/>
              </w:rPr>
              <w:t>Ресурсный потенциал, обеспечивающий цифровые инновации и трансформацию на всех предприятиях.</w:t>
            </w:r>
          </w:p>
        </w:tc>
        <w:tc>
          <w:tcPr>
            <w:tcW w:w="1891" w:type="pct"/>
          </w:tcPr>
          <w:p w14:paraId="75A53BA1" w14:textId="77777777" w:rsidR="00CB559A" w:rsidRPr="00CE0BCE" w:rsidRDefault="00CB559A" w:rsidP="002F33D0">
            <w:pPr>
              <w:tabs>
                <w:tab w:val="left" w:pos="1064"/>
              </w:tabs>
              <w:ind w:firstLine="0"/>
              <w:jc w:val="both"/>
              <w:rPr>
                <w:szCs w:val="24"/>
                <w:lang w:val="kk-KZ"/>
              </w:rPr>
            </w:pPr>
            <w:r w:rsidRPr="00CE0BCE">
              <w:rPr>
                <w:szCs w:val="24"/>
              </w:rPr>
              <w:t>Комплекс организационных действий по интеграции цифровых технологий.</w:t>
            </w:r>
          </w:p>
        </w:tc>
      </w:tr>
      <w:tr w:rsidR="00CE0BCE" w:rsidRPr="00CE0BCE" w14:paraId="75A8464A" w14:textId="77777777" w:rsidTr="00E458EC">
        <w:tc>
          <w:tcPr>
            <w:tcW w:w="1062" w:type="pct"/>
            <w:tcBorders>
              <w:bottom w:val="single" w:sz="4" w:space="0" w:color="auto"/>
            </w:tcBorders>
          </w:tcPr>
          <w:p w14:paraId="1AB5CC3E" w14:textId="31683AAE" w:rsidR="00C3196C" w:rsidRPr="00CE0BCE" w:rsidRDefault="00C3196C" w:rsidP="002F33D0">
            <w:pPr>
              <w:tabs>
                <w:tab w:val="left" w:pos="1064"/>
              </w:tabs>
              <w:ind w:firstLine="0"/>
              <w:jc w:val="both"/>
              <w:rPr>
                <w:szCs w:val="24"/>
                <w:lang w:val="kk-KZ"/>
              </w:rPr>
            </w:pPr>
            <w:r w:rsidRPr="00CE0BCE">
              <w:rPr>
                <w:szCs w:val="24"/>
                <w:lang w:val="kk-KZ"/>
              </w:rPr>
              <w:t xml:space="preserve">Е.Н. Маковецкая, </w:t>
            </w:r>
          </w:p>
          <w:p w14:paraId="5776C023" w14:textId="2B07EE0B" w:rsidR="00CB559A" w:rsidRPr="00CE0BCE" w:rsidRDefault="00C3196C" w:rsidP="002F33D0">
            <w:pPr>
              <w:tabs>
                <w:tab w:val="left" w:pos="1064"/>
              </w:tabs>
              <w:ind w:firstLine="0"/>
              <w:rPr>
                <w:szCs w:val="24"/>
                <w:highlight w:val="yellow"/>
                <w:lang w:val="kk-KZ"/>
              </w:rPr>
            </w:pPr>
            <w:r w:rsidRPr="00CE0BCE">
              <w:rPr>
                <w:szCs w:val="24"/>
                <w:lang w:val="kk-KZ"/>
              </w:rPr>
              <w:t xml:space="preserve">Д.С. Плотников </w:t>
            </w:r>
            <w:r w:rsidRPr="00CE0BCE">
              <w:rPr>
                <w:szCs w:val="24"/>
                <w:highlight w:val="yellow"/>
                <w:lang w:val="kk-KZ"/>
              </w:rPr>
              <w:fldChar w:fldCharType="begin"/>
            </w:r>
            <w:r w:rsidR="00AE44BA">
              <w:rPr>
                <w:szCs w:val="24"/>
                <w:highlight w:val="yellow"/>
                <w:lang w:val="kk-KZ"/>
              </w:rPr>
              <w:instrText xml:space="preserve"> ADDIN ZOTERO_ITEM CSL_CITATION {"citationID":"a29sout9arh","properties":{"formattedCitation":"[24]","plainCitation":"[24]","noteIndex":0},"citationItems":[{"id":"jo0Cjpe8/5uN8k92Y","uris":["http://www.mendeley.com/documents/?uuid=5bc0a129-0af9-4806-af72-3a23f398c613"],"itemData":{"DOI":"10.24412/2411-0450-2025-4-230-234","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Маковецкая","given":"Е.Н.","non-dropping-particle":"","parse-names":false,"suffix":""},{"dropping-particle":"","family":"Плотников","given":"Д.С.","non-dropping-particle":"","parse-names":false,"suffix":""}],"container-title":"Economy and Business: Theory and Practice","id":"zUTERPJI/7noU2Jpo","issue":"122","issued":{"date-parts":[["2025"]]},"page":"230-234","title":"РОЛЬ ИННОВАЦИЙ В СОВРЕМЕННОМ БИЗНЕСЕ","type":"article-journal","volume":"4"}}],"schema":"https://github.com/citation-style-language/schema/raw/master/csl-citation.json"} </w:instrText>
            </w:r>
            <w:r w:rsidRPr="00CE0BCE">
              <w:rPr>
                <w:szCs w:val="24"/>
                <w:highlight w:val="yellow"/>
                <w:lang w:val="kk-KZ"/>
              </w:rPr>
              <w:fldChar w:fldCharType="separate"/>
            </w:r>
            <w:r w:rsidR="009C6DCA" w:rsidRPr="009C6DCA">
              <w:t>[24]</w:t>
            </w:r>
            <w:r w:rsidRPr="00CE0BCE">
              <w:rPr>
                <w:szCs w:val="24"/>
                <w:highlight w:val="yellow"/>
                <w:lang w:val="kk-KZ"/>
              </w:rPr>
              <w:fldChar w:fldCharType="end"/>
            </w:r>
          </w:p>
        </w:tc>
        <w:tc>
          <w:tcPr>
            <w:tcW w:w="2047" w:type="pct"/>
            <w:tcBorders>
              <w:bottom w:val="single" w:sz="4" w:space="0" w:color="auto"/>
            </w:tcBorders>
          </w:tcPr>
          <w:p w14:paraId="01B5D9FB" w14:textId="1219AF8B" w:rsidR="00CB559A" w:rsidRPr="00CE0BCE" w:rsidRDefault="00CB559A" w:rsidP="002F33D0">
            <w:pPr>
              <w:tabs>
                <w:tab w:val="left" w:pos="1064"/>
              </w:tabs>
              <w:ind w:firstLine="0"/>
              <w:jc w:val="both"/>
              <w:rPr>
                <w:szCs w:val="24"/>
                <w:lang w:val="kk-KZ"/>
              </w:rPr>
            </w:pPr>
            <w:r w:rsidRPr="00CE0BCE">
              <w:rPr>
                <w:szCs w:val="24"/>
              </w:rPr>
              <w:t xml:space="preserve">Потенциал </w:t>
            </w:r>
            <w:r w:rsidR="009D20AE">
              <w:rPr>
                <w:szCs w:val="24"/>
              </w:rPr>
              <w:t>–</w:t>
            </w:r>
            <w:r w:rsidRPr="00CE0BCE">
              <w:rPr>
                <w:szCs w:val="24"/>
              </w:rPr>
              <w:t xml:space="preserve"> это готовность организации адаптироваться к вызовам внешней среды за счёт внутренних преобразований.</w:t>
            </w:r>
          </w:p>
        </w:tc>
        <w:tc>
          <w:tcPr>
            <w:tcW w:w="1891" w:type="pct"/>
            <w:tcBorders>
              <w:bottom w:val="single" w:sz="4" w:space="0" w:color="auto"/>
            </w:tcBorders>
          </w:tcPr>
          <w:p w14:paraId="38782ECD" w14:textId="77777777" w:rsidR="00CB559A" w:rsidRPr="00CE0BCE" w:rsidRDefault="00CB559A" w:rsidP="002F33D0">
            <w:pPr>
              <w:tabs>
                <w:tab w:val="left" w:pos="1064"/>
              </w:tabs>
              <w:ind w:firstLine="0"/>
              <w:jc w:val="both"/>
              <w:rPr>
                <w:szCs w:val="24"/>
              </w:rPr>
            </w:pPr>
            <w:r w:rsidRPr="00CE0BCE">
              <w:rPr>
                <w:szCs w:val="24"/>
              </w:rPr>
              <w:t>Способность и практика организаций быстро адаптироваться и внедрять новшества.</w:t>
            </w:r>
          </w:p>
        </w:tc>
      </w:tr>
      <w:tr w:rsidR="00CE0BCE" w:rsidRPr="00CE0BCE" w14:paraId="33E9D314" w14:textId="77777777" w:rsidTr="00E458EC">
        <w:tc>
          <w:tcPr>
            <w:tcW w:w="1062" w:type="pct"/>
            <w:tcBorders>
              <w:bottom w:val="nil"/>
            </w:tcBorders>
          </w:tcPr>
          <w:p w14:paraId="539D713A" w14:textId="14B3A6F3" w:rsidR="00CB559A" w:rsidRPr="00CE0BCE" w:rsidRDefault="00F21665" w:rsidP="002F33D0">
            <w:pPr>
              <w:tabs>
                <w:tab w:val="left" w:pos="1064"/>
              </w:tabs>
              <w:ind w:firstLine="0"/>
              <w:jc w:val="both"/>
              <w:rPr>
                <w:szCs w:val="24"/>
                <w:highlight w:val="yellow"/>
                <w:lang w:val="kk-KZ"/>
              </w:rPr>
            </w:pPr>
            <w:r w:rsidRPr="00CE0BCE">
              <w:rPr>
                <w:szCs w:val="24"/>
              </w:rPr>
              <w:t>Организация экономического сотрудничества и развития</w:t>
            </w:r>
            <w:r w:rsidR="00C3196C" w:rsidRPr="00CE0BCE">
              <w:rPr>
                <w:szCs w:val="24"/>
              </w:rPr>
              <w:t xml:space="preserve"> (</w:t>
            </w:r>
            <w:r w:rsidRPr="00CE0BCE">
              <w:rPr>
                <w:szCs w:val="24"/>
              </w:rPr>
              <w:t>ОЭСР</w:t>
            </w:r>
            <w:r w:rsidR="00C3196C" w:rsidRPr="00CE0BCE">
              <w:rPr>
                <w:szCs w:val="24"/>
              </w:rPr>
              <w:t xml:space="preserve">) </w:t>
            </w:r>
            <w:r w:rsidR="007D6EA9" w:rsidRPr="00CE0BCE">
              <w:rPr>
                <w:szCs w:val="24"/>
                <w:lang w:val="kk-KZ"/>
              </w:rPr>
              <w:fldChar w:fldCharType="begin"/>
            </w:r>
            <w:r w:rsidR="00AE44BA">
              <w:rPr>
                <w:szCs w:val="24"/>
                <w:lang w:val="kk-KZ"/>
              </w:rPr>
              <w:instrText xml:space="preserve"> ADDIN ZOTERO_ITEM CSL_CITATION {"citationID":"a15urva42q4","properties":{"formattedCitation":"[25]","plainCitation":"[25]","noteIndex":0},"citationItems":[{"id":"jo0Cjpe8/JozPkCmK","uris":["http://www.mendeley.com/documents/?uuid=f6f6a9f5-5537-4afa-88d2-4c87c86dada4"],"itemData":{"ISSN":"24134996","abstract":"Introduction. In order to improve innovation policy given a clear definition of the correlation between innovation-driven development indicators and GDP, it is necessary to critically assess the influence of the innovation factor on the country's economic growth and an increase in its competitiveness. Problem Statement. Modern conditions of the global economic system development require the constant adjustment and improvement of innovation strategies given new civilizational challenges, as well as the intensification of R&amp;D activities of national economies. This highlighted the problem of scholarly research on the influence of innovation andthe determination of correlation between indicators of innovation-driven development and GDP. Purpose. The research is based on the proposed explanatory model built with the use of correlation-regression analysis, which demonstrates the influence of the innovation factor on GDP growth. The article contains forecast estimates of GDP in terms of years, depending on changes in innovation-driven development indicators based on multiple regression analysis, as well as practical recommendations for increasing the innovation capacity of Ukraine. Material and Methods. To identify the impact of innovation on GDP growth, a mathematical model has been built with the use of correlation-regression analysis; to demonstrate and visualize the results of the study we have used tabular and graphical methods. Results. To improve the strategy of innovation-driven development of Ukraine, an economic-mathematical model based on multiple regression analysis has been developed. It demonstrates the influence of the innovation factor on changes in GDP. This model helps to understand the functioning and development of innovation processes, to reveal the causal and functional relationships of individual indicators of innovation-driven economic development, as well as to determine the required level of innovation factor by maximizing the hidden innovation capacity. Conclusions. The basic of the strategic course, its basic principle should be the implementation of government policy aiming at choosing an innovation strategy of structural transformation of Ukraine as a competitive high-tech state. This strategy requires the use of domestic R&amp;D potential and makes its contribution to the innovation-driven development of the national economy a crucial factor.","author":[{"dropping-particle":"","family":"OECD","given":"","non-dropping-particle":"","parse-names":false,"suffix":""}],"container-title":"OECD Competition policy roundtable background note","id":"zUTERPJI/0huPbwwY","issue":"5","issued":{"date-parts":[["2022"]]},"number-of-pages":"3-15","title":"Competition and innovation: A theoretical perspective","type":"report","volume":"18"}}],"schema":"https://github.com/citation-style-language/schema/raw/master/csl-citation.json"} </w:instrText>
            </w:r>
            <w:r w:rsidR="007D6EA9" w:rsidRPr="00CE0BCE">
              <w:rPr>
                <w:szCs w:val="24"/>
                <w:lang w:val="kk-KZ"/>
              </w:rPr>
              <w:fldChar w:fldCharType="separate"/>
            </w:r>
            <w:r w:rsidR="009C6DCA" w:rsidRPr="009C6DCA">
              <w:t>[25]</w:t>
            </w:r>
            <w:r w:rsidR="007D6EA9" w:rsidRPr="00CE0BCE">
              <w:rPr>
                <w:szCs w:val="24"/>
                <w:lang w:val="kk-KZ"/>
              </w:rPr>
              <w:fldChar w:fldCharType="end"/>
            </w:r>
          </w:p>
        </w:tc>
        <w:tc>
          <w:tcPr>
            <w:tcW w:w="2047" w:type="pct"/>
            <w:tcBorders>
              <w:bottom w:val="nil"/>
            </w:tcBorders>
          </w:tcPr>
          <w:p w14:paraId="5A0DB115" w14:textId="512D9F29" w:rsidR="00CB559A" w:rsidRPr="00CE0BCE" w:rsidRDefault="00CB559A" w:rsidP="00E458EC">
            <w:pPr>
              <w:tabs>
                <w:tab w:val="left" w:pos="1064"/>
              </w:tabs>
              <w:ind w:firstLine="0"/>
              <w:jc w:val="both"/>
              <w:rPr>
                <w:szCs w:val="24"/>
                <w:lang w:val="kk-KZ"/>
              </w:rPr>
            </w:pPr>
            <w:r w:rsidRPr="00CE0BCE">
              <w:rPr>
                <w:szCs w:val="24"/>
                <w:lang w:val="kk-KZ"/>
              </w:rPr>
              <w:t xml:space="preserve">Инновационный потенциал включает в себя неиспользованные возможности, </w:t>
            </w:r>
            <w:r w:rsidR="00E458EC" w:rsidRPr="00CE0BCE">
              <w:rPr>
                <w:szCs w:val="24"/>
                <w:lang w:val="kk-KZ"/>
              </w:rPr>
              <w:t>нематериальные активы и организационную готовность, которые еще не преобразованы в инновационные результаты.</w:t>
            </w:r>
          </w:p>
        </w:tc>
        <w:tc>
          <w:tcPr>
            <w:tcW w:w="1891" w:type="pct"/>
            <w:tcBorders>
              <w:bottom w:val="nil"/>
            </w:tcBorders>
          </w:tcPr>
          <w:p w14:paraId="5A4F6BDD" w14:textId="77777777" w:rsidR="00CB559A" w:rsidRPr="00CE0BCE" w:rsidRDefault="00CB559A" w:rsidP="002F33D0">
            <w:pPr>
              <w:tabs>
                <w:tab w:val="left" w:pos="1064"/>
              </w:tabs>
              <w:ind w:firstLine="0"/>
              <w:jc w:val="both"/>
              <w:rPr>
                <w:szCs w:val="24"/>
                <w:lang w:val="kk-KZ"/>
              </w:rPr>
            </w:pPr>
            <w:r w:rsidRPr="00CE0BCE">
              <w:rPr>
                <w:szCs w:val="24"/>
              </w:rPr>
              <w:t>Воплощение возможностей в инновационные результаты.</w:t>
            </w:r>
          </w:p>
        </w:tc>
      </w:tr>
    </w:tbl>
    <w:p w14:paraId="5AF12366" w14:textId="77777777" w:rsidR="00E458EC" w:rsidRDefault="00E458EC" w:rsidP="00C46E6B">
      <w:pPr>
        <w:spacing w:after="0" w:line="240" w:lineRule="auto"/>
        <w:rPr>
          <w:rFonts w:ascii="Times New Roman" w:hAnsi="Times New Roman" w:cs="Times New Roman"/>
          <w:sz w:val="28"/>
          <w:szCs w:val="28"/>
          <w:lang w:val="kk-KZ"/>
        </w:rPr>
      </w:pPr>
    </w:p>
    <w:p w14:paraId="1B859EB6" w14:textId="0EEFF337" w:rsidR="00C46E6B" w:rsidRPr="00C46E6B" w:rsidRDefault="00C46E6B" w:rsidP="00C46E6B">
      <w:pPr>
        <w:spacing w:after="0" w:line="240" w:lineRule="auto"/>
        <w:rPr>
          <w:rFonts w:ascii="Times New Roman" w:hAnsi="Times New Roman" w:cs="Times New Roman"/>
          <w:sz w:val="28"/>
          <w:szCs w:val="28"/>
          <w:lang w:val="kk-KZ"/>
        </w:rPr>
      </w:pPr>
      <w:r w:rsidRPr="00C46E6B">
        <w:rPr>
          <w:rFonts w:ascii="Times New Roman" w:hAnsi="Times New Roman" w:cs="Times New Roman"/>
          <w:sz w:val="28"/>
          <w:szCs w:val="28"/>
          <w:lang w:val="kk-KZ"/>
        </w:rPr>
        <w:lastRenderedPageBreak/>
        <w:t>Продолжение таблицы 3</w:t>
      </w:r>
    </w:p>
    <w:p w14:paraId="0DB0FBE8" w14:textId="77777777" w:rsidR="00C46E6B" w:rsidRPr="00C46E6B" w:rsidRDefault="00C46E6B" w:rsidP="00C46E6B">
      <w:pPr>
        <w:spacing w:after="0" w:line="240" w:lineRule="auto"/>
        <w:rPr>
          <w:sz w:val="20"/>
          <w:szCs w:val="20"/>
          <w:lang w:val="kk-KZ"/>
        </w:rPr>
      </w:pPr>
    </w:p>
    <w:tbl>
      <w:tblPr>
        <w:tblStyle w:val="a5"/>
        <w:tblW w:w="5000" w:type="pct"/>
        <w:tblLook w:val="04A0" w:firstRow="1" w:lastRow="0" w:firstColumn="1" w:lastColumn="0" w:noHBand="0" w:noVBand="1"/>
      </w:tblPr>
      <w:tblGrid>
        <w:gridCol w:w="2045"/>
        <w:gridCol w:w="3942"/>
        <w:gridCol w:w="3641"/>
      </w:tblGrid>
      <w:tr w:rsidR="00C46E6B" w:rsidRPr="00CE0BCE" w14:paraId="1D3B6AB6" w14:textId="77777777" w:rsidTr="00C46E6B">
        <w:tc>
          <w:tcPr>
            <w:tcW w:w="1062" w:type="pct"/>
          </w:tcPr>
          <w:p w14:paraId="500EEB71" w14:textId="77777777" w:rsidR="00C46E6B" w:rsidRPr="00CE0BCE" w:rsidRDefault="00C46E6B" w:rsidP="00937878">
            <w:pPr>
              <w:tabs>
                <w:tab w:val="left" w:pos="1064"/>
              </w:tabs>
              <w:ind w:firstLine="0"/>
              <w:jc w:val="center"/>
              <w:rPr>
                <w:szCs w:val="24"/>
                <w:lang w:val="kk-KZ"/>
              </w:rPr>
            </w:pPr>
            <w:r>
              <w:rPr>
                <w:szCs w:val="24"/>
                <w:lang w:val="kk-KZ"/>
              </w:rPr>
              <w:t>1</w:t>
            </w:r>
          </w:p>
        </w:tc>
        <w:tc>
          <w:tcPr>
            <w:tcW w:w="2047" w:type="pct"/>
          </w:tcPr>
          <w:p w14:paraId="676B32FA" w14:textId="77777777" w:rsidR="00C46E6B" w:rsidRPr="00CE0BCE" w:rsidRDefault="00C46E6B" w:rsidP="00937878">
            <w:pPr>
              <w:tabs>
                <w:tab w:val="left" w:pos="1064"/>
              </w:tabs>
              <w:ind w:firstLine="0"/>
              <w:jc w:val="center"/>
              <w:rPr>
                <w:szCs w:val="24"/>
                <w:lang w:val="kk-KZ"/>
              </w:rPr>
            </w:pPr>
            <w:r>
              <w:rPr>
                <w:szCs w:val="24"/>
                <w:lang w:val="kk-KZ"/>
              </w:rPr>
              <w:t>2</w:t>
            </w:r>
          </w:p>
        </w:tc>
        <w:tc>
          <w:tcPr>
            <w:tcW w:w="1891" w:type="pct"/>
          </w:tcPr>
          <w:p w14:paraId="168F945D" w14:textId="77777777" w:rsidR="00C46E6B" w:rsidRPr="00CE0BCE" w:rsidRDefault="00C46E6B" w:rsidP="00937878">
            <w:pPr>
              <w:tabs>
                <w:tab w:val="left" w:pos="1064"/>
              </w:tabs>
              <w:ind w:firstLine="0"/>
              <w:jc w:val="center"/>
              <w:rPr>
                <w:szCs w:val="24"/>
                <w:lang w:val="kk-KZ"/>
              </w:rPr>
            </w:pPr>
            <w:r>
              <w:rPr>
                <w:szCs w:val="24"/>
                <w:lang w:val="kk-KZ"/>
              </w:rPr>
              <w:t>3</w:t>
            </w:r>
          </w:p>
        </w:tc>
      </w:tr>
      <w:tr w:rsidR="00CE0BCE" w:rsidRPr="00CE0BCE" w14:paraId="25DD61E6" w14:textId="77777777" w:rsidTr="00C46E6B">
        <w:tc>
          <w:tcPr>
            <w:tcW w:w="1062" w:type="pct"/>
          </w:tcPr>
          <w:p w14:paraId="6C96BE0C" w14:textId="77777777" w:rsidR="00E458EC" w:rsidRPr="00CE0BCE" w:rsidRDefault="00E458EC" w:rsidP="00E458EC">
            <w:pPr>
              <w:tabs>
                <w:tab w:val="left" w:pos="1064"/>
              </w:tabs>
              <w:ind w:firstLine="0"/>
              <w:jc w:val="both"/>
              <w:rPr>
                <w:szCs w:val="24"/>
              </w:rPr>
            </w:pPr>
            <w:r w:rsidRPr="00CE0BCE">
              <w:rPr>
                <w:szCs w:val="24"/>
                <w:lang w:val="en-US"/>
              </w:rPr>
              <w:t>T</w:t>
            </w:r>
            <w:r w:rsidRPr="00CE0BCE">
              <w:rPr>
                <w:szCs w:val="24"/>
              </w:rPr>
              <w:t>.</w:t>
            </w:r>
            <w:r w:rsidRPr="00CE0BCE">
              <w:rPr>
                <w:szCs w:val="24"/>
                <w:lang w:val="en-US"/>
              </w:rPr>
              <w:t>O</w:t>
            </w:r>
            <w:r w:rsidRPr="00CE0BCE">
              <w:rPr>
                <w:szCs w:val="24"/>
              </w:rPr>
              <w:t xml:space="preserve">. Толстых, </w:t>
            </w:r>
          </w:p>
          <w:p w14:paraId="2C537F48" w14:textId="20F17774" w:rsidR="00CB559A" w:rsidRPr="00CE0BCE" w:rsidRDefault="00E458EC" w:rsidP="00E458EC">
            <w:pPr>
              <w:tabs>
                <w:tab w:val="left" w:pos="1064"/>
              </w:tabs>
              <w:ind w:firstLine="0"/>
              <w:jc w:val="both"/>
              <w:rPr>
                <w:szCs w:val="24"/>
                <w:highlight w:val="yellow"/>
              </w:rPr>
            </w:pPr>
            <w:r w:rsidRPr="00CE0BCE">
              <w:rPr>
                <w:szCs w:val="24"/>
              </w:rPr>
              <w:t>Ф.</w:t>
            </w:r>
            <w:r w:rsidRPr="00CE0BCE">
              <w:rPr>
                <w:szCs w:val="24"/>
                <w:lang w:val="en-US"/>
              </w:rPr>
              <w:t>O</w:t>
            </w:r>
            <w:r w:rsidRPr="00CE0BCE">
              <w:rPr>
                <w:szCs w:val="24"/>
              </w:rPr>
              <w:t xml:space="preserve">. Клюка </w:t>
            </w:r>
            <w:r w:rsidRPr="00CE0BCE">
              <w:rPr>
                <w:szCs w:val="24"/>
                <w:highlight w:val="yellow"/>
                <w:lang w:val="kk-KZ"/>
              </w:rPr>
              <w:fldChar w:fldCharType="begin"/>
            </w:r>
            <w:r w:rsidR="00AE44BA">
              <w:rPr>
                <w:szCs w:val="24"/>
                <w:highlight w:val="yellow"/>
                <w:lang w:val="kk-KZ"/>
              </w:rPr>
              <w:instrText xml:space="preserve"> ADDIN ZOTERO_ITEM CSL_CITATION {"citationID":"a1dh49nicto","properties":{"formattedCitation":"[26]","plainCitation":"[26]","noteIndex":0},"citationItems":[{"id":"jo0Cjpe8/rklPaQ6t","uris":["http://www.mendeley.com/documents/?uuid=6575bc3e-9638-49d9-bd1d-d98941381a2a"],"itemData":{"DOI":"10.21685/2227-8486-2022-1-7","ISSN":"22278486","author":[{"dropping-particle":"","family":"Толстых","given":"T.O.","non-dropping-particle":"","parse-names":false,"suffix":""},{"dropping-particle":"","family":"Клюка","given":"Ф.O.","non-dropping-particle":"","parse-names":false,"suffix":""}],"container-title":"Модели, системы, сети в экономике, технике, природе и обществе","id":"zUTERPJI/TZE3uDWg","issue":"1","issued":{"date-parts":[["2022"]]},"page":"63-72","title":"ИННОВАЦИОННЫЙ ПОТЕЦИАЛ ПРОЕКТООРИЕНТИРОВАННЫХ ПРЕДПРИЯТИЙ","type":"article-journal"}}],"schema":"https://github.com/citation-style-language/schema/raw/master/csl-citation.json"} </w:instrText>
            </w:r>
            <w:r w:rsidRPr="00CE0BCE">
              <w:rPr>
                <w:szCs w:val="24"/>
                <w:highlight w:val="yellow"/>
                <w:lang w:val="kk-KZ"/>
              </w:rPr>
              <w:fldChar w:fldCharType="separate"/>
            </w:r>
            <w:r w:rsidRPr="009C6DCA">
              <w:t>[26]</w:t>
            </w:r>
            <w:r w:rsidRPr="00CE0BCE">
              <w:rPr>
                <w:szCs w:val="24"/>
                <w:highlight w:val="yellow"/>
                <w:lang w:val="kk-KZ"/>
              </w:rPr>
              <w:fldChar w:fldCharType="end"/>
            </w:r>
          </w:p>
        </w:tc>
        <w:tc>
          <w:tcPr>
            <w:tcW w:w="2047" w:type="pct"/>
          </w:tcPr>
          <w:p w14:paraId="1A46BEE8" w14:textId="1C548362" w:rsidR="00CB559A" w:rsidRPr="00CE0BCE" w:rsidRDefault="00E458EC" w:rsidP="002F33D0">
            <w:pPr>
              <w:tabs>
                <w:tab w:val="left" w:pos="1064"/>
              </w:tabs>
              <w:ind w:firstLine="0"/>
              <w:jc w:val="both"/>
              <w:rPr>
                <w:szCs w:val="24"/>
                <w:lang w:val="kk-KZ"/>
              </w:rPr>
            </w:pPr>
            <w:r w:rsidRPr="00CE0BCE">
              <w:rPr>
                <w:szCs w:val="24"/>
              </w:rPr>
              <w:t xml:space="preserve">Инновационный потенциал проектно-ориентированных предприятий </w:t>
            </w:r>
            <w:r>
              <w:rPr>
                <w:szCs w:val="24"/>
              </w:rPr>
              <w:t>–</w:t>
            </w:r>
            <w:r w:rsidRPr="00CE0BCE">
              <w:rPr>
                <w:szCs w:val="24"/>
              </w:rPr>
              <w:t xml:space="preserve"> совокупность  </w:t>
            </w:r>
            <w:r w:rsidR="00774FC9" w:rsidRPr="00CE0BCE">
              <w:rPr>
                <w:szCs w:val="24"/>
              </w:rPr>
              <w:t>материальных, финансовых и интеллектуальных ресурсов,</w:t>
            </w:r>
            <w:r w:rsidR="00774FC9">
              <w:rPr>
                <w:szCs w:val="24"/>
                <w:lang w:val="kk-KZ"/>
              </w:rPr>
              <w:t xml:space="preserve"> </w:t>
            </w:r>
            <w:r w:rsidR="00A12459" w:rsidRPr="00CE0BCE">
              <w:rPr>
                <w:szCs w:val="24"/>
              </w:rPr>
              <w:t>обеспечивающих способность к инновациям.</w:t>
            </w:r>
          </w:p>
        </w:tc>
        <w:tc>
          <w:tcPr>
            <w:tcW w:w="1891" w:type="pct"/>
          </w:tcPr>
          <w:p w14:paraId="27168447" w14:textId="77777777" w:rsidR="00CB559A" w:rsidRPr="00CE0BCE" w:rsidRDefault="00CB559A" w:rsidP="002F33D0">
            <w:pPr>
              <w:tabs>
                <w:tab w:val="left" w:pos="1064"/>
              </w:tabs>
              <w:ind w:firstLine="0"/>
              <w:jc w:val="both"/>
              <w:rPr>
                <w:szCs w:val="24"/>
              </w:rPr>
            </w:pPr>
          </w:p>
        </w:tc>
      </w:tr>
      <w:tr w:rsidR="00CE0BCE" w:rsidRPr="00CE0BCE" w14:paraId="68259677" w14:textId="77777777" w:rsidTr="00C46E6B">
        <w:tc>
          <w:tcPr>
            <w:tcW w:w="1062" w:type="pct"/>
          </w:tcPr>
          <w:p w14:paraId="390180AF" w14:textId="691A5331" w:rsidR="00CB559A" w:rsidRPr="00CE0BCE" w:rsidRDefault="00F21665" w:rsidP="002F33D0">
            <w:pPr>
              <w:tabs>
                <w:tab w:val="left" w:pos="1064"/>
              </w:tabs>
              <w:ind w:firstLine="0"/>
              <w:jc w:val="both"/>
              <w:rPr>
                <w:szCs w:val="24"/>
                <w:highlight w:val="yellow"/>
                <w:lang w:val="en-US"/>
              </w:rPr>
            </w:pPr>
            <w:r w:rsidRPr="00CE0BCE">
              <w:rPr>
                <w:rFonts w:eastAsia="Times New Roman"/>
                <w:szCs w:val="24"/>
                <w:lang w:val="en-US" w:eastAsia="ru-RU"/>
              </w:rPr>
              <w:t>A</w:t>
            </w:r>
            <w:r w:rsidRPr="00617838">
              <w:rPr>
                <w:rFonts w:eastAsia="Times New Roman"/>
                <w:szCs w:val="24"/>
                <w:lang w:eastAsia="ru-RU"/>
              </w:rPr>
              <w:t xml:space="preserve">. </w:t>
            </w:r>
            <w:r w:rsidRPr="00CE0BCE">
              <w:rPr>
                <w:rFonts w:eastAsia="Times New Roman"/>
                <w:szCs w:val="24"/>
                <w:lang w:val="en-US" w:eastAsia="ru-RU"/>
              </w:rPr>
              <w:t>Fernandes</w:t>
            </w:r>
            <w:r w:rsidRPr="00617838">
              <w:rPr>
                <w:rFonts w:eastAsia="Times New Roman"/>
                <w:szCs w:val="24"/>
                <w:lang w:eastAsia="ru-RU"/>
              </w:rPr>
              <w:t xml:space="preserve">, </w:t>
            </w:r>
            <w:r w:rsidRPr="00CE0BCE">
              <w:rPr>
                <w:rFonts w:eastAsia="Times New Roman"/>
                <w:szCs w:val="24"/>
                <w:lang w:val="en-US" w:eastAsia="ru-RU"/>
              </w:rPr>
              <w:t>J</w:t>
            </w:r>
            <w:r w:rsidRPr="00617838">
              <w:rPr>
                <w:rFonts w:eastAsia="Times New Roman"/>
                <w:szCs w:val="24"/>
                <w:lang w:eastAsia="ru-RU"/>
              </w:rPr>
              <w:t xml:space="preserve">. </w:t>
            </w:r>
            <w:r w:rsidRPr="00CE0BCE">
              <w:rPr>
                <w:rFonts w:eastAsia="Times New Roman"/>
                <w:szCs w:val="24"/>
                <w:lang w:val="en-US" w:eastAsia="ru-RU"/>
              </w:rPr>
              <w:t>Ferreira</w:t>
            </w:r>
            <w:r w:rsidRPr="00617838">
              <w:rPr>
                <w:rFonts w:eastAsia="Times New Roman"/>
                <w:szCs w:val="24"/>
                <w:lang w:eastAsia="ru-RU"/>
              </w:rPr>
              <w:t xml:space="preserve"> </w:t>
            </w:r>
            <w:r w:rsidRPr="00CE0BCE">
              <w:rPr>
                <w:szCs w:val="24"/>
                <w:highlight w:val="yellow"/>
                <w:lang w:val="en-US"/>
              </w:rPr>
              <w:fldChar w:fldCharType="begin"/>
            </w:r>
            <w:r w:rsidR="00AE44BA">
              <w:rPr>
                <w:szCs w:val="24"/>
                <w:highlight w:val="yellow"/>
              </w:rPr>
              <w:instrText xml:space="preserve"> ADDIN ZOTERO_ITEM CSL_CITATION {"citationID":"anadfhkk6u","properties":{"formattedCitation":"[9]","plainCitation":"[9]","noteIndex":0},"citationItems":[{"id":"jo0Cjpe8/k5cvSadA","uris":["http://www.mendeley.com/documents/?uuid=3eac3b99-2a8f-4c40-8708-ae508d3f4114"],"itemData":{"DOI":"10.1007/s11846-020-00437-6","ISSN":"1863-6683","author":[{"dropping-particle":"","family":"Fernandes","given":"Ana Joana","non-dropping-particle":"","parse-names":false,"suffix":""},{"dropping-particle":"","family":"Ferreira","given":"Joao J.","non-dropping-particle":"","parse-names":false,"suffix":""}],"container-title":"Review of Managerial Science","id":"zUTERPJI/4biuddgl","issue":"1","issued":{"date-parts":[["2022","1","8"]]},"note":"2","page":"189-247","title":"Entrepreneurial ecosystems and networks: a literature review and research agenda","type":"article-journal","volume":"16"}}],"schema":"https://github.com/citation-style-language/schema/raw/master/csl-citation.json"} </w:instrText>
            </w:r>
            <w:r w:rsidRPr="00CE0BCE">
              <w:rPr>
                <w:szCs w:val="24"/>
                <w:highlight w:val="yellow"/>
                <w:lang w:val="en-US"/>
              </w:rPr>
              <w:fldChar w:fldCharType="separate"/>
            </w:r>
            <w:r w:rsidR="009C6DCA" w:rsidRPr="009C6DCA">
              <w:t>[9]</w:t>
            </w:r>
            <w:r w:rsidRPr="00CE0BCE">
              <w:rPr>
                <w:szCs w:val="24"/>
                <w:highlight w:val="yellow"/>
                <w:lang w:val="en-US"/>
              </w:rPr>
              <w:fldChar w:fldCharType="end"/>
            </w:r>
          </w:p>
        </w:tc>
        <w:tc>
          <w:tcPr>
            <w:tcW w:w="2047" w:type="pct"/>
          </w:tcPr>
          <w:p w14:paraId="09B28209" w14:textId="77777777" w:rsidR="00CB559A" w:rsidRPr="00CE0BCE" w:rsidRDefault="00CB559A" w:rsidP="002F33D0">
            <w:pPr>
              <w:tabs>
                <w:tab w:val="left" w:pos="1064"/>
              </w:tabs>
              <w:ind w:firstLine="0"/>
              <w:jc w:val="both"/>
              <w:rPr>
                <w:szCs w:val="24"/>
              </w:rPr>
            </w:pPr>
            <w:r w:rsidRPr="00CE0BCE">
              <w:rPr>
                <w:szCs w:val="24"/>
              </w:rPr>
              <w:t>Потенциал как комплекс ресурсов и возможностей, влияющих на инновационную устойчивость фирмы.</w:t>
            </w:r>
          </w:p>
        </w:tc>
        <w:tc>
          <w:tcPr>
            <w:tcW w:w="1891" w:type="pct"/>
          </w:tcPr>
          <w:p w14:paraId="2033392F" w14:textId="77777777" w:rsidR="00CB559A" w:rsidRPr="00CE0BCE" w:rsidRDefault="00CB559A" w:rsidP="002F33D0">
            <w:pPr>
              <w:tabs>
                <w:tab w:val="left" w:pos="1064"/>
              </w:tabs>
              <w:ind w:firstLine="0"/>
              <w:jc w:val="both"/>
              <w:rPr>
                <w:szCs w:val="24"/>
              </w:rPr>
            </w:pPr>
            <w:r w:rsidRPr="00CE0BCE">
              <w:rPr>
                <w:szCs w:val="24"/>
              </w:rPr>
              <w:t>Активность как частота и масштаб внедрения инноваций, связанная с экономической отдачей и экосистемной динамикой.</w:t>
            </w:r>
          </w:p>
        </w:tc>
      </w:tr>
      <w:tr w:rsidR="00DF34C6" w:rsidRPr="00CE0BCE" w14:paraId="74CAC3C9" w14:textId="77777777" w:rsidTr="00DF34C6">
        <w:tc>
          <w:tcPr>
            <w:tcW w:w="5000" w:type="pct"/>
            <w:gridSpan w:val="3"/>
          </w:tcPr>
          <w:p w14:paraId="07AF8D42" w14:textId="52E9F02F" w:rsidR="00DF34C6" w:rsidRPr="00CE0BCE" w:rsidRDefault="00A40C4F" w:rsidP="00460483">
            <w:pPr>
              <w:tabs>
                <w:tab w:val="left" w:pos="1064"/>
              </w:tabs>
              <w:ind w:firstLine="459"/>
              <w:jc w:val="both"/>
              <w:rPr>
                <w:szCs w:val="24"/>
                <w:lang w:val="kk-KZ"/>
              </w:rPr>
            </w:pPr>
            <w:r>
              <w:rPr>
                <w:szCs w:val="24"/>
                <w:lang w:val="kk-KZ"/>
              </w:rPr>
              <w:t>Примечание – С</w:t>
            </w:r>
            <w:r w:rsidR="00DF34C6" w:rsidRPr="00CE0BCE">
              <w:rPr>
                <w:szCs w:val="24"/>
                <w:lang w:val="kk-KZ"/>
              </w:rPr>
              <w:t>оставлено автором</w:t>
            </w:r>
          </w:p>
        </w:tc>
      </w:tr>
    </w:tbl>
    <w:p w14:paraId="050A3DA2" w14:textId="77777777" w:rsidR="00EE6CB4" w:rsidRPr="00CE0BCE" w:rsidRDefault="00EE6CB4" w:rsidP="002F33D0">
      <w:pPr>
        <w:tabs>
          <w:tab w:val="left" w:pos="1064"/>
        </w:tabs>
        <w:spacing w:after="0" w:line="240" w:lineRule="auto"/>
        <w:ind w:firstLine="567"/>
        <w:jc w:val="both"/>
        <w:rPr>
          <w:rFonts w:ascii="Times New Roman" w:hAnsi="Times New Roman" w:cs="Times New Roman"/>
          <w:sz w:val="28"/>
          <w:szCs w:val="28"/>
          <w:lang w:val="kk-KZ"/>
        </w:rPr>
      </w:pPr>
    </w:p>
    <w:p w14:paraId="74EB20A1" w14:textId="7DCE7303" w:rsidR="006348A0" w:rsidRPr="00CE0BCE" w:rsidRDefault="006348A0"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 xml:space="preserve">Результаты проведённого анализа свидетельствуют о наличии как общих, так и дифференцированных черт в трактовке понятий «инновационный потенциал» и «инновационная активность» в современной научной литературе. Современные исследователи сходятся во мнении, что инновационный потенциал представляет собой совокупность внутренних ресурсов, возможностей и условий, обеспечивающих способность предприятия к восприятию, генерации и реализации новшеств. Так, в определениях </w:t>
      </w:r>
      <w:r w:rsidR="00F21665" w:rsidRPr="00CE0BCE">
        <w:rPr>
          <w:rFonts w:ascii="Times New Roman" w:hAnsi="Times New Roman" w:cs="Times New Roman"/>
          <w:sz w:val="28"/>
          <w:szCs w:val="28"/>
          <w:lang w:val="kk-KZ"/>
        </w:rPr>
        <w:t xml:space="preserve">И.В. </w:t>
      </w:r>
      <w:r w:rsidRPr="00CE0BCE">
        <w:rPr>
          <w:rFonts w:ascii="Times New Roman" w:hAnsi="Times New Roman" w:cs="Times New Roman"/>
          <w:sz w:val="28"/>
          <w:szCs w:val="28"/>
          <w:lang w:val="kk-KZ"/>
        </w:rPr>
        <w:t>Писарева</w:t>
      </w:r>
      <w:r w:rsidR="00F21665" w:rsidRPr="00CE0BCE">
        <w:rPr>
          <w:rFonts w:ascii="Times New Roman" w:hAnsi="Times New Roman" w:cs="Times New Roman"/>
          <w:sz w:val="28"/>
          <w:szCs w:val="28"/>
        </w:rPr>
        <w:t xml:space="preserve"> </w:t>
      </w:r>
      <w:r w:rsidR="00F21665" w:rsidRPr="00CE0BCE">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teodili3i","properties":{"formattedCitation":"[21]","plainCitation":"[21]","noteIndex":0},"citationItems":[{"id":"jo0Cjpe8/7ArGJv1i","uris":["http://www.mendeley.com/documents/?uuid=5854fd7a-29c6-4675-b392-325f8a10e09c"],"itemData":{"DOI":"10.24147/1812-3988.2025.23(1).107-115","author":[{"dropping-particle":"","family":"Писарев","given":"И. В.","non-dropping-particle":"","parse-names":false,"suffix":""}],"container-title":"Вестник Омского университета. Серия «Экономика»","id":"zUTERPJI/e4SVVF53","issue":"1","issued":{"date-parts":[["2025"]]},"page":"107-115","title":"ВЗАИМОСВЯЗЬ ПОНЯТИЙ «ИННОВАЦИОННАЯ АКТИВНОСТЬ» И «ИННОВАЦИОННАЯ ДЕЯТЕЛЬНОСТЬ»","type":"article-journal","volume":"23"}}],"schema":"https://github.com/citation-style-language/schema/raw/master/csl-citation.json"} </w:instrText>
      </w:r>
      <w:r w:rsidR="00F21665"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[21]</w:t>
      </w:r>
      <w:r w:rsidR="00F21665" w:rsidRPr="00CE0BCE">
        <w:rPr>
          <w:rFonts w:ascii="Times New Roman" w:hAnsi="Times New Roman" w:cs="Times New Roman"/>
          <w:sz w:val="28"/>
          <w:szCs w:val="28"/>
          <w:lang w:val="kk-KZ"/>
        </w:rPr>
        <w:fldChar w:fldCharType="end"/>
      </w:r>
      <w:r w:rsidR="00F21665" w:rsidRPr="00CE0BCE">
        <w:rPr>
          <w:rFonts w:ascii="Times New Roman" w:hAnsi="Times New Roman" w:cs="Times New Roman"/>
          <w:sz w:val="28"/>
          <w:szCs w:val="28"/>
          <w:lang w:val="kk-KZ"/>
        </w:rPr>
        <w:t xml:space="preserve"> </w:t>
      </w:r>
      <w:r w:rsidRPr="00CE0BCE">
        <w:rPr>
          <w:rFonts w:ascii="Times New Roman" w:hAnsi="Times New Roman" w:cs="Times New Roman"/>
          <w:sz w:val="28"/>
          <w:szCs w:val="28"/>
          <w:lang w:val="kk-KZ"/>
        </w:rPr>
        <w:t xml:space="preserve">и </w:t>
      </w:r>
      <w:r w:rsidR="00F21665" w:rsidRPr="00CE0BCE">
        <w:rPr>
          <w:rFonts w:ascii="Times New Roman" w:hAnsi="Times New Roman" w:cs="Times New Roman"/>
          <w:sz w:val="28"/>
          <w:szCs w:val="28"/>
          <w:lang w:val="kk-KZ"/>
        </w:rPr>
        <w:t xml:space="preserve">И.С. </w:t>
      </w:r>
      <w:r w:rsidRPr="00CE0BCE">
        <w:rPr>
          <w:rFonts w:ascii="Times New Roman" w:hAnsi="Times New Roman" w:cs="Times New Roman"/>
          <w:sz w:val="28"/>
          <w:szCs w:val="28"/>
          <w:lang w:val="kk-KZ"/>
        </w:rPr>
        <w:t>Андрошиной</w:t>
      </w:r>
      <w:r w:rsidR="00F21665" w:rsidRPr="00CE0BCE">
        <w:rPr>
          <w:rFonts w:ascii="Times New Roman" w:hAnsi="Times New Roman" w:cs="Times New Roman"/>
          <w:sz w:val="28"/>
          <w:szCs w:val="28"/>
        </w:rPr>
        <w:t xml:space="preserve"> </w:t>
      </w:r>
      <w:r w:rsidR="00F21665" w:rsidRPr="00CE0BCE">
        <w:rPr>
          <w:rFonts w:ascii="Times New Roman" w:hAnsi="Times New Roman" w:cs="Times New Roman"/>
          <w:sz w:val="28"/>
          <w:szCs w:val="28"/>
          <w:lang w:val="kk-KZ"/>
        </w:rPr>
        <w:t xml:space="preserve">и др. </w:t>
      </w:r>
      <w:r w:rsidR="00F21665" w:rsidRPr="00CE0BCE">
        <w:rPr>
          <w:rFonts w:ascii="Times New Roman" w:hAnsi="Times New Roman" w:cs="Times New Roman"/>
          <w:sz w:val="28"/>
          <w:szCs w:val="28"/>
          <w:lang w:val="en-US"/>
        </w:rPr>
        <w:fldChar w:fldCharType="begin"/>
      </w:r>
      <w:r w:rsidR="00AE44BA">
        <w:rPr>
          <w:rFonts w:ascii="Times New Roman" w:hAnsi="Times New Roman" w:cs="Times New Roman"/>
          <w:sz w:val="28"/>
          <w:szCs w:val="28"/>
        </w:rPr>
        <w:instrText xml:space="preserve"> ADDIN ZOTERO_ITEM CSL_CITATION {"citationID":"af45h8b24k","properties":{"formattedCitation":"[22]","plainCitation":"[22]","noteIndex":0},"citationItems":[{"id":"jo0Cjpe8/l1Q4IPJP","uris":["http://www.mendeley.com/documents/?uuid=06c43d85-d1be-435b-b30f-482a47f1b1dc"],"itemData":{"author":[{"dropping-particle":"","family":"Андрошина","given":"И. С.","non-dropping-particle":"","parse-names":false,"suffix":""},{"dropping-particle":"","family":"Зотова","given":"Д. В.","non-dropping-particle":"","parse-names":false,"suffix":""},{"dropping-particle":"","family":"Каранфил","given":"Д. Х.","non-dropping-particle":"","parse-names":false,"suffix":""},{"dropping-particle":"","family":"Белова","given":"А. А.","non-dropping-particle":"","parse-names":false,"suffix":""}],"container-title":"Вестник Академии знаний","id":"zUTERPJI/Zx5PYre8","issue":"5","issued":{"date-parts":[["2024"]]},"page":"52-55","title":"ИННОВАЦИОННЫЙ ПОТЕНЦИАЛ ЭНЕРГЕТИЧЕСКИХ КОМПАНИЙ КАК ФАКТОР РОСТА ИХ СТОИМОСТИ","type":"article-journal","volume":"65"}}],"schema":"https://github.com/citation-style-language/schema/raw/master/csl-citation.json"} </w:instrText>
      </w:r>
      <w:r w:rsidR="00F21665" w:rsidRPr="00CE0BCE">
        <w:rPr>
          <w:rFonts w:ascii="Times New Roman" w:hAnsi="Times New Roman" w:cs="Times New Roman"/>
          <w:sz w:val="28"/>
          <w:szCs w:val="28"/>
          <w:lang w:val="en-US"/>
        </w:rPr>
        <w:fldChar w:fldCharType="separate"/>
      </w:r>
      <w:r w:rsidR="009C6DCA" w:rsidRPr="009C6DCA">
        <w:rPr>
          <w:rFonts w:ascii="Times New Roman" w:hAnsi="Times New Roman" w:cs="Times New Roman"/>
          <w:sz w:val="28"/>
        </w:rPr>
        <w:t>[22]</w:t>
      </w:r>
      <w:r w:rsidR="00F21665" w:rsidRPr="00CE0BCE">
        <w:rPr>
          <w:rFonts w:ascii="Times New Roman" w:hAnsi="Times New Roman" w:cs="Times New Roman"/>
          <w:sz w:val="28"/>
          <w:szCs w:val="28"/>
          <w:lang w:val="en-US"/>
        </w:rPr>
        <w:fldChar w:fldCharType="end"/>
      </w:r>
      <w:r w:rsidRPr="00CE0BCE">
        <w:rPr>
          <w:rFonts w:ascii="Times New Roman" w:hAnsi="Times New Roman" w:cs="Times New Roman"/>
          <w:sz w:val="28"/>
          <w:szCs w:val="28"/>
          <w:lang w:val="kk-KZ"/>
        </w:rPr>
        <w:t xml:space="preserve"> акцент делается на наличии ресурсной базы </w:t>
      </w:r>
      <w:r w:rsidR="009D20AE">
        <w:rPr>
          <w:rFonts w:ascii="Times New Roman" w:hAnsi="Times New Roman" w:cs="Times New Roman"/>
          <w:sz w:val="28"/>
          <w:szCs w:val="28"/>
          <w:lang w:val="kk-KZ"/>
        </w:rPr>
        <w:t>–</w:t>
      </w:r>
      <w:r w:rsidRPr="00CE0BCE">
        <w:rPr>
          <w:rFonts w:ascii="Times New Roman" w:hAnsi="Times New Roman" w:cs="Times New Roman"/>
          <w:sz w:val="28"/>
          <w:szCs w:val="28"/>
          <w:lang w:val="kk-KZ"/>
        </w:rPr>
        <w:t xml:space="preserve"> научной, технической, интеллектуальной и финансовой. </w:t>
      </w:r>
      <w:r w:rsidR="00F21665" w:rsidRPr="00CE0BCE">
        <w:rPr>
          <w:rFonts w:ascii="Times New Roman" w:hAnsi="Times New Roman" w:cs="Times New Roman"/>
          <w:sz w:val="28"/>
          <w:szCs w:val="28"/>
          <w:lang w:val="kk-KZ"/>
        </w:rPr>
        <w:t xml:space="preserve">ОЭСР </w:t>
      </w:r>
      <w:r w:rsidR="007D6EA9" w:rsidRPr="00CE0BCE">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26vreche12","properties":{"formattedCitation":"[25]","plainCitation":"[25]","noteIndex":0},"citationItems":[{"id":"jo0Cjpe8/JozPkCmK","uris":["http://www.mendeley.com/documents/?uuid=f6f6a9f5-5537-4afa-88d2-4c87c86dada4"],"itemData":{"ISSN":"24134996","abstract":"Introduction. In order to improve innovation policy given a clear definition of the correlation between innovation-driven development indicators and GDP, it is necessary to critically assess the influence of the innovation factor on the country's economic growth and an increase in its competitiveness. Problem Statement. Modern conditions of the global economic system development require the constant adjustment and improvement of innovation strategies given new civilizational challenges, as well as the intensification of R&amp;D activities of national economies. This highlighted the problem of scholarly research on the influence of innovation andthe determination of correlation between indicators of innovation-driven development and GDP. Purpose. The research is based on the proposed explanatory model built with the use of correlation-regression analysis, which demonstrates the influence of the innovation factor on GDP growth. The article contains forecast estimates of GDP in terms of years, depending on changes in innovation-driven development indicators based on multiple regression analysis, as well as practical recommendations for increasing the innovation capacity of Ukraine. Material and Methods. To identify the impact of innovation on GDP growth, a mathematical model has been built with the use of correlation-regression analysis; to demonstrate and visualize the results of the study we have used tabular and graphical methods. Results. To improve the strategy of innovation-driven development of Ukraine, an economic-mathematical model based on multiple regression analysis has been developed. It demonstrates the influence of the innovation factor on changes in GDP. This model helps to understand the functioning and development of innovation processes, to reveal the causal and functional relationships of individual indicators of innovation-driven economic development, as well as to determine the required level of innovation factor by maximizing the hidden innovation capacity. Conclusions. The basic of the strategic course, its basic principle should be the implementation of government policy aiming at choosing an innovation strategy of structural transformation of Ukraine as a competitive high-tech state. This strategy requires the use of domestic R&amp;D potential and makes its contribution to the innovation-driven development of the national economy a crucial factor.","author":[{"dropping-particle":"","family":"OECD","given":"","non-dropping-particle":"","parse-names":false,"suffix":""}],"container-title":"OECD Competition policy roundtable background note","id":"zUTERPJI/0huPbwwY","issue":"5","issued":{"date-parts":[["2022"]]},"number-of-pages":"3-15","title":"Competition and innovation: A theoretical perspective","type":"report","volume":"18"}}],"schema":"https://github.com/citation-style-language/schema/raw/master/csl-citation.json"} </w:instrText>
      </w:r>
      <w:r w:rsidR="007D6EA9"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[25]</w:t>
      </w:r>
      <w:r w:rsidR="007D6EA9" w:rsidRPr="00CE0BCE">
        <w:rPr>
          <w:rFonts w:ascii="Times New Roman" w:hAnsi="Times New Roman" w:cs="Times New Roman"/>
          <w:sz w:val="28"/>
          <w:szCs w:val="28"/>
          <w:lang w:val="kk-KZ"/>
        </w:rPr>
        <w:fldChar w:fldCharType="end"/>
      </w:r>
      <w:r w:rsidR="007D6EA9" w:rsidRPr="00CE0BCE">
        <w:rPr>
          <w:rFonts w:ascii="Times New Roman" w:hAnsi="Times New Roman" w:cs="Times New Roman"/>
          <w:sz w:val="28"/>
          <w:szCs w:val="28"/>
          <w:lang w:val="kk-KZ"/>
        </w:rPr>
        <w:t xml:space="preserve"> </w:t>
      </w:r>
      <w:r w:rsidRPr="00CE0BCE">
        <w:rPr>
          <w:rFonts w:ascii="Times New Roman" w:hAnsi="Times New Roman" w:cs="Times New Roman"/>
          <w:sz w:val="28"/>
          <w:szCs w:val="28"/>
          <w:lang w:val="kk-KZ"/>
        </w:rPr>
        <w:t xml:space="preserve">подчёркивает наличие организационной готовности и нематериальных активов, ещё не трансформированных в инновационные результаты, что сближает этот подход с представлениями </w:t>
      </w:r>
      <w:r w:rsidR="00F21665" w:rsidRPr="00CE0BCE">
        <w:rPr>
          <w:rFonts w:ascii="Times New Roman" w:hAnsi="Times New Roman" w:cs="Times New Roman"/>
          <w:sz w:val="28"/>
          <w:szCs w:val="28"/>
          <w:lang w:val="kk-KZ"/>
        </w:rPr>
        <w:t xml:space="preserve">T.O. </w:t>
      </w:r>
      <w:r w:rsidRPr="00CE0BCE">
        <w:rPr>
          <w:rFonts w:ascii="Times New Roman" w:hAnsi="Times New Roman" w:cs="Times New Roman"/>
          <w:sz w:val="28"/>
          <w:szCs w:val="28"/>
          <w:lang w:val="kk-KZ"/>
        </w:rPr>
        <w:t xml:space="preserve">Толстых и </w:t>
      </w:r>
      <w:r w:rsidR="00F21665" w:rsidRPr="00CE0BCE">
        <w:rPr>
          <w:rFonts w:ascii="Times New Roman" w:hAnsi="Times New Roman" w:cs="Times New Roman"/>
          <w:sz w:val="28"/>
          <w:szCs w:val="28"/>
          <w:lang w:val="kk-KZ"/>
        </w:rPr>
        <w:t xml:space="preserve">Ф.O. </w:t>
      </w:r>
      <w:r w:rsidRPr="00CE0BCE">
        <w:rPr>
          <w:rFonts w:ascii="Times New Roman" w:hAnsi="Times New Roman" w:cs="Times New Roman"/>
          <w:sz w:val="28"/>
          <w:szCs w:val="28"/>
          <w:lang w:val="kk-KZ"/>
        </w:rPr>
        <w:t xml:space="preserve">Клюки </w:t>
      </w:r>
      <w:r w:rsidR="007D6EA9" w:rsidRPr="00CE0BCE">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1a48asaqhv","properties":{"formattedCitation":"[26]","plainCitation":"[26]","noteIndex":0},"citationItems":[{"id":"jo0Cjpe8/rklPaQ6t","uris":["http://www.mendeley.com/documents/?uuid=6575bc3e-9638-49d9-bd1d-d98941381a2a"],"itemData":{"DOI":"10.21685/2227-8486-2022-1-7","ISSN":"22278486","author":[{"dropping-particle":"","family":"Толстых","given":"T.O.","non-dropping-particle":"","parse-names":false,"suffix":""},{"dropping-particle":"","family":"Клюка","given":"Ф.O.","non-dropping-particle":"","parse-names":false,"suffix":""}],"container-title":"Модели, системы, сети в экономике, технике, природе и обществе","id":"zUTERPJI/TZE3uDWg","issue":"1","issued":{"date-parts":[["2022"]]},"page":"63-72","title":"ИННОВАЦИОННЫЙ ПОТЕЦИАЛ ПРОЕКТООРИЕНТИРОВАННЫХ ПРЕДПРИЯТИЙ","type":"article-journal"}}],"schema":"https://github.com/citation-style-language/schema/raw/master/csl-citation.json"} </w:instrText>
      </w:r>
      <w:r w:rsidR="007D6EA9"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[26]</w:t>
      </w:r>
      <w:r w:rsidR="007D6EA9" w:rsidRPr="00CE0BCE">
        <w:rPr>
          <w:rFonts w:ascii="Times New Roman" w:hAnsi="Times New Roman" w:cs="Times New Roman"/>
          <w:sz w:val="28"/>
          <w:szCs w:val="28"/>
          <w:lang w:val="kk-KZ"/>
        </w:rPr>
        <w:fldChar w:fldCharType="end"/>
      </w:r>
      <w:r w:rsidR="007D6EA9" w:rsidRPr="00CE0BCE">
        <w:rPr>
          <w:rFonts w:ascii="Times New Roman" w:hAnsi="Times New Roman" w:cs="Times New Roman"/>
          <w:sz w:val="28"/>
          <w:szCs w:val="28"/>
          <w:lang w:val="kk-KZ"/>
        </w:rPr>
        <w:t xml:space="preserve"> </w:t>
      </w:r>
      <w:r w:rsidRPr="00CE0BCE">
        <w:rPr>
          <w:rFonts w:ascii="Times New Roman" w:hAnsi="Times New Roman" w:cs="Times New Roman"/>
          <w:sz w:val="28"/>
          <w:szCs w:val="28"/>
          <w:lang w:val="kk-KZ"/>
        </w:rPr>
        <w:t xml:space="preserve">о структурированности потенциала проектно-ориентированных предприятий. В зарубежных исследованиях </w:t>
      </w:r>
      <w:r w:rsidR="007D6EA9" w:rsidRPr="00CE0BCE">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21v5uuu87m","properties":{"formattedCitation":"[9,16]","plainCitation":"[9,16]","noteIndex":0},"citationItems":[{"id":"jo0Cjpe8/JVhucU7A","uris":["http://www.mendeley.com/documents/?uuid=c2814128-ed6b-4a06-992a-f47098ebe34b"],"itemData":{"DOI":"10.1016/j.techfore.2019.119791","ISSN":"00401625","author":[{"dropping-particle":"","family":"Elia","given":"Gianluca","non-dropping-particle":"","parse-names":false,"suffix":""},{"dropping-particle":"","family":"Margherita","given":"Alessandro","non-dropping-particle":"","parse-names":false,"suffix":""},{"dropping-particle":"","family":"Passiante","given":"Giuseppina","non-dropping-particle":"","parse-names":false,"suffix":""}],"container-title":"Technological Forecasting and Social Change","id":"zUTERPJI/Al4Zlcgl","issued":{"date-parts":[["2020","1"]]},"page":"119791","title":"Digital entrepreneurship ecosystem: How digital technologies and collective intelligence are reshaping the entrepreneurial process","type":"article-journal","volume":"150"}},{"id":"jo0Cjpe8/k5cvSadA","uris":["http://www.mendeley.com/documents/?uuid=3eac3b99-2a8f-4c40-8708-ae508d3f4114"],"itemData":{"DOI":"10.1007/s11846-020-00437-6","ISSN":"1863-6683","author":[{"dropping-particle":"","family":"Fernandes","given":"Ana Joana","non-dropping-particle":"","parse-names":false,"suffix":""},{"dropping-particle":"","family":"Ferreira","given":"Joao J.","non-dropping-particle":"","parse-names":false,"suffix":""}],"container-title":"Review of Managerial Science","id":"zUTERPJI/4biuddgl","issue":"1","issued":{"date-parts":[["2022","1","8"]]},"note":"2","page":"189-247","title":"Entrepreneurial ecosystems and networks: a literature review and research agenda","type":"article-journal","volume":"16"}}],"schema":"https://github.com/citation-style-language/schema/raw/master/csl-citation.json"} </w:instrText>
      </w:r>
      <w:r w:rsidR="007D6EA9"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[9,16]</w:t>
      </w:r>
      <w:r w:rsidR="007D6EA9" w:rsidRPr="00CE0BCE">
        <w:rPr>
          <w:rFonts w:ascii="Times New Roman" w:hAnsi="Times New Roman" w:cs="Times New Roman"/>
          <w:sz w:val="28"/>
          <w:szCs w:val="28"/>
          <w:lang w:val="kk-KZ"/>
        </w:rPr>
        <w:fldChar w:fldCharType="end"/>
      </w:r>
      <w:r w:rsidR="007C7BEB" w:rsidRPr="00CE0BCE">
        <w:rPr>
          <w:rFonts w:ascii="Times New Roman" w:hAnsi="Times New Roman" w:cs="Times New Roman"/>
          <w:sz w:val="28"/>
          <w:szCs w:val="28"/>
          <w:lang w:val="kk-KZ"/>
        </w:rPr>
        <w:t xml:space="preserve"> </w:t>
      </w:r>
      <w:r w:rsidRPr="00CE0BCE">
        <w:rPr>
          <w:rFonts w:ascii="Times New Roman" w:hAnsi="Times New Roman" w:cs="Times New Roman"/>
          <w:sz w:val="28"/>
          <w:szCs w:val="28"/>
          <w:lang w:val="kk-KZ"/>
        </w:rPr>
        <w:t>особое внимание уделяется связи инновационного потенциала с цифровой трансформацией, устойчивостью фирмы и системным подходом к инновациям.</w:t>
      </w:r>
    </w:p>
    <w:p w14:paraId="7B4FA3D7" w14:textId="5DB5FE79" w:rsidR="006348A0" w:rsidRPr="00CE0BCE" w:rsidRDefault="006348A0"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 xml:space="preserve">В то же время инновационная активность рассматривается как проявление реализации заложенного потенциала </w:t>
      </w:r>
      <w:r w:rsidR="009D20AE">
        <w:rPr>
          <w:rFonts w:ascii="Times New Roman" w:hAnsi="Times New Roman" w:cs="Times New Roman"/>
          <w:sz w:val="28"/>
          <w:szCs w:val="28"/>
          <w:lang w:val="kk-KZ"/>
        </w:rPr>
        <w:t>–</w:t>
      </w:r>
      <w:r w:rsidRPr="00CE0BCE">
        <w:rPr>
          <w:rFonts w:ascii="Times New Roman" w:hAnsi="Times New Roman" w:cs="Times New Roman"/>
          <w:sz w:val="28"/>
          <w:szCs w:val="28"/>
          <w:lang w:val="kk-KZ"/>
        </w:rPr>
        <w:t xml:space="preserve"> в виде конкретных организационных действий, направленных на внедрение новых продуктов, процессов, технологий. По мнению </w:t>
      </w:r>
      <w:r w:rsidR="007D6EA9" w:rsidRPr="00CE0BCE">
        <w:rPr>
          <w:rFonts w:ascii="Times New Roman" w:hAnsi="Times New Roman" w:cs="Times New Roman"/>
          <w:sz w:val="28"/>
          <w:szCs w:val="28"/>
          <w:lang w:val="kk-KZ"/>
        </w:rPr>
        <w:t>Писарева</w:t>
      </w:r>
      <w:r w:rsidR="00F21665" w:rsidRPr="00CE0BCE">
        <w:rPr>
          <w:rFonts w:ascii="Times New Roman" w:hAnsi="Times New Roman" w:cs="Times New Roman"/>
          <w:sz w:val="28"/>
          <w:szCs w:val="28"/>
          <w:lang w:val="kk-KZ"/>
        </w:rPr>
        <w:t xml:space="preserve"> </w:t>
      </w:r>
      <w:r w:rsidR="00F21665" w:rsidRPr="00CE0BCE">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uaolvcgh1","properties":{"formattedCitation":"[21]","plainCitation":"[21]","noteIndex":0},"citationItems":[{"id":"jo0Cjpe8/7ArGJv1i","uris":["http://www.mendeley.com/documents/?uuid=5854fd7a-29c6-4675-b392-325f8a10e09c"],"itemData":{"DOI":"10.24147/1812-3988.2025.23(1).107-115","author":[{"dropping-particle":"","family":"Писарев","given":"И. В.","non-dropping-particle":"","parse-names":false,"suffix":""}],"container-title":"Вестник Омского университета. Серия «Экономика»","id":"zUTERPJI/e4SVVF53","issue":"1","issued":{"date-parts":[["2025"]]},"page":"107-115","title":"ВЗАИМОСВЯЗЬ ПОНЯТИЙ «ИННОВАЦИОННАЯ АКТИВНОСТЬ» И «ИННОВАЦИОННАЯ ДЕЯТЕЛЬНОСТЬ»","type":"article-journal","volume":"23"}}],"schema":"https://github.com/citation-style-language/schema/raw/master/csl-citation.json"} </w:instrText>
      </w:r>
      <w:r w:rsidR="00F21665"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[21]</w:t>
      </w:r>
      <w:r w:rsidR="00F21665"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 xml:space="preserve"> и Андрошиной и др. </w:t>
      </w:r>
      <w:r w:rsidR="00F21665" w:rsidRPr="00CE0BCE">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2qhlsd6pgk","properties":{"formattedCitation":"[22]","plainCitation":"[22]","noteIndex":0},"citationItems":[{"id":"jo0Cjpe8/l1Q4IPJP","uris":["http://www.mendeley.com/documents/?uuid=06c43d85-d1be-435b-b30f-482a47f1b1dc"],"itemData":{"author":[{"dropping-particle":"","family":"Андрошина","given":"И. С.","non-dropping-particle":"","parse-names":false,"suffix":""},{"dropping-particle":"","family":"Зотова","given":"Д. В.","non-dropping-particle":"","parse-names":false,"suffix":""},{"dropping-particle":"","family":"Каранфил","given":"Д. Х.","non-dropping-particle":"","parse-names":false,"suffix":""},{"dropping-particle":"","family":"Белова","given":"А. А.","non-dropping-particle":"","parse-names":false,"suffix":""}],"container-title":"Вестник Академии знаний","id":"zUTERPJI/Zx5PYre8","issue":"5","issued":{"date-parts":[["2024"]]},"page":"52-55","title":"ИННОВАЦИОННЫЙ ПОТЕНЦИАЛ ЭНЕРГЕТИЧЕСКИХ КОМПАНИЙ КАК ФАКТОР РОСТА ИХ СТОИМОСТИ","type":"article-journal","volume":"65"}}],"schema":"https://github.com/citation-style-language/schema/raw/master/csl-citation.json"} </w:instrText>
      </w:r>
      <w:r w:rsidR="00F21665"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[22]</w:t>
      </w:r>
      <w:r w:rsidR="00F21665"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 xml:space="preserve">, активность выражается через мероприятия и действия, имеющие прикладной инновационный характер. </w:t>
      </w:r>
      <w:r w:rsidR="00F21665" w:rsidRPr="00CE0BCE">
        <w:rPr>
          <w:rFonts w:ascii="Times New Roman" w:hAnsi="Times New Roman" w:cs="Times New Roman"/>
          <w:sz w:val="28"/>
          <w:szCs w:val="28"/>
          <w:lang w:val="kk-KZ"/>
        </w:rPr>
        <w:t xml:space="preserve">ОЭСР </w:t>
      </w:r>
      <w:r w:rsidR="007D6EA9" w:rsidRPr="00CE0BCE">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ronk5scbn","properties":{"formattedCitation":"[25]","plainCitation":"[25]","noteIndex":0},"citationItems":[{"id":"jo0Cjpe8/JozPkCmK","uris":["http://www.mendeley.com/documents/?uuid=f6f6a9f5-5537-4afa-88d2-4c87c86dada4"],"itemData":{"ISSN":"24134996","abstract":"Introduction. In order to improve innovation policy given a clear definition of the correlation between innovation-driven development indicators and GDP, it is necessary to critically assess the influence of the innovation factor on the country's economic growth and an increase in its competitiveness. Problem Statement. Modern conditions of the global economic system development require the constant adjustment and improvement of innovation strategies given new civilizational challenges, as well as the intensification of R&amp;D activities of national economies. This highlighted the problem of scholarly research on the influence of innovation andthe determination of correlation between indicators of innovation-driven development and GDP. Purpose. The research is based on the proposed explanatory model built with the use of correlation-regression analysis, which demonstrates the influence of the innovation factor on GDP growth. The article contains forecast estimates of GDP in terms of years, depending on changes in innovation-driven development indicators based on multiple regression analysis, as well as practical recommendations for increasing the innovation capacity of Ukraine. Material and Methods. To identify the impact of innovation on GDP growth, a mathematical model has been built with the use of correlation-regression analysis; to demonstrate and visualize the results of the study we have used tabular and graphical methods. Results. To improve the strategy of innovation-driven development of Ukraine, an economic-mathematical model based on multiple regression analysis has been developed. It demonstrates the influence of the innovation factor on changes in GDP. This model helps to understand the functioning and development of innovation processes, to reveal the causal and functional relationships of individual indicators of innovation-driven economic development, as well as to determine the required level of innovation factor by maximizing the hidden innovation capacity. Conclusions. The basic of the strategic course, its basic principle should be the implementation of government policy aiming at choosing an innovation strategy of structural transformation of Ukraine as a competitive high-tech state. This strategy requires the use of domestic R&amp;D potential and makes its contribution to the innovation-driven development of the national economy a crucial factor.","author":[{"dropping-particle":"","family":"OECD","given":"","non-dropping-particle":"","parse-names":false,"suffix":""}],"container-title":"OECD Competition policy roundtable background note","id":"zUTERPJI/0huPbwwY","issue":"5","issued":{"date-parts":[["2022"]]},"number-of-pages":"3-15","title":"Competition and innovation: A theoretical perspective","type":"report","volume":"18"}}],"schema":"https://github.com/citation-style-language/schema/raw/master/csl-citation.json"} </w:instrText>
      </w:r>
      <w:r w:rsidR="007D6EA9"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[25]</w:t>
      </w:r>
      <w:r w:rsidR="007D6EA9"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 xml:space="preserve"> описывает её как процесс превращения возможностей в инновационные результаты. </w:t>
      </w:r>
      <w:r w:rsidR="00F21665" w:rsidRPr="00CE0BCE">
        <w:rPr>
          <w:rFonts w:ascii="Times New Roman" w:hAnsi="Times New Roman" w:cs="Times New Roman"/>
          <w:sz w:val="28"/>
          <w:szCs w:val="28"/>
          <w:lang w:val="kk-KZ"/>
        </w:rPr>
        <w:t xml:space="preserve">G. </w:t>
      </w:r>
      <w:r w:rsidRPr="00CE0BCE">
        <w:rPr>
          <w:rFonts w:ascii="Times New Roman" w:hAnsi="Times New Roman" w:cs="Times New Roman"/>
          <w:sz w:val="28"/>
          <w:szCs w:val="28"/>
          <w:lang w:val="kk-KZ"/>
        </w:rPr>
        <w:t xml:space="preserve">Elia и соавт. </w:t>
      </w:r>
      <w:r w:rsidR="007D6EA9" w:rsidRPr="00CE0BCE">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2qv6dl9eo","properties":{"formattedCitation":"[16]","plainCitation":"[16]","noteIndex":0},"citationItems":[{"id":"jo0Cjpe8/JVhucU7A","uris":["http://www.mendeley.com/documents/?uuid=c2814128-ed6b-4a06-992a-f47098ebe34b"],"itemData":{"DOI":"10.1016/j.techfore.2019.119791","ISSN":"00401625","author":[{"dropping-particle":"","family":"Elia","given":"Gianluca","non-dropping-particle":"","parse-names":false,"suffix":""},{"dropping-particle":"","family":"Margherita","given":"Alessandro","non-dropping-particle":"","parse-names":false,"suffix":""},{"dropping-particle":"","family":"Passiante","given":"Giuseppina","non-dropping-particle":"","parse-names":false,"suffix":""}],"container-title":"Technological Forecasting and Social Change","id":"zUTERPJI/Al4Zlcgl","issued":{"date-parts":[["2020","1"]]},"page":"119791","title":"Digital entrepreneurship ecosystem: How digital technologies and collective intelligence are reshaping the entrepreneurial process","type":"article-journal","volume":"150"}}],"schema":"https://github.com/citation-style-language/schema/raw/master/csl-citation.json"} </w:instrText>
      </w:r>
      <w:r w:rsidR="007D6EA9"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[16]</w:t>
      </w:r>
      <w:r w:rsidR="007D6EA9"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 xml:space="preserve"> подчёркивают комплексность действий, направленных на цифровую интеграцию, тогда как</w:t>
      </w:r>
      <w:r w:rsidR="007C7BEB" w:rsidRPr="00CE0BCE">
        <w:rPr>
          <w:rFonts w:ascii="Times New Roman" w:hAnsi="Times New Roman" w:cs="Times New Roman"/>
          <w:sz w:val="28"/>
          <w:szCs w:val="28"/>
          <w:lang w:val="kk-KZ"/>
        </w:rPr>
        <w:t xml:space="preserve"> </w:t>
      </w:r>
      <w:r w:rsidR="00F21665" w:rsidRPr="00CE0BCE">
        <w:rPr>
          <w:rFonts w:ascii="Times New Roman" w:hAnsi="Times New Roman" w:cs="Times New Roman"/>
          <w:sz w:val="28"/>
          <w:szCs w:val="28"/>
          <w:lang w:val="kk-KZ"/>
        </w:rPr>
        <w:t xml:space="preserve">A. Fernandes и J. Ferreira </w:t>
      </w:r>
      <w:r w:rsidR="007D6EA9" w:rsidRPr="00CE0BCE">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jgcn690rs","properties":{"formattedCitation":"[9]","plainCitation":"[9]","noteIndex":0},"citationItems":[{"id":"jo0Cjpe8/k5cvSadA","uris":["http://www.mendeley.com/documents/?uuid=3eac3b99-2a8f-4c40-8708-ae508d3f4114"],"itemData":{"DOI":"10.1007/s11846-020-00437-6","ISSN":"1863-6683","author":[{"dropping-particle":"","family":"Fernandes","given":"Ana Joana","non-dropping-particle":"","parse-names":false,"suffix":""},{"dropping-particle":"","family":"Ferreira","given":"Joao J.","non-dropping-particle":"","parse-names":false,"suffix":""}],"container-title":"Review of Managerial Science","id":"zUTERPJI/4biuddgl","issue":"1","issued":{"date-parts":[["2022","1","8"]]},"note":"2","page":"189-247","title":"Entrepreneurial ecosystems and networks: a literature review and research agenda","type":"article-journal","volume":"16"}}],"schema":"https://github.com/citation-style-language/schema/raw/master/csl-citation.json"} </w:instrText>
      </w:r>
      <w:r w:rsidR="007D6EA9"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[9]</w:t>
      </w:r>
      <w:r w:rsidR="007D6EA9" w:rsidRPr="00CE0BCE">
        <w:rPr>
          <w:rFonts w:ascii="Times New Roman" w:hAnsi="Times New Roman" w:cs="Times New Roman"/>
          <w:sz w:val="28"/>
          <w:szCs w:val="28"/>
          <w:lang w:val="kk-KZ"/>
        </w:rPr>
        <w:fldChar w:fldCharType="end"/>
      </w:r>
      <w:r w:rsidR="007D6EA9" w:rsidRPr="00CE0BCE">
        <w:rPr>
          <w:rFonts w:ascii="Times New Roman" w:hAnsi="Times New Roman" w:cs="Times New Roman"/>
          <w:sz w:val="28"/>
          <w:szCs w:val="28"/>
          <w:lang w:val="kk-KZ"/>
        </w:rPr>
        <w:t xml:space="preserve"> </w:t>
      </w:r>
      <w:r w:rsidRPr="00CE0BCE">
        <w:rPr>
          <w:rFonts w:ascii="Times New Roman" w:hAnsi="Times New Roman" w:cs="Times New Roman"/>
          <w:sz w:val="28"/>
          <w:szCs w:val="28"/>
          <w:lang w:val="kk-KZ"/>
        </w:rPr>
        <w:t>определяют активность через её частоту и связь с экосистемной динамикой и отдачей.</w:t>
      </w:r>
    </w:p>
    <w:p w14:paraId="394D69EA" w14:textId="09ABA68E" w:rsidR="00813042" w:rsidRPr="00CE0BCE" w:rsidRDefault="006C0E4E" w:rsidP="002F33D0">
      <w:pPr>
        <w:tabs>
          <w:tab w:val="left" w:pos="851"/>
        </w:tabs>
        <w:spacing w:after="0" w:line="240" w:lineRule="auto"/>
        <w:ind w:firstLine="567"/>
        <w:jc w:val="both"/>
        <w:rPr>
          <w:rFonts w:ascii="Times New Roman" w:hAnsi="Times New Roman" w:cs="Times New Roman"/>
          <w:sz w:val="28"/>
          <w:szCs w:val="28"/>
          <w:lang w:val="kk-KZ"/>
        </w:rPr>
      </w:pPr>
      <w:r w:rsidRPr="006C0E4E">
        <w:rPr>
          <w:rFonts w:ascii="Times New Roman" w:hAnsi="Times New Roman" w:cs="Times New Roman"/>
          <w:sz w:val="28"/>
          <w:szCs w:val="28"/>
          <w:lang w:val="kk-KZ"/>
        </w:rPr>
        <w:t xml:space="preserve">Таким образом, можно заключить, что инновационный потенциал характеризует относительно устойчивое состояние ресурсной и компетентностной базы предпринимательской структуры, отражая совокупность имеющихся, но не полностью реализованных возможностей, тогда как </w:t>
      </w:r>
      <w:r w:rsidRPr="006C0E4E">
        <w:rPr>
          <w:rFonts w:ascii="Times New Roman" w:hAnsi="Times New Roman" w:cs="Times New Roman"/>
          <w:sz w:val="28"/>
          <w:szCs w:val="28"/>
          <w:lang w:val="kk-KZ"/>
        </w:rPr>
        <w:lastRenderedPageBreak/>
        <w:t>инновационная активность представляет собой динамическое проявление данного потенциала в форме конкретных действий, проектов и внедрений. Между ними прослеживается прямая взаимосвязь: высокий уровень инновационного потенциала формирует предпосылки для инновационной активности, тогда как её низкий уровень может свидетельствовать как о дефиците внутренних ресурсов, так и о наличии институциональных, организационных или управленческих барьеров.</w:t>
      </w:r>
    </w:p>
    <w:p w14:paraId="69E504C1" w14:textId="2953C061" w:rsidR="007D50E7" w:rsidRPr="00CE0BCE" w:rsidRDefault="007D50E7" w:rsidP="002F33D0">
      <w:pPr>
        <w:tabs>
          <w:tab w:val="left" w:pos="851"/>
        </w:tabs>
        <w:spacing w:after="0" w:line="240" w:lineRule="auto"/>
        <w:ind w:firstLine="567"/>
        <w:jc w:val="both"/>
        <w:rPr>
          <w:rFonts w:ascii="Times New Roman" w:hAnsi="Times New Roman" w:cs="Times New Roman"/>
          <w:sz w:val="28"/>
          <w:szCs w:val="28"/>
        </w:rPr>
      </w:pPr>
      <w:r w:rsidRPr="00CE0BCE">
        <w:rPr>
          <w:rFonts w:ascii="Times New Roman" w:hAnsi="Times New Roman" w:cs="Times New Roman"/>
          <w:sz w:val="28"/>
          <w:szCs w:val="28"/>
          <w:lang w:val="kk-KZ"/>
        </w:rPr>
        <w:t>Инновационный потенциал предпринимательской структуры представляет собой интегративную категорию, отражающую совокупные возможности и ресурсы организации к осуществлению и масштабированию инновационной деятельности. Современные научные подходы к раскрытию сущности данного понятия демонстрируют устойчивую тенденцию к его комплексному структурному осмыслению. Исследователи подчеркивают, что инновационный потенциал не ограничивается наличием отдельных видов ресурсов, но представляет собой системно организованное сочетание различных компонентов, взаимосвязанных между собой и ориентированных на достижение инновационного результата</w:t>
      </w:r>
      <w:r w:rsidR="0058093B" w:rsidRPr="00CE0BCE">
        <w:rPr>
          <w:rFonts w:ascii="Times New Roman" w:hAnsi="Times New Roman" w:cs="Times New Roman"/>
          <w:sz w:val="28"/>
          <w:szCs w:val="28"/>
          <w:lang w:val="kk-KZ"/>
        </w:rPr>
        <w:t xml:space="preserve"> </w:t>
      </w:r>
      <w:r w:rsidR="0058093B"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{"citationID":"ahri3h2uk","properties":{"formattedCitation":"[27]","plainCitation":"[27]","noteIndex":0},"citationItems":[{"id":71,"uris":["http://zotero.org/users/16887523/items/IBFYTWXZ"],"itemData":{"id":71,"type":"article-journal","abstract":"Subject. The article discusses the innovation potential of business environment development.\nObjectives. The aim is to explore the innovative capacity of business environment development in the virtual market at the stage of digitalization.\nMethods. The study employs research methods, like comparative, dialectical cognition, scientific abstraction, morphological analysis, synthesis, and theoretical generalization.\nResults. We systematized preferential characteristics of the virtual market, which consist in large-scale opportunities for promoting marketing innovations in the market of goods and services. The paper defines the role of the virtual market, foundations of the formation of business environment, characterizes innovations of virtual markets, considers the main aspects of digitalization of virtual markets, strategies for innovative development, technologies for the development of innovative capacity of business environment in the virtual market.\nConclusions. The digitalization of virtual markets changes the way of doing business, delivering products, and interacting with customers. It requires companies to be flexible, able to adapt quickly to new technologies, and remain competitive. Depending on the degree of readiness, companies need to create and implement various strategies that include transferring customers to the digital space, as well as digital transformation strategies.","container-title":"Economic Analysis: Theory and Practice","DOI":"10.24891/ea.23.9.1687","ISSN":"2073039X, 23118725","issue":"9","journalAbbreviation":"EATP","page":"1687-1699","source":"DOI.org (Crossref)","title":"Innovative potential of business environment development in the virtual market at the digitalization stage","URL":"https://www.fin-izdat.com/journal/analiz/detail.php?ID=81121","volume":"23","author":[{"family":"Azaryan","given":"Elena M."},{"family":"Bessarabov","given":"Vladislav O."},{"family":"Melent'Eva","given":"Oksana V."}],"accessed":{"date-parts":[["2025",11,22]]},"issued":{"date-parts":[["2024",9,30]]}}}],"schema":"https://github.com/citation-style-language/schema/raw/master/csl-citation.json"} </w:instrText>
      </w:r>
      <w:r w:rsidR="0058093B"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[27]</w:t>
      </w:r>
      <w:r w:rsidR="0058093B" w:rsidRPr="00CE0BCE">
        <w:rPr>
          <w:rFonts w:ascii="Times New Roman" w:hAnsi="Times New Roman" w:cs="Times New Roman"/>
          <w:sz w:val="28"/>
          <w:szCs w:val="28"/>
          <w:lang w:val="kk-KZ"/>
        </w:rPr>
        <w:fldChar w:fldCharType="end"/>
      </w:r>
      <w:r w:rsidR="007D6EA9" w:rsidRPr="00CE0BCE">
        <w:rPr>
          <w:rFonts w:ascii="Times New Roman" w:hAnsi="Times New Roman" w:cs="Times New Roman"/>
          <w:sz w:val="28"/>
          <w:szCs w:val="28"/>
        </w:rPr>
        <w:t>.</w:t>
      </w:r>
    </w:p>
    <w:p w14:paraId="3C0EF62B" w14:textId="444C3FE1" w:rsidR="0043713D" w:rsidRPr="00CE0BCE" w:rsidRDefault="00E63CB4"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В научной литературе отсутствует единая трактовка структуры инновационного потенциала, что обусловлено сложностью и многокомпонентностью самого явления. Различные авторы выделяют от трёх до десятка и более составляющих, отражающих ресурсные, организационные, институциональные и поведенческие характеристики</w:t>
      </w:r>
      <w:r w:rsidR="0058093B" w:rsidRPr="00CE0BCE">
        <w:rPr>
          <w:rFonts w:ascii="Times New Roman" w:hAnsi="Times New Roman" w:cs="Times New Roman"/>
          <w:sz w:val="28"/>
          <w:szCs w:val="28"/>
          <w:lang w:val="kk-KZ"/>
        </w:rPr>
        <w:t xml:space="preserve"> </w:t>
      </w:r>
      <w:r w:rsidR="0058093B"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{"citationID":"a1vsp45sppn","properties":{"formattedCitation":"[28]","plainCitation":"[28]","noteIndex":0},"citationItems":[{"id":72,"uris":["http://zotero.org/users/16887523/items/2FG3DIEP"],"itemData":{"id":72,"type":"article-journal","abstract":"This study investigates how the digital business environment affects firms' innovation input variables. It was discovered that digitization leads to ongoing corporate environment optimization, which improves the effectiveness of innovation. One of the institutional environment factors, digitalization, increases the redundancy of government subsidies on businesses' investments in innovation. It also helps to eliminate duplication in innovation investment through the financial environment and the protection of legal rights. With increasing marketization in the informal institutional framework, the degree of R&amp;D investment redundancy lowers while R&amp;D human resource investment redundancy grows. Digitization not only lowers the grade of innovation, but it also has a negative association with the duplicate nature of commercial R&amp;D investments. The authors' research combines institutional environment theory and digital development to establish a new empirical foundation for corporate development in order to boost innovation efficiency.","container-title":"Journal of Organizational and End User Computing","DOI":"10.4018/JOEUC.327365","ISSN":"1546-2234, 1546-5012","issue":"3","language":"ng","license":"http://creativecommons.org/licenses/by/3.0/deed.en_US","page":"1-25","source":"DOI.org (Crossref)","title":"Digitalization of the Business Environment and Innovation Efficiency of Chinese ICT Firms:","title-short":"Digitalization of the Business Environment and Innovation Efficiency of Chinese ICT Firms","URL":"https://services.igi-global.com/resolvedoi/resolve.aspx?doi=10.4018/JOEUC.327365","volume":"35","author":[{"family":"Ding","given":"Jian"},{"family":"Liu","given":"Baoliu"},{"family":"Wang","given":"Jiaxin"},{"family":"Qiao","given":"Ping"},{"family":"Zhu","given":"Zhaowei"}],"accessed":{"date-parts":[["2025",11,22]]},"issued":{"date-parts":[["2023",8,14]]}}}],"schema":"https://github.com/citation-style-language/schema/raw/master/csl-citation.json"} </w:instrText>
      </w:r>
      <w:r w:rsidR="0058093B"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[28]</w:t>
      </w:r>
      <w:r w:rsidR="0058093B"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 xml:space="preserve">. В современных условиях цифровизации, сетевой экономики и интеграции в глобальные инновационные системы </w:t>
      </w:r>
      <w:r w:rsidR="0043713D"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{"citationID":"a1agk5r9ci0","properties":{"formattedCitation":"[29]","plainCitation":"[29]","noteIndex":0},"citationItems":[{"id":75,"uris":["http://zotero.org/users/16887523/items/TXXL7WXZ"],"itemData":{"id":75,"type":"article-journal","abstract":"Introduction. The paper considers the peculiarities of the development of innovative business structures in digital society. It has been proven that digitalization and green development have become two important areas of innovation of business models of enterprises.\nThe purpose of the paper to study the development of innovative business structures in digital society.\nResults. The basic concepts of innovative development are: efficiency, value, consumers and ecology. It is emphasized that the use of digital technologies to change the content and logic of the original business model of enterprises, the introduction of a tangible assessment of value or intangible development of value and create economic and environmental stable value. It is noted that efficiency orientation is inclined to increase efficiency, which maximizes the efficiency of energy and resources and minimizes the emissions of pollutants in the production process by converting the production process from automation to intelligence and reducing production costs. The value-oriented path is inclined to increase the value that allows businesses to move themselves in the industry or value network with the transformation of serving, to develop digital services to break away from the contradiction between business growth and overloading resources, as well as to manage the sustainable development of the industry.\nConclusion. The user-oriented path is inclined to deepen user relationships, which creates a fixed user effect with personalized innovation and innovation on the basis of scripts to eliminate homogeneous competition in the industry, thereby increasing the viscosity of users and achieving accurate resource allocation. The path, focused on environmental synergy, which builds smart connected products with a business ecosystem of cross-cooperation through a digital platform and expands the borders of the enterprise, thereby increasing the value of resource portfolio.","container-title":"Economics. Finances. Law","DOI":"10.37634/efp.2024.10.10","ISSN":"2786-5517, 2409-1944","issue":"-","journalAbbreviation":"Econ. Fin. Law","language":"uk","license":"https://creativecommons.org/licenses/by-nc/4.0/","page":"47-50","source":"DOI.org (Crossref)","title":"Development of innovative business structures in the digital society","URL":"http://efp.in.ua/en/journal-article/1488","volume":"10/2024","author":[{"family":"Hrynko","given":"Tetiana"},{"family":"Hilorme","given":"Tetiana"}],"accessed":{"date-parts":[["2025",11,22]]},"issued":{"date-parts":[["2024",10,30]]}}}],"schema":"https://github.com/citation-style-language/schema/raw/master/csl-citation.json"} </w:instrText>
      </w:r>
      <w:r w:rsidR="0043713D"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[29]</w:t>
      </w:r>
      <w:r w:rsidR="0043713D" w:rsidRPr="00CE0BCE">
        <w:rPr>
          <w:rFonts w:ascii="Times New Roman" w:hAnsi="Times New Roman" w:cs="Times New Roman"/>
          <w:sz w:val="28"/>
          <w:szCs w:val="28"/>
          <w:lang w:val="kk-KZ"/>
        </w:rPr>
        <w:fldChar w:fldCharType="end"/>
      </w:r>
      <w:r w:rsidR="0043713D" w:rsidRPr="00CE0BCE">
        <w:rPr>
          <w:rFonts w:ascii="Times New Roman" w:hAnsi="Times New Roman" w:cs="Times New Roman"/>
          <w:sz w:val="28"/>
          <w:szCs w:val="28"/>
        </w:rPr>
        <w:t xml:space="preserve"> </w:t>
      </w:r>
      <w:r w:rsidRPr="00CE0BCE">
        <w:rPr>
          <w:rFonts w:ascii="Times New Roman" w:hAnsi="Times New Roman" w:cs="Times New Roman"/>
          <w:sz w:val="28"/>
          <w:szCs w:val="28"/>
          <w:lang w:val="kk-KZ"/>
        </w:rPr>
        <w:t>возникает необходимость переосмысления структуры инновационного потенциала с учётом новых факторов</w:t>
      </w:r>
      <w:r w:rsidR="0058093B" w:rsidRPr="00CE0BCE">
        <w:rPr>
          <w:rFonts w:ascii="Times New Roman" w:hAnsi="Times New Roman" w:cs="Times New Roman"/>
          <w:sz w:val="28"/>
          <w:szCs w:val="28"/>
          <w:lang w:val="kk-KZ"/>
        </w:rPr>
        <w:t xml:space="preserve"> </w:t>
      </w:r>
      <w:r w:rsidR="0043713D"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{"citationID":"asl79ot9kl","properties":{"formattedCitation":"[30]","plainCitation":"[30]","noteIndex":0},"citationItems":[{"id":76,"uris":["http://zotero.org/users/16887523/items/8ERK2SWT"],"itemData":{"id":76,"type":"article-journal","abstract":"Abstract\n            Digitalization leads to a change in the quality of the organizational systems functions performance. An otological analysis of the restructuring of the organizational systems management architecture in the context of digitalization is carried out. The classification features formation principles have been developed, a transformation system has been built in accordance with the digitalization layers. The transformations typification is carried out and the transformations features with the use of several layers of digitalization are indicated. The main differences in the transformations implementation, depending on the level of digitalization, are highlighted.","container-title":"IOP Conference Series: Earth and Environmental Science","DOI":"10.1088/1755-1315/1069/1/012026","ISSN":"1755-1307, 1755-1315","issue":"1","journalAbbreviation":"IOP Conf. Ser.: Earth Environ. Sci.","page":"012026","source":"DOI.org (Crossref)","title":"Dynamic and integrative capabilities for digital transformation of innovative and institutional potential","URL":"https://iopscience.iop.org/article/10.1088/1755-1315/1069/1/012026","volume":"1069","author":[{"family":"Gayer","given":"A V"},{"family":"Pronichkin","given":"S V"},{"family":"Tropin","given":"D V"},{"family":"Chernyshova","given":"Y S"}],"accessed":{"date-parts":[["2025",11,22]]},"issued":{"date-parts":[["2022",8,1]]}}}],"schema":"https://github.com/citation-style-language/schema/raw/master/csl-citation.json"} </w:instrText>
      </w:r>
      <w:r w:rsidR="0043713D"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[30]</w:t>
      </w:r>
      <w:r w:rsidR="0043713D"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w:t>
      </w:r>
    </w:p>
    <w:p w14:paraId="6692FB6F" w14:textId="3073F290" w:rsidR="006348A0" w:rsidRDefault="00D1423F" w:rsidP="002F33D0">
      <w:pPr>
        <w:tabs>
          <w:tab w:val="left" w:pos="851"/>
        </w:tabs>
        <w:spacing w:after="0" w:line="240" w:lineRule="auto"/>
        <w:ind w:firstLine="567"/>
        <w:jc w:val="both"/>
        <w:rPr>
          <w:rFonts w:ascii="Times New Roman" w:hAnsi="Times New Roman" w:cs="Times New Roman"/>
          <w:sz w:val="28"/>
          <w:szCs w:val="28"/>
          <w:lang w:val="kk-KZ"/>
        </w:rPr>
      </w:pPr>
      <w:r w:rsidRPr="00D1423F">
        <w:rPr>
          <w:rFonts w:ascii="Times New Roman" w:hAnsi="Times New Roman" w:cs="Times New Roman"/>
          <w:sz w:val="28"/>
          <w:szCs w:val="28"/>
          <w:lang w:val="kk-KZ"/>
        </w:rPr>
        <w:t xml:space="preserve">Критический анализ существующих теоретико-методологических подходов в сочетании с результатами экспертного анкетирования представителей предпринимательских структур позволил обосновать авторскую классификацию составляющих инновационного потенциала. В её основе лежит структурирование инновационного потенциала </w:t>
      </w:r>
      <w:r>
        <w:rPr>
          <w:rFonts w:ascii="Times New Roman" w:hAnsi="Times New Roman" w:cs="Times New Roman"/>
          <w:sz w:val="28"/>
          <w:szCs w:val="28"/>
          <w:lang w:val="kk-KZ"/>
        </w:rPr>
        <w:t>по трём взаимосвязанным блокам –</w:t>
      </w:r>
      <w:r w:rsidRPr="00D1423F">
        <w:rPr>
          <w:rFonts w:ascii="Times New Roman" w:hAnsi="Times New Roman" w:cs="Times New Roman"/>
          <w:sz w:val="28"/>
          <w:szCs w:val="28"/>
          <w:lang w:val="kk-KZ"/>
        </w:rPr>
        <w:t xml:space="preserve"> ресурсному, организационно-управленческому и институциональному, внутри которых выделяются локальные потенциалы, отражающие специфику формирования и реализации инноваций.</w:t>
      </w:r>
      <w:r w:rsidR="00E63CB4" w:rsidRPr="00CE0BCE">
        <w:rPr>
          <w:rFonts w:ascii="Times New Roman" w:hAnsi="Times New Roman" w:cs="Times New Roman"/>
          <w:sz w:val="28"/>
          <w:szCs w:val="28"/>
          <w:lang w:val="kk-KZ"/>
        </w:rPr>
        <w:t xml:space="preserve"> Такая систематизация позволяет комплексно охватить как внутренние ресурсы и процессы, так и влияние внешней среды. Представим ее в виде </w:t>
      </w:r>
      <w:r w:rsidR="00DF34C6" w:rsidRPr="00CE0BCE">
        <w:rPr>
          <w:rFonts w:ascii="Times New Roman" w:hAnsi="Times New Roman" w:cs="Times New Roman"/>
          <w:sz w:val="28"/>
          <w:szCs w:val="28"/>
          <w:lang w:val="kk-KZ"/>
        </w:rPr>
        <w:t>т</w:t>
      </w:r>
      <w:r w:rsidR="00E63CB4" w:rsidRPr="00CE0BCE">
        <w:rPr>
          <w:rFonts w:ascii="Times New Roman" w:hAnsi="Times New Roman" w:cs="Times New Roman"/>
          <w:sz w:val="28"/>
          <w:szCs w:val="28"/>
          <w:lang w:val="kk-KZ"/>
        </w:rPr>
        <w:t xml:space="preserve">аблицы </w:t>
      </w:r>
      <w:r w:rsidR="004F7A70" w:rsidRPr="00CE0BCE">
        <w:rPr>
          <w:rFonts w:ascii="Times New Roman" w:hAnsi="Times New Roman" w:cs="Times New Roman"/>
          <w:sz w:val="28"/>
          <w:szCs w:val="28"/>
          <w:lang w:val="kk-KZ"/>
        </w:rPr>
        <w:t>4</w:t>
      </w:r>
      <w:r w:rsidR="00E63CB4" w:rsidRPr="00CE0BCE">
        <w:rPr>
          <w:rFonts w:ascii="Times New Roman" w:hAnsi="Times New Roman" w:cs="Times New Roman"/>
          <w:sz w:val="28"/>
          <w:szCs w:val="28"/>
          <w:lang w:val="kk-KZ"/>
        </w:rPr>
        <w:t>.</w:t>
      </w:r>
    </w:p>
    <w:p w14:paraId="6B2D46FE" w14:textId="4F1ABF70" w:rsidR="00E458EC" w:rsidRPr="00CE0BCE" w:rsidRDefault="00E458EC"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rPr>
        <w:t>Предложенная структурно-компонентная модель инновационного потенциала предпринимательских структур отражает его интегративную природу, объединяющую внутренние ресурсы, компетенции и ценности с внешними институциональными и цифровыми условиями. Такой подход позволяет рассматривать инновационный потенциал не как статичный набор факторов, а как динамическую систему взаимосвязей, определяющую способность предприятия к самообновлению и адаптации в условиях цифровой экономики.</w:t>
      </w:r>
    </w:p>
    <w:p w14:paraId="285A0B40" w14:textId="265F66A0" w:rsidR="007D50E7" w:rsidRPr="00CE0BCE" w:rsidRDefault="004F7A70" w:rsidP="002F33D0">
      <w:pPr>
        <w:tabs>
          <w:tab w:val="left" w:pos="851"/>
        </w:tabs>
        <w:spacing w:after="0" w:line="240" w:lineRule="auto"/>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lastRenderedPageBreak/>
        <w:t xml:space="preserve">Таблица 4 – </w:t>
      </w:r>
      <w:r w:rsidR="007068CD" w:rsidRPr="00CE0BCE">
        <w:rPr>
          <w:rFonts w:ascii="Times New Roman" w:hAnsi="Times New Roman" w:cs="Times New Roman"/>
          <w:sz w:val="28"/>
          <w:szCs w:val="28"/>
          <w:lang w:val="kk-KZ"/>
        </w:rPr>
        <w:t>Структура и ключевые составляющие инновационного потенциала предпринимательских структу</w:t>
      </w:r>
      <w:r w:rsidR="00CD2445" w:rsidRPr="00CE0BCE">
        <w:rPr>
          <w:rFonts w:ascii="Times New Roman" w:hAnsi="Times New Roman" w:cs="Times New Roman"/>
          <w:sz w:val="28"/>
          <w:szCs w:val="28"/>
          <w:lang w:val="kk-KZ"/>
        </w:rPr>
        <w:t>р</w:t>
      </w:r>
    </w:p>
    <w:p w14:paraId="34F0CD96" w14:textId="77777777" w:rsidR="00CD2445" w:rsidRPr="00C46E6B" w:rsidRDefault="00CD2445" w:rsidP="002F33D0">
      <w:pPr>
        <w:tabs>
          <w:tab w:val="left" w:pos="851"/>
        </w:tabs>
        <w:spacing w:after="0" w:line="240" w:lineRule="auto"/>
        <w:jc w:val="both"/>
        <w:rPr>
          <w:rFonts w:ascii="Times New Roman" w:hAnsi="Times New Roman" w:cs="Times New Roman"/>
          <w:sz w:val="20"/>
          <w:szCs w:val="20"/>
          <w:lang w:val="kk-KZ"/>
        </w:rPr>
      </w:pPr>
    </w:p>
    <w:tbl>
      <w:tblPr>
        <w:tblStyle w:val="a5"/>
        <w:tblW w:w="0" w:type="auto"/>
        <w:tblLook w:val="04A0" w:firstRow="1" w:lastRow="0" w:firstColumn="1" w:lastColumn="0" w:noHBand="0" w:noVBand="1"/>
      </w:tblPr>
      <w:tblGrid>
        <w:gridCol w:w="445"/>
        <w:gridCol w:w="2269"/>
        <w:gridCol w:w="3328"/>
        <w:gridCol w:w="3586"/>
      </w:tblGrid>
      <w:tr w:rsidR="00CE0BCE" w:rsidRPr="00CE0BCE" w14:paraId="585E9828" w14:textId="77777777" w:rsidTr="00E458EC">
        <w:tc>
          <w:tcPr>
            <w:tcW w:w="0" w:type="auto"/>
            <w:hideMark/>
          </w:tcPr>
          <w:p w14:paraId="7AA4E089" w14:textId="77777777" w:rsidR="009D5B89" w:rsidRPr="00CE0BCE" w:rsidRDefault="009D5B89" w:rsidP="002F33D0">
            <w:pPr>
              <w:ind w:firstLine="0"/>
              <w:jc w:val="center"/>
              <w:rPr>
                <w:rFonts w:eastAsia="Times New Roman"/>
                <w:bCs/>
                <w:szCs w:val="24"/>
                <w:lang w:eastAsia="ru-RU"/>
              </w:rPr>
            </w:pPr>
            <w:r w:rsidRPr="00CE0BCE">
              <w:rPr>
                <w:rFonts w:eastAsia="Times New Roman"/>
                <w:bCs/>
                <w:szCs w:val="24"/>
                <w:lang w:eastAsia="ru-RU"/>
              </w:rPr>
              <w:t>№</w:t>
            </w:r>
          </w:p>
        </w:tc>
        <w:tc>
          <w:tcPr>
            <w:tcW w:w="0" w:type="auto"/>
            <w:hideMark/>
          </w:tcPr>
          <w:p w14:paraId="2246DD2F" w14:textId="5A151F9F" w:rsidR="009D5B89" w:rsidRPr="00CE0BCE" w:rsidRDefault="009D5B89" w:rsidP="004319BF">
            <w:pPr>
              <w:ind w:firstLine="0"/>
              <w:jc w:val="center"/>
              <w:rPr>
                <w:rFonts w:eastAsia="Times New Roman"/>
                <w:bCs/>
                <w:szCs w:val="24"/>
                <w:lang w:eastAsia="ru-RU"/>
              </w:rPr>
            </w:pPr>
            <w:r w:rsidRPr="00CE0BCE">
              <w:rPr>
                <w:rFonts w:eastAsia="Times New Roman"/>
                <w:bCs/>
                <w:szCs w:val="24"/>
                <w:lang w:eastAsia="ru-RU"/>
              </w:rPr>
              <w:t xml:space="preserve">Составляющая </w:t>
            </w:r>
          </w:p>
        </w:tc>
        <w:tc>
          <w:tcPr>
            <w:tcW w:w="3328" w:type="dxa"/>
            <w:hideMark/>
          </w:tcPr>
          <w:p w14:paraId="13A01FD4" w14:textId="77777777" w:rsidR="009D5B89" w:rsidRPr="00CE0BCE" w:rsidRDefault="009D5B89" w:rsidP="002F33D0">
            <w:pPr>
              <w:ind w:firstLine="0"/>
              <w:jc w:val="center"/>
              <w:rPr>
                <w:rFonts w:eastAsia="Times New Roman"/>
                <w:bCs/>
                <w:szCs w:val="24"/>
                <w:lang w:eastAsia="ru-RU"/>
              </w:rPr>
            </w:pPr>
            <w:r w:rsidRPr="00CE0BCE">
              <w:rPr>
                <w:rFonts w:eastAsia="Times New Roman"/>
                <w:bCs/>
                <w:szCs w:val="24"/>
                <w:lang w:eastAsia="ru-RU"/>
              </w:rPr>
              <w:t>Содержание и характеристика</w:t>
            </w:r>
          </w:p>
        </w:tc>
        <w:tc>
          <w:tcPr>
            <w:tcW w:w="3586" w:type="dxa"/>
            <w:hideMark/>
          </w:tcPr>
          <w:p w14:paraId="00F1D3FF" w14:textId="77777777" w:rsidR="009D5B89" w:rsidRPr="00CE0BCE" w:rsidRDefault="009D5B89" w:rsidP="002F33D0">
            <w:pPr>
              <w:ind w:firstLine="0"/>
              <w:jc w:val="center"/>
              <w:rPr>
                <w:rFonts w:eastAsia="Times New Roman"/>
                <w:bCs/>
                <w:szCs w:val="24"/>
                <w:lang w:eastAsia="ru-RU"/>
              </w:rPr>
            </w:pPr>
            <w:r w:rsidRPr="00CE0BCE">
              <w:rPr>
                <w:rFonts w:eastAsia="Times New Roman"/>
                <w:bCs/>
                <w:szCs w:val="24"/>
                <w:lang w:eastAsia="ru-RU"/>
              </w:rPr>
              <w:t>Взаимосвязь с внутренними и внешними факторами</w:t>
            </w:r>
          </w:p>
        </w:tc>
      </w:tr>
      <w:tr w:rsidR="00CE0BCE" w:rsidRPr="00CE0BCE" w14:paraId="2C581915" w14:textId="77777777" w:rsidTr="00E458EC">
        <w:tc>
          <w:tcPr>
            <w:tcW w:w="0" w:type="auto"/>
            <w:tcBorders>
              <w:bottom w:val="nil"/>
            </w:tcBorders>
            <w:hideMark/>
          </w:tcPr>
          <w:p w14:paraId="40000B0D" w14:textId="77777777" w:rsidR="009D5B89" w:rsidRPr="00CE0BCE" w:rsidRDefault="009D5B89" w:rsidP="002F33D0">
            <w:pPr>
              <w:ind w:firstLine="0"/>
              <w:rPr>
                <w:rFonts w:eastAsia="Times New Roman"/>
                <w:szCs w:val="24"/>
                <w:lang w:eastAsia="ru-RU"/>
              </w:rPr>
            </w:pPr>
            <w:r w:rsidRPr="00CE0BCE">
              <w:rPr>
                <w:rFonts w:eastAsia="Times New Roman"/>
                <w:bCs/>
                <w:szCs w:val="24"/>
                <w:lang w:eastAsia="ru-RU"/>
              </w:rPr>
              <w:t>1</w:t>
            </w:r>
          </w:p>
        </w:tc>
        <w:tc>
          <w:tcPr>
            <w:tcW w:w="0" w:type="auto"/>
            <w:tcBorders>
              <w:bottom w:val="nil"/>
            </w:tcBorders>
            <w:hideMark/>
          </w:tcPr>
          <w:p w14:paraId="5CB4D2D4" w14:textId="77777777" w:rsidR="009D5B89" w:rsidRPr="00CE0BCE" w:rsidRDefault="009D5B89" w:rsidP="002F33D0">
            <w:pPr>
              <w:ind w:firstLine="0"/>
              <w:rPr>
                <w:rFonts w:eastAsia="Times New Roman"/>
                <w:szCs w:val="24"/>
                <w:lang w:eastAsia="ru-RU"/>
              </w:rPr>
            </w:pPr>
            <w:r w:rsidRPr="00CE0BCE">
              <w:rPr>
                <w:rFonts w:eastAsia="Times New Roman"/>
                <w:bCs/>
                <w:szCs w:val="24"/>
                <w:lang w:eastAsia="ru-RU"/>
              </w:rPr>
              <w:t>Управленческо-инновационные ресурсы</w:t>
            </w:r>
          </w:p>
        </w:tc>
        <w:tc>
          <w:tcPr>
            <w:tcW w:w="3328" w:type="dxa"/>
            <w:tcBorders>
              <w:bottom w:val="nil"/>
            </w:tcBorders>
            <w:hideMark/>
          </w:tcPr>
          <w:p w14:paraId="2008F871" w14:textId="6E3E706D" w:rsidR="009D5B89" w:rsidRPr="00CE0BCE" w:rsidRDefault="009D5B89" w:rsidP="00774FC9">
            <w:pPr>
              <w:ind w:firstLine="0"/>
              <w:rPr>
                <w:rFonts w:eastAsia="Times New Roman"/>
                <w:szCs w:val="24"/>
                <w:lang w:eastAsia="ru-RU"/>
              </w:rPr>
            </w:pPr>
            <w:r w:rsidRPr="00CE0BCE">
              <w:rPr>
                <w:rFonts w:eastAsia="Times New Roman"/>
                <w:szCs w:val="24"/>
                <w:lang w:eastAsia="ru-RU"/>
              </w:rPr>
              <w:t xml:space="preserve">Отражают способность предприятия формировать и реализовывать инновационную стратегию, адаптировать организационную структуру, </w:t>
            </w:r>
            <w:r w:rsidR="00A12459" w:rsidRPr="00CE0BCE">
              <w:rPr>
                <w:rFonts w:eastAsia="Times New Roman"/>
                <w:szCs w:val="24"/>
                <w:lang w:eastAsia="ru-RU"/>
              </w:rPr>
              <w:t xml:space="preserve">управлять инновационными </w:t>
            </w:r>
            <w:r w:rsidR="00E458EC" w:rsidRPr="00CE0BCE">
              <w:rPr>
                <w:rFonts w:eastAsia="Times New Roman"/>
                <w:szCs w:val="24"/>
                <w:lang w:eastAsia="ru-RU"/>
              </w:rPr>
              <w:t>проектами и стимулировать внутренние процессы генерации инноваций</w:t>
            </w:r>
            <w:r w:rsidR="00E458EC" w:rsidRPr="00CE0BCE">
              <w:rPr>
                <w:rFonts w:eastAsia="Times New Roman"/>
                <w:szCs w:val="24"/>
                <w:lang w:val="kk-KZ" w:eastAsia="ru-RU"/>
              </w:rPr>
              <w:t xml:space="preserve"> </w:t>
            </w:r>
            <w:r w:rsidR="00E458EC" w:rsidRPr="00CE0BCE">
              <w:rPr>
                <w:rFonts w:eastAsia="Times New Roman"/>
                <w:szCs w:val="24"/>
                <w:lang w:val="kk-KZ" w:eastAsia="ru-RU"/>
              </w:rPr>
              <w:fldChar w:fldCharType="begin"/>
            </w:r>
            <w:r w:rsidR="00E458EC">
              <w:rPr>
                <w:rFonts w:eastAsia="Times New Roman"/>
                <w:szCs w:val="24"/>
                <w:lang w:val="kk-KZ" w:eastAsia="ru-RU"/>
              </w:rPr>
              <w:instrText xml:space="preserve"> ADDIN ZOTERO_ITEM CSL_CITATION {"citationID":"a25karhsau5","properties":{"formattedCitation":"[31]","plainCitation":"[31]","noteIndex":0},"citationItems":[{"id":78,"uris":["http://zotero.org/users/16887523/items/S4QN6SR8"],"itemData":{"id":78,"type":"article-journal","abstract":"The development of an innovative strategy is the introduction and improvement of a new type of device, processes in order to change each aspect of the innovative activity of the enterprise. The experience of leading innovative enterprises shows that the development of innovation is considered a vital necessity, which creates high efficiency in production.","container-title":"American Journal Of Social Sciences And Humanity Research","DOI":"10.37547/ajsshr/Volume03Issue02-21","ISSN":"27712141","issue":"02","journalAbbreviation":"ajsshr","page":"116-120","source":"DOI.org (Crossref)","title":"ISSUES OF DEVELOPMENT AND IMPROVEMENT OF THE INNOVATION STRATEGY OF ENTERPRISES","URL":"https://theusajournals.com/index.php/ajsshr/article/view/867/830","volume":"03","author":[{"family":"Turgunov","given":"M."},{"family":"Karimov","given":"O."}],"accessed":{"date-parts":[["2025",11,22]]},"issued":{"date-parts":[["2023",2,1]]}}}],"schema":"https://github.com/citation-style-language/schema/raw/master/csl-citation.json"} </w:instrText>
            </w:r>
            <w:r w:rsidR="00E458EC" w:rsidRPr="00CE0BCE">
              <w:rPr>
                <w:rFonts w:eastAsia="Times New Roman"/>
                <w:szCs w:val="24"/>
                <w:lang w:val="kk-KZ" w:eastAsia="ru-RU"/>
              </w:rPr>
              <w:fldChar w:fldCharType="separate"/>
            </w:r>
            <w:r w:rsidR="00E458EC" w:rsidRPr="009C6DCA">
              <w:t>[31]</w:t>
            </w:r>
            <w:r w:rsidR="00E458EC" w:rsidRPr="00CE0BCE">
              <w:rPr>
                <w:rFonts w:eastAsia="Times New Roman"/>
                <w:szCs w:val="24"/>
                <w:lang w:val="kk-KZ" w:eastAsia="ru-RU"/>
              </w:rPr>
              <w:fldChar w:fldCharType="end"/>
            </w:r>
            <w:r w:rsidR="00E458EC" w:rsidRPr="00CE0BCE">
              <w:rPr>
                <w:rFonts w:eastAsia="Times New Roman"/>
                <w:szCs w:val="24"/>
                <w:lang w:eastAsia="ru-RU"/>
              </w:rPr>
              <w:t>.</w:t>
            </w:r>
          </w:p>
        </w:tc>
        <w:tc>
          <w:tcPr>
            <w:tcW w:w="3586" w:type="dxa"/>
            <w:tcBorders>
              <w:bottom w:val="nil"/>
            </w:tcBorders>
            <w:hideMark/>
          </w:tcPr>
          <w:p w14:paraId="132FD055" w14:textId="7108F7A8" w:rsidR="009D5B89" w:rsidRPr="00A12459" w:rsidRDefault="009D5B89" w:rsidP="00774FC9">
            <w:pPr>
              <w:ind w:firstLine="0"/>
              <w:rPr>
                <w:rFonts w:eastAsia="Times New Roman"/>
                <w:szCs w:val="24"/>
                <w:lang w:val="kk-KZ" w:eastAsia="ru-RU"/>
              </w:rPr>
            </w:pPr>
            <w:r w:rsidRPr="00CE0BCE">
              <w:rPr>
                <w:rFonts w:eastAsia="Times New Roman"/>
                <w:szCs w:val="24"/>
                <w:lang w:eastAsia="ru-RU"/>
              </w:rPr>
              <w:t xml:space="preserve">Внутренний компонент, тесно связанный с человеческим капиталом и инновационной культурой; эффективность проявляется при наличии благоприятной </w:t>
            </w:r>
            <w:r w:rsidR="00E458EC" w:rsidRPr="00CE0BCE">
              <w:rPr>
                <w:rFonts w:eastAsia="Times New Roman"/>
                <w:szCs w:val="24"/>
                <w:lang w:eastAsia="ru-RU"/>
              </w:rPr>
              <w:t>институциональной среды и цифровой инфраструктуры.</w:t>
            </w:r>
          </w:p>
        </w:tc>
      </w:tr>
      <w:tr w:rsidR="00C46E6B" w:rsidRPr="00CE0BCE" w14:paraId="602EE3C5" w14:textId="77777777" w:rsidTr="00E458EC">
        <w:tc>
          <w:tcPr>
            <w:tcW w:w="0" w:type="auto"/>
          </w:tcPr>
          <w:p w14:paraId="12FDE83B" w14:textId="076C9407" w:rsidR="00C46E6B" w:rsidRPr="00CE0BCE" w:rsidRDefault="00C46E6B" w:rsidP="00C46E6B">
            <w:pPr>
              <w:ind w:firstLine="0"/>
              <w:rPr>
                <w:rFonts w:eastAsia="Times New Roman"/>
                <w:bCs/>
                <w:szCs w:val="24"/>
                <w:lang w:eastAsia="ru-RU"/>
              </w:rPr>
            </w:pPr>
            <w:r w:rsidRPr="00CE0BCE">
              <w:rPr>
                <w:rFonts w:eastAsia="Times New Roman"/>
                <w:bCs/>
                <w:szCs w:val="24"/>
                <w:lang w:eastAsia="ru-RU"/>
              </w:rPr>
              <w:t>2</w:t>
            </w:r>
          </w:p>
        </w:tc>
        <w:tc>
          <w:tcPr>
            <w:tcW w:w="2269" w:type="dxa"/>
          </w:tcPr>
          <w:p w14:paraId="31C2D383" w14:textId="6B77910E" w:rsidR="00C46E6B" w:rsidRPr="00CE0BCE" w:rsidRDefault="00C46E6B" w:rsidP="00C46E6B">
            <w:pPr>
              <w:ind w:firstLine="0"/>
              <w:rPr>
                <w:rFonts w:eastAsia="Times New Roman"/>
                <w:bCs/>
                <w:szCs w:val="24"/>
                <w:lang w:eastAsia="ru-RU"/>
              </w:rPr>
            </w:pPr>
            <w:r w:rsidRPr="00CE0BCE">
              <w:rPr>
                <w:rFonts w:eastAsia="Times New Roman"/>
                <w:bCs/>
                <w:szCs w:val="24"/>
                <w:lang w:eastAsia="ru-RU"/>
              </w:rPr>
              <w:t>Технологические и материально-сырьевые ресурсы</w:t>
            </w:r>
          </w:p>
        </w:tc>
        <w:tc>
          <w:tcPr>
            <w:tcW w:w="3328" w:type="dxa"/>
          </w:tcPr>
          <w:p w14:paraId="1A390549" w14:textId="45AE48F8" w:rsidR="00C46E6B" w:rsidRPr="00CE0BCE" w:rsidRDefault="00C46E6B" w:rsidP="00C46E6B">
            <w:pPr>
              <w:ind w:firstLine="0"/>
              <w:rPr>
                <w:rFonts w:eastAsia="Times New Roman"/>
                <w:szCs w:val="24"/>
                <w:lang w:eastAsia="ru-RU"/>
              </w:rPr>
            </w:pPr>
            <w:r w:rsidRPr="00CE0BCE">
              <w:rPr>
                <w:rFonts w:eastAsia="Times New Roman"/>
                <w:szCs w:val="24"/>
                <w:lang w:eastAsia="ru-RU"/>
              </w:rPr>
              <w:t>Определяют уровень технологической готовности предприятия, наличие современных производственных мощностей, оборудования и доступа к качественным ресурсам</w:t>
            </w:r>
            <w:r w:rsidRPr="00CE0BCE">
              <w:rPr>
                <w:rFonts w:eastAsia="Times New Roman"/>
                <w:szCs w:val="24"/>
                <w:lang w:val="kk-KZ" w:eastAsia="ru-RU"/>
              </w:rPr>
              <w:t xml:space="preserve"> </w:t>
            </w:r>
            <w:r w:rsidRPr="00CE0BCE">
              <w:rPr>
                <w:rFonts w:eastAsia="Times New Roman"/>
                <w:szCs w:val="24"/>
                <w:lang w:val="kk-KZ" w:eastAsia="ru-RU"/>
              </w:rPr>
              <w:fldChar w:fldCharType="begin"/>
            </w:r>
            <w:r w:rsidR="009C6DCA">
              <w:rPr>
                <w:rFonts w:eastAsia="Times New Roman"/>
                <w:szCs w:val="24"/>
                <w:lang w:val="kk-KZ" w:eastAsia="ru-RU"/>
              </w:rPr>
              <w:instrText xml:space="preserve"> ADDIN ZOTERO_ITEM CSL_CITATION {"citationID":"ah81gvphg6","properties":{"formattedCitation":"[32]","plainCitation":"[32]","noteIndex":0},"citationItems":[{"id":81,"uris":["http://zotero.org/users/16887523/items/7YPGXERI"],"itemData":{"id":81,"type":"article-journal","abstract":"The article presents a study of the investment attractiveness of Ukraine’s agricultural machinery manufacturing sector, considered one of the key industries ensuring food security and the technological independence of agricultural production. Taking into account current challenges caused by economic transformation, global market volatility, and the full-scale war, the research analyzes the impact of financial, institutional, and technological factors on the sector’s ability to attract investment and undergo modernization. \nThe study emphasizes the critical importance of the sector in ensuring the technical re-equipment of the agro-industrial complex, which in turn serves as a foundation for enhancing the competitiveness of Ukrainian agriculture in both domestic and international markets. A number of structural barriers have been identified, including chronic underinvestment, lack of incentives for renewing production facilities, institutional fragmentation, regulatory instability, and a low level of technological cooperation with agricultural enterprises. \nAn integral approach to evaluating investment attractiveness is proposed, based on considering the interconnections among three key components: financial potential, institutional capacity, and the level of production innovation. Within this approach, a logical model of industry analysis has been developed, enabling the identification of cause-and-effect relationships between structural characteristics of the environment and investment activity, as well as the assessment of the impact of specific regulatory or financial policies on the sector's development dynamics. \nSpecial attention is paid to the systematization of strategic directions for enhancing the sector’s investment appeal, including the mobilization of financial resources, institutional transformation, and technological modernization. The study demonstrates that the implementation of a coherent and coordinated state policy, adapted to the challenges of the post-war period, can transform the sector into a strategic, export-oriented cluster of the national economy.","container-title":"Scientific bulletin of Polissia","DOI":"10.25140/2410-9576-2025-1(30)-248-262","ISSN":"2412-2394, 2410-9576","issue":"1 (30)","journalAbbreviation":"SBP","language":"uk","page":"248-262","source":"DOI.org (Crossref)","title":"Investment attractiveness of agricultural machinery manufacturing: financial, institutional and technological aspects","title-short":"Investment attractiveness of agricultural machinery manufacturing","URL":"http://nvp.stu.cn.ua/article/view/339944","author":[{"family":"Shpomer","given":"Tetiana"},{"family":"Reus","given":"Roman"},{"family":"Voloshyn","given":"Serhij"}],"accessed":{"date-parts":[["2025",11,22]]},"issued":{"date-parts":[["2025",9,25]]}}}],"schema":"https://github.com/citation-style-language/schema/raw/master/csl-citation.json"} </w:instrText>
            </w:r>
            <w:r w:rsidRPr="00CE0BCE">
              <w:rPr>
                <w:rFonts w:eastAsia="Times New Roman"/>
                <w:szCs w:val="24"/>
                <w:lang w:val="kk-KZ" w:eastAsia="ru-RU"/>
              </w:rPr>
              <w:fldChar w:fldCharType="separate"/>
            </w:r>
            <w:r w:rsidR="009C6DCA" w:rsidRPr="009C6DCA">
              <w:t>[32]</w:t>
            </w:r>
            <w:r w:rsidRPr="00CE0BCE">
              <w:rPr>
                <w:rFonts w:eastAsia="Times New Roman"/>
                <w:szCs w:val="24"/>
                <w:lang w:val="kk-KZ" w:eastAsia="ru-RU"/>
              </w:rPr>
              <w:fldChar w:fldCharType="end"/>
            </w:r>
            <w:r w:rsidRPr="00CE0BCE">
              <w:rPr>
                <w:rFonts w:eastAsia="Times New Roman"/>
                <w:szCs w:val="24"/>
                <w:lang w:eastAsia="ru-RU"/>
              </w:rPr>
              <w:t>.</w:t>
            </w:r>
          </w:p>
        </w:tc>
        <w:tc>
          <w:tcPr>
            <w:tcW w:w="3586" w:type="dxa"/>
          </w:tcPr>
          <w:p w14:paraId="188C79F1" w14:textId="52801A74" w:rsidR="00C46E6B" w:rsidRPr="00CE0BCE" w:rsidRDefault="00C46E6B" w:rsidP="00C46E6B">
            <w:pPr>
              <w:ind w:firstLine="0"/>
              <w:rPr>
                <w:rFonts w:eastAsia="Times New Roman"/>
                <w:szCs w:val="24"/>
                <w:lang w:eastAsia="ru-RU"/>
              </w:rPr>
            </w:pPr>
            <w:r w:rsidRPr="00CE0BCE">
              <w:rPr>
                <w:rFonts w:eastAsia="Times New Roman"/>
                <w:szCs w:val="24"/>
                <w:lang w:eastAsia="ru-RU"/>
              </w:rPr>
              <w:t>Формируют основу внутреннего потенциала; зависят от инвестиционной привлекательности и цифровой адаптации отрасли</w:t>
            </w:r>
            <w:r w:rsidRPr="00CE0BCE">
              <w:rPr>
                <w:rFonts w:eastAsia="Times New Roman"/>
                <w:szCs w:val="24"/>
                <w:lang w:val="kk-KZ" w:eastAsia="ru-RU"/>
              </w:rPr>
              <w:t xml:space="preserve"> </w:t>
            </w:r>
            <w:r w:rsidRPr="00CE0BCE">
              <w:rPr>
                <w:rFonts w:eastAsia="Times New Roman"/>
                <w:szCs w:val="24"/>
                <w:lang w:val="kk-KZ" w:eastAsia="ru-RU"/>
              </w:rPr>
              <w:fldChar w:fldCharType="begin"/>
            </w:r>
            <w:r w:rsidR="009C6DCA">
              <w:rPr>
                <w:rFonts w:eastAsia="Times New Roman"/>
                <w:szCs w:val="24"/>
                <w:lang w:val="kk-KZ" w:eastAsia="ru-RU"/>
              </w:rPr>
              <w:instrText xml:space="preserve"> ADDIN ZOTERO_ITEM CSL_CITATION {"citationID":"a24bk1miod2","properties":{"formattedCitation":"[33,34]","plainCitation":"[33,34]","noteIndex":0},"citationItems":[{"id":82,"uris":["http://zotero.org/users/16887523/items/T2Y3PDWD"],"itemData":{"id":82,"type":"article-journal","abstract":"Against the backdrop of global climate change and intensified resource con-straints, green technological innovation has become the core driving force for enterprises to achieve sustainable development. Although research and devel-opment(R&amp;D) investment is widely recognized as a key element in promoting green technological innovation in enterprises and has received considerable attention, the moderating role of digital transformation, an emerging techno-logical environment factor, in the process of converting R&amp;D investment into green technological innovation in enterprises has rarely been explored. Based on the resource-based theory and the innovation process theory, this paper aims to deeply investigate the impact of R&amp;D investment on green technological in-novation in enterprises and further analyze how digital transformation plays a moderating role in this process. Through an empirical study of sample data from manufacturing enterprises listed on the A-share market from 2013 to 2024, the following findings were discovered: (1) R&amp;D investment has a significant posi-tive impact on green technological innovation in enterprises, meaning that R&amp;D investment is conducive to promoting both substantive and strategic green technological innovation in enterprises;(2) Digital transformation has a signifi-cant positive impact on green technological innovation in enterprises, indicat-ing that digital transformation is beneficial for enterprises to carry out both strategic and substantive green technological innovation;(3)Digital transfor-mation positively moderates the relationship between R&amp;D investment and green technological innovation, meaning that enterprises with a high degree of digital transformation can more effectively convert R&amp;D investment into sub-stantive and strategic green technological innovation. This research finding re-veals the crucial role of digital transformation in facilitating the conversion of R&amp;D investment into green technological innovation, providing practical guid-ance for enterprises in formulating R&amp;D strategies and digital transformation strategies to accelerate the pace of green technological innovation.","container-title":"Economics &amp; Business Management","DOI":"10.63313/EBM.9104","ISSN":"3079-5214, 3079-5222","issue":"1","journalAbbreviation":"Economics &amp; Business Management","license":"http://creativecommons.org/licenses/by/4.0/","page":"85","source":"DOI.org (Crossref)","title":"How does Digital Transformation Affect the Conversion of R&amp;D Investment into Green Technological Innovation in Enterprises ?","URL":"https://pdf.erytis.com/ebm/EBM.9104.pdf","volume":"3","author":[{"family":"Cao","given":"Ning"},{"family":"Liu","given":"Beibei"},{"family":"Wang","given":"Jianjun"}],"accessed":{"date-parts":[["2025",11,22]]},"issued":{"date-parts":[["2025",9,23]]}}},{"id":83,"uris":["http://zotero.org/users/16887523/items/8Q64S5RE"],"itemData":{"id":83,"type":"article-journal","abstract":"Purpose\n              This study aims to investigate the relationship between Technological Readiness (TR) and Job Performance (JP), mediated by Digital Health Transformation (DHT) and nurses’ Innovative Work Behavior (IWB). Using Partial Least Squares Structural Equation Modeling (PLS-SEM) with 5,000 bootstrap resamples, the authors assess direct relationships as well as two sequential mediations. The authors present standardized coefficients (β), explained variance (R²), effect sizes (f²) and mediation strength (variance accounted for [VAF]) to quantify practical significance.\n            \n            \n              Design/methodology/approach\n              A quantitative, cross-sectional design was used, with data gathered from 300 registered nurses through a structured survey. The research model was analyzed using PLS-SEM. Constructs were grounded in the Technology–Organization–Environment (TOE) framework and Social Cognitive Theory (SCT).\n            \n            \n              Findings\n              The results substantiate all eight hypothesized relationships. TR is found to significantly predict both DHT and IWB and directly influence JP. Furthermore, DHT positively affects both IWB and JP, while IWB exhibits a robust predictive relationship with JP. Mediation analysis indicates that DHT mediates the relationship between TR and IWB, and IWB mediates the relationship between DHT and JP. These findings validate the proposed integrated model and highlight the importance of behavioral mechanisms in digital transformation.\n            \n            \n              Practical implications\n              Hospital administrators and policymakers should prioritize the enhancement of technological readiness and the fostering of an innovative culture among nursing staff. Effective digital transformation requires both systemic investment and the empowerment of individual behaviors. For health systems in developing countries, infrastructure deficiencies (e.g. intermittent internet and power supply) may weaken downstream connections (DHT → IWB; IWB → JP). The authors delineate strategies for mitigation – including tiered technology readiness-based training, low-bandwidth and offline-first deployment and workflow-integrated enablement – aimed at transforming digital investments into innovative work behaviors and enhanced performance.\n            \n            \n              Originality/value\n              This study contributes a novel, empirically validated model that links technological readiness and innovative behavior to job performance within the digital health-care framework. This study examines an empirically grounded behavioral pathway that connects technological readiness, digital health transformation, innovative work behavior and job performance among nurses in public hospitals. By transcending traditional adoption-intention models, such as the Technology Acceptance Model (Davis, 1989), and enhancing implementation frameworks like the Nonadoption, Abandonment, Scale-up, Spread IT Information Technology (NASSS) framework (Greenhalgh et al., 2017), this research addresses the paucity of empirical evidence regarding the integration of digital innovations into routine practice within resource-constrained health systems (Dionisio et al., 2023).","container-title":"International Journal of Innovation Science","DOI":"10.1108/IJIS-05-2025-0243","ISSN":"1757-2223, 1757-2231","language":"en","source":"DOI.org (Crossref)","title":"Digital health transformation and innovation behavior: examining the role of technological readiness and dynamic capabilities in public hospitals","title-short":"Digital health transformation and innovation behavior","URL":"https://www.emerald.com/ijis/article/doi/10.1108/IJIS-05-2025-0243/1300324/Digital-health-transformation-and-innovation","author":[{"family":"Alwali","given":"Joather"},{"family":"Alwali","given":"Wafaa"},{"family":"Yahya","given":"Sarah"}],"accessed":{"date-parts":[["2025",11,22]]},"issued":{"date-parts":[["2025",9,25]]}}}],"schema":"https://github.com/citation-style-language/schema/raw/master/csl-citation.json"} </w:instrText>
            </w:r>
            <w:r w:rsidRPr="00CE0BCE">
              <w:rPr>
                <w:rFonts w:eastAsia="Times New Roman"/>
                <w:szCs w:val="24"/>
                <w:lang w:val="kk-KZ" w:eastAsia="ru-RU"/>
              </w:rPr>
              <w:fldChar w:fldCharType="separate"/>
            </w:r>
            <w:r w:rsidR="009C6DCA" w:rsidRPr="009C6DCA">
              <w:t>[33,34]</w:t>
            </w:r>
            <w:r w:rsidRPr="00CE0BCE">
              <w:rPr>
                <w:rFonts w:eastAsia="Times New Roman"/>
                <w:szCs w:val="24"/>
                <w:lang w:val="kk-KZ" w:eastAsia="ru-RU"/>
              </w:rPr>
              <w:fldChar w:fldCharType="end"/>
            </w:r>
            <w:r w:rsidRPr="00CE0BCE">
              <w:rPr>
                <w:rFonts w:eastAsia="Times New Roman"/>
                <w:szCs w:val="24"/>
                <w:lang w:eastAsia="ru-RU"/>
              </w:rPr>
              <w:t>.</w:t>
            </w:r>
          </w:p>
        </w:tc>
      </w:tr>
      <w:tr w:rsidR="00C46E6B" w:rsidRPr="00CE0BCE" w14:paraId="604A8D30" w14:textId="77777777" w:rsidTr="00E458EC">
        <w:tc>
          <w:tcPr>
            <w:tcW w:w="0" w:type="auto"/>
            <w:hideMark/>
          </w:tcPr>
          <w:p w14:paraId="5CBBB41A" w14:textId="77777777" w:rsidR="00C46E6B" w:rsidRPr="00CE0BCE" w:rsidRDefault="00C46E6B" w:rsidP="00C46E6B">
            <w:pPr>
              <w:ind w:firstLine="0"/>
              <w:rPr>
                <w:rFonts w:eastAsia="Times New Roman"/>
                <w:szCs w:val="24"/>
                <w:lang w:eastAsia="ru-RU"/>
              </w:rPr>
            </w:pPr>
            <w:r w:rsidRPr="00CE0BCE">
              <w:rPr>
                <w:rFonts w:eastAsia="Times New Roman"/>
                <w:bCs/>
                <w:szCs w:val="24"/>
                <w:lang w:eastAsia="ru-RU"/>
              </w:rPr>
              <w:t>3</w:t>
            </w:r>
          </w:p>
        </w:tc>
        <w:tc>
          <w:tcPr>
            <w:tcW w:w="2269" w:type="dxa"/>
            <w:hideMark/>
          </w:tcPr>
          <w:p w14:paraId="27F9327F" w14:textId="77777777" w:rsidR="00C46E6B" w:rsidRPr="00CE0BCE" w:rsidRDefault="00C46E6B" w:rsidP="00C46E6B">
            <w:pPr>
              <w:ind w:firstLine="0"/>
              <w:rPr>
                <w:rFonts w:eastAsia="Times New Roman"/>
                <w:szCs w:val="24"/>
                <w:lang w:eastAsia="ru-RU"/>
              </w:rPr>
            </w:pPr>
            <w:r w:rsidRPr="00CE0BCE">
              <w:rPr>
                <w:rFonts w:eastAsia="Times New Roman"/>
                <w:bCs/>
                <w:szCs w:val="24"/>
                <w:lang w:eastAsia="ru-RU"/>
              </w:rPr>
              <w:t>Финансовые ресурсы и инструменты</w:t>
            </w:r>
          </w:p>
        </w:tc>
        <w:tc>
          <w:tcPr>
            <w:tcW w:w="3328" w:type="dxa"/>
            <w:hideMark/>
          </w:tcPr>
          <w:p w14:paraId="1E12FEF1" w14:textId="55270B70" w:rsidR="00C46E6B" w:rsidRPr="00CE0BCE" w:rsidRDefault="00C46E6B" w:rsidP="00C46E6B">
            <w:pPr>
              <w:ind w:firstLine="0"/>
              <w:rPr>
                <w:rFonts w:eastAsia="Times New Roman"/>
                <w:szCs w:val="24"/>
                <w:lang w:eastAsia="ru-RU"/>
              </w:rPr>
            </w:pPr>
            <w:r w:rsidRPr="00CE0BCE">
              <w:rPr>
                <w:rFonts w:eastAsia="Times New Roman"/>
                <w:szCs w:val="24"/>
                <w:lang w:eastAsia="ru-RU"/>
              </w:rPr>
              <w:t>Включают внутренние и внешние источники финансирования инноваций (собственные средства, гранты, венчурные инвестиции, кредитные продукты)</w:t>
            </w:r>
            <w:r w:rsidRPr="00CE0BCE">
              <w:rPr>
                <w:rFonts w:eastAsia="Times New Roman"/>
                <w:szCs w:val="24"/>
                <w:lang w:val="kk-KZ" w:eastAsia="ru-RU"/>
              </w:rPr>
              <w:t xml:space="preserve"> </w:t>
            </w:r>
            <w:r w:rsidRPr="00CE0BCE">
              <w:rPr>
                <w:rFonts w:eastAsia="Times New Roman"/>
                <w:szCs w:val="24"/>
                <w:lang w:val="kk-KZ" w:eastAsia="ru-RU"/>
              </w:rPr>
              <w:fldChar w:fldCharType="begin"/>
            </w:r>
            <w:r w:rsidR="009C6DCA">
              <w:rPr>
                <w:rFonts w:eastAsia="Times New Roman"/>
                <w:szCs w:val="24"/>
                <w:lang w:val="kk-KZ" w:eastAsia="ru-RU"/>
              </w:rPr>
              <w:instrText xml:space="preserve"> ADDIN ZOTERO_ITEM CSL_CITATION {"citationID":"a1khrbaa3pb","properties":{"formattedCitation":"[35,36]","plainCitation":"[35,36]","noteIndex":0},"citationItems":[{"id":84,"uris":["http://zotero.org/users/16887523/items/37JK2HMN"],"itemData":{"id":84,"type":"article-journal","abstract":"ABSTRACT\n            Empirical studies on firm‐level eco‐innovation (EI) largely focus on developed countries, leaving Emerging Market Economies (EMEs) underexplored despite their pivotal role in sustainable development and their distinct institutional environments. EMEs also face urgency as trading partners adopt environmental regulations, such as the European Green Deal and the Carbon Border Adjustment Mechanism. To address this gap, this study investigates EI adoption in Turkish Small and Medium‐sized Enterprises (SMEs), a representative case of EMEs. The research builds on a Schumpeterian view of innovation, emphasizing appropriation risks, the ‘double externality,’ and the ‘triple helix’ problem. We use a recently released, unexplored dataset to address two questions: (1) Do Turkish SMEs rely more on internal resources (financial and technical) or on external support to adopt EI? (2) When external support is limited, do governmental grants or subsidies effectively stimulate EI? Our results show that Turkish SMEs predominantly depend on self‐financing and in‐house expertise, while governmental grants and subsidies are statistically insignificant. Institutional factors—such as inter‐sectoral cooperation, financial advice, and regulatory clarity—emerge as significant determinants. Moreover, younger firms are more likely to adopt EI, while older firms risk being locked into established routines. These findings highlight structural climate financing gaps and the danger of subsidy misallocation (“zombification”) in EMEs. Policy implications extend beyond Türkiye: effective promotion of EI in EMEs requires climate‐targeted subsidy design, improved access to finance, and less punitive insolvency regimes. Embedding these measures in stronger institutional settings enables SMEs to view EI as a strategic investment rather than a short‐term cost.","container-title":"Sustainable Development","DOI":"10.1002/sd.70260","ISSN":"0968-0802, 1099-1719","journalAbbreviation":"Sustainable Development","language":"en","page":"sd.70260","source":"DOI.org (Crossref)","title":"Financing Eco‐Innovation in an Emerging Economy: The Role of Internal Resources, External Support and Government in Turkish &lt;span style=\"font-variant:small-caps;\"&gt;SMEs&lt;/span&gt;","title-short":"Financing Eco‐Innovation in an Emerging Economy","URL":"https://onlinelibrary.wiley.com/doi/10.1002/sd.70260","author":[{"family":"Austin","given":"Arslan"},{"family":"Alataş","given":"Sedat"},{"family":"Agbonifi","given":"Darlington"}],"accessed":{"date-parts":[["2025",11,22]]},"issued":{"date-parts":[["2025",9,22]]}}},{"id":85,"uris":["http://zotero.org/users/16887523/items/JASCJJLA"],"itemData":{"id":85,"type":"article-journal","abstract":"Abstract\n            This study examines the causal relationship between financial technology startup venture capital (VC) financing and its deals with domestic credit provided by the banking sector and equity market movement. Despite the rise of alternative finance, such as fintech venture capital (it is the fund that venture capital firms put into young, promising fintech companies so that they can help them expand and scale quickly), which is yet underexplored, borrowers still heavily rely on banks and the stock market for financing. We use panel data from 57 countries from 2010 to 2020 and an advanced econometric method called the cross-sectional autoregressive distributed lag model (CS-ARDL) to determine how the size and number of fintech equity funds dealt with by venture capital firms, banking sector credit, and stock market returns are interrelated at the global level and across regional, income, and economic levels. Our results reveal a cointegrating relationship between fintech venture capital funding and deals with bank loans and equity market returns. However, this relationship varies across the regions studied and between developed and developing economies. Our findings provide crucial guidelines for policymakers to create policies that support balanced financial development by highlighting the global interaction of equity market movements, banking credit, and fintech venture capital investment and lay the groundwork for internationally aligned policies to guarantee the optimal distribution of financial capital and improve economic stability and adaptability by illustrating how these links differ across geographical locations and economic conditions.","container-title":"Financial Innovation","DOI":"10.1186/s40854-025-00791-y","ISSN":"2199-4730","issue":"1","journalAbbreviation":"Financ Innov","language":"en","page":"120","source":"DOI.org (Crossref)","title":"The dynamic linkage between fintech venture capital funding, bank credit flows, and equity market movement: evidence from a global perspective","title-short":"The dynamic linkage between fintech venture capital funding, bank credit flows, and equity market movement","URL":"https://jfin-swufe.springeropen.com/articles/10.1186/s40854-025-00791-y","volume":"11","author":[{"family":"Golder","given":"Uttam"},{"family":"Barua","given":"Suborna"}],"accessed":{"date-parts":[["2025",11,22]]},"issued":{"date-parts":[["2025",9,26]]}}}],"schema":"https://github.com/citation-style-language/schema/raw/master/csl-citation.json"} </w:instrText>
            </w:r>
            <w:r w:rsidRPr="00CE0BCE">
              <w:rPr>
                <w:rFonts w:eastAsia="Times New Roman"/>
                <w:szCs w:val="24"/>
                <w:lang w:val="kk-KZ" w:eastAsia="ru-RU"/>
              </w:rPr>
              <w:fldChar w:fldCharType="separate"/>
            </w:r>
            <w:r w:rsidR="009C6DCA" w:rsidRPr="009C6DCA">
              <w:t>[35,36]</w:t>
            </w:r>
            <w:r w:rsidRPr="00CE0BCE">
              <w:rPr>
                <w:rFonts w:eastAsia="Times New Roman"/>
                <w:szCs w:val="24"/>
                <w:lang w:val="kk-KZ" w:eastAsia="ru-RU"/>
              </w:rPr>
              <w:fldChar w:fldCharType="end"/>
            </w:r>
            <w:r w:rsidRPr="00CE0BCE">
              <w:rPr>
                <w:rFonts w:eastAsia="Times New Roman"/>
                <w:szCs w:val="24"/>
                <w:lang w:eastAsia="ru-RU"/>
              </w:rPr>
              <w:t>.</w:t>
            </w:r>
          </w:p>
        </w:tc>
        <w:tc>
          <w:tcPr>
            <w:tcW w:w="3586" w:type="dxa"/>
            <w:hideMark/>
          </w:tcPr>
          <w:p w14:paraId="59CB1DFE" w14:textId="76A0E878" w:rsidR="00C46E6B" w:rsidRPr="00CE0BCE" w:rsidRDefault="00C46E6B" w:rsidP="00C46E6B">
            <w:pPr>
              <w:ind w:firstLine="0"/>
              <w:rPr>
                <w:rFonts w:eastAsia="Times New Roman"/>
                <w:szCs w:val="24"/>
                <w:lang w:eastAsia="ru-RU"/>
              </w:rPr>
            </w:pPr>
            <w:r w:rsidRPr="00CE0BCE">
              <w:rPr>
                <w:rFonts w:eastAsia="Times New Roman"/>
                <w:szCs w:val="24"/>
                <w:lang w:eastAsia="ru-RU"/>
              </w:rPr>
              <w:t>Являются связующим звеном между внутренним потенциалом и внешней поддержкой; объем и доступность ресурсов зависят от государственной политики и институциональных механизмов финансирования</w:t>
            </w:r>
            <w:r w:rsidRPr="00CE0BCE">
              <w:rPr>
                <w:rFonts w:eastAsia="Times New Roman"/>
                <w:szCs w:val="24"/>
                <w:lang w:val="kk-KZ" w:eastAsia="ru-RU"/>
              </w:rPr>
              <w:t xml:space="preserve"> </w:t>
            </w:r>
            <w:r w:rsidRPr="00CE0BCE">
              <w:rPr>
                <w:rFonts w:eastAsia="Times New Roman"/>
                <w:szCs w:val="24"/>
                <w:lang w:val="kk-KZ" w:eastAsia="ru-RU"/>
              </w:rPr>
              <w:fldChar w:fldCharType="begin"/>
            </w:r>
            <w:r w:rsidR="009C6DCA">
              <w:rPr>
                <w:rFonts w:eastAsia="Times New Roman"/>
                <w:szCs w:val="24"/>
                <w:lang w:val="kk-KZ" w:eastAsia="ru-RU"/>
              </w:rPr>
              <w:instrText xml:space="preserve"> ADDIN ZOTERO_ITEM CSL_CITATION {"citationID":"a1vq9phaj7f","properties":{"formattedCitation":"[37,38]","plainCitation":"[37,38]","noteIndex":0},"citationItems":[{"id":86,"uris":["http://zotero.org/users/16887523/items/WY7Z7TX5"],"itemData":{"id":86,"type":"article-journal","container-title":"Applied Economics","DOI":"10.1080/00036846.2025.2567010","ISSN":"0003-6846, 1466-4283","journalAbbreviation":"Applied Economics","language":"en","page":"1-15","source":"DOI.org (Crossref)","title":"Subsidy push or market pull? A policy response of venture capital investment to the Belt and Road Initiative","title-short":"Subsidy push or market pull?","URL":"https://www.tandfonline.com/doi/full/10.1080/00036846.2025.2567010","author":[{"family":"Zhang","given":"Qian"},{"family":"Guo","given":"Yubo"}],"accessed":{"date-parts":[["2025",11,22]]},"issued":{"date-parts":[["2025",9,29]]}}},{"id":87,"uris":["http://zotero.org/users/16887523/items/QEP9LSN6"],"itemData":{"id":87,"type":"article-journal","abstract":"The orientation of Ukrainian enterprises towards the European Union market is emerging as a pivotal driver of economic renewal and integrative development of the state. The present article examines the trajectory of strategic restructuring of Ukrainian enterprises, with a particular emphasis on innovation management and the attraction of venture capital, as mechanisms for ensuring effective access to the EU market. The relevance of the research is determined by the provision of duty-free access under the Association Agreement and the Deep and Comprehensive Free Trade Area (DCFTA). This provides enterprises with incentives to modernise production processes and enhance competitiveness. However, it also requires compliance with stringent quality benchmarks and regulatory frameworks. The objective of this study is to provide empirical evidence to support the notion of strategic restructuring of Ukrainian enterprises within the context of the proposed Smart Value Europe strategy. This strategy calls for a transition from a raw-material export model to one grounded in innovation, high technology, and value-added production, aligned with EU market requirements. The methodological framework utilised is founded upon strategic analysis, with the objective of identifying priority modernisation pathways for Ukrainian enterprises in the context of European market entry. A comparative assessment of EU market requirements enabled the correlation of European quality and certification standards with the current capacities of domestic producers. The institutional approach was employed to assess the regulatory environment, with a particular focus on the implications of the Association Agreement and the DCFTA regime for business process transformation. Furthermore, elements of case study analysis were applied, allowing the tracing of practical instances of venture investment attraction and export infrastructure development. The application of these methodological instruments facilitated the formation of a systemic perspective on the strategic orientations of Ukrainian enterprises in the process of integration into the EU internal market. The findings indicate that investments in modernisation, international product certification, export infrastructure development, and the utilisation of support mechanisms offered by European institutions are critical factors for successful integration. The study's practical significance lies in formulating recommendations to enhance the innovative capacity of Ukrainian enterprises, broaden export channels and stimulate employment. Implementing the proposed strategic approaches is expected to reinforce enterprises' international competitiveness and foster sustainable development within the broader context of European integration.","container-title":"Baltic Journal of Economic Studies","DOI":"10.30525/2256-0742/2025-11-3-409-417","ISSN":"2256-0963, 2256-0742","issue":"3","journalAbbreviation":"BJES","license":"https://creativecommons.org/licenses/by/4.0","page":"409-417","source":"DOI.org (Crossref)","title":"STRATEGIC RESTRUCTURING OF UKRAINIAN ENTERPRISES: INNOVATION, EU STANDARDS AND VENTURE FINANCING AS KEY DRIVERS FOR EUROPEAN MARKET INTEGRATION","title-short":"STRATEGIC RESTRUCTURING OF UKRAINIAN ENTERPRISES","URL":"http://baltijapublishing.lv/index.php/issue/article/view/3008","volume":"11","author":[{"family":"Pavliuk","given":"Tetiana"},{"family":"Polusmiak","given":"Yuliia"},{"family":"Onyshchenko","given":"Oksana"}],"accessed":{"date-parts":[["2025",11,22]]},"issued":{"date-parts":[["2025",9,19]]}}}],"schema":"https://github.com/citation-style-language/schema/raw/master/csl-citation.json"} </w:instrText>
            </w:r>
            <w:r w:rsidRPr="00CE0BCE">
              <w:rPr>
                <w:rFonts w:eastAsia="Times New Roman"/>
                <w:szCs w:val="24"/>
                <w:lang w:val="kk-KZ" w:eastAsia="ru-RU"/>
              </w:rPr>
              <w:fldChar w:fldCharType="separate"/>
            </w:r>
            <w:r w:rsidR="009C6DCA" w:rsidRPr="009C6DCA">
              <w:t>[37,38]</w:t>
            </w:r>
            <w:r w:rsidRPr="00CE0BCE">
              <w:rPr>
                <w:rFonts w:eastAsia="Times New Roman"/>
                <w:szCs w:val="24"/>
                <w:lang w:val="kk-KZ" w:eastAsia="ru-RU"/>
              </w:rPr>
              <w:fldChar w:fldCharType="end"/>
            </w:r>
            <w:r w:rsidRPr="00CE0BCE">
              <w:rPr>
                <w:rFonts w:eastAsia="Times New Roman"/>
                <w:szCs w:val="24"/>
                <w:lang w:eastAsia="ru-RU"/>
              </w:rPr>
              <w:t>.</w:t>
            </w:r>
          </w:p>
        </w:tc>
      </w:tr>
      <w:tr w:rsidR="00C46E6B" w:rsidRPr="00CE0BCE" w14:paraId="348AC64B" w14:textId="77777777" w:rsidTr="00E458EC">
        <w:tc>
          <w:tcPr>
            <w:tcW w:w="0" w:type="auto"/>
            <w:hideMark/>
          </w:tcPr>
          <w:p w14:paraId="27174434" w14:textId="77777777" w:rsidR="00C46E6B" w:rsidRPr="00CE0BCE" w:rsidRDefault="00C46E6B" w:rsidP="00C46E6B">
            <w:pPr>
              <w:ind w:firstLine="0"/>
              <w:rPr>
                <w:rFonts w:eastAsia="Times New Roman"/>
                <w:szCs w:val="24"/>
                <w:lang w:eastAsia="ru-RU"/>
              </w:rPr>
            </w:pPr>
            <w:r w:rsidRPr="00CE0BCE">
              <w:rPr>
                <w:rFonts w:eastAsia="Times New Roman"/>
                <w:bCs/>
                <w:szCs w:val="24"/>
                <w:lang w:eastAsia="ru-RU"/>
              </w:rPr>
              <w:t>4</w:t>
            </w:r>
          </w:p>
        </w:tc>
        <w:tc>
          <w:tcPr>
            <w:tcW w:w="2269" w:type="dxa"/>
            <w:hideMark/>
          </w:tcPr>
          <w:p w14:paraId="42A04998" w14:textId="77777777" w:rsidR="00C46E6B" w:rsidRPr="00CE0BCE" w:rsidRDefault="00C46E6B" w:rsidP="00C46E6B">
            <w:pPr>
              <w:ind w:firstLine="0"/>
              <w:rPr>
                <w:rFonts w:eastAsia="Times New Roman"/>
                <w:szCs w:val="24"/>
                <w:lang w:eastAsia="ru-RU"/>
              </w:rPr>
            </w:pPr>
            <w:r w:rsidRPr="00CE0BCE">
              <w:rPr>
                <w:rFonts w:eastAsia="Times New Roman"/>
                <w:bCs/>
                <w:szCs w:val="24"/>
                <w:lang w:eastAsia="ru-RU"/>
              </w:rPr>
              <w:t>Человеческий капитал и компетенции</w:t>
            </w:r>
          </w:p>
        </w:tc>
        <w:tc>
          <w:tcPr>
            <w:tcW w:w="3328" w:type="dxa"/>
            <w:hideMark/>
          </w:tcPr>
          <w:p w14:paraId="1A3429BB" w14:textId="13C46467" w:rsidR="00C46E6B" w:rsidRPr="00CE0BCE" w:rsidRDefault="00C46E6B" w:rsidP="00C46E6B">
            <w:pPr>
              <w:ind w:firstLine="0"/>
              <w:rPr>
                <w:rFonts w:eastAsia="Times New Roman"/>
                <w:szCs w:val="24"/>
                <w:lang w:eastAsia="ru-RU"/>
              </w:rPr>
            </w:pPr>
            <w:r w:rsidRPr="00CE0BCE">
              <w:rPr>
                <w:rFonts w:eastAsia="Times New Roman"/>
                <w:szCs w:val="24"/>
                <w:lang w:eastAsia="ru-RU"/>
              </w:rPr>
              <w:t>Включают знания, навыки и способности персонала, уровень цифровых и инженерных компетенций</w:t>
            </w:r>
            <w:r w:rsidRPr="00CE0BCE">
              <w:rPr>
                <w:rFonts w:eastAsia="Times New Roman"/>
                <w:szCs w:val="24"/>
                <w:lang w:val="kk-KZ" w:eastAsia="ru-RU"/>
              </w:rPr>
              <w:t xml:space="preserve"> </w:t>
            </w:r>
            <w:r w:rsidRPr="00CE0BCE">
              <w:rPr>
                <w:rFonts w:eastAsia="Times New Roman"/>
                <w:szCs w:val="24"/>
                <w:lang w:val="kk-KZ" w:eastAsia="ru-RU"/>
              </w:rPr>
              <w:fldChar w:fldCharType="begin"/>
            </w:r>
            <w:r w:rsidR="009C6DCA">
              <w:rPr>
                <w:rFonts w:eastAsia="Times New Roman"/>
                <w:szCs w:val="24"/>
                <w:lang w:val="kk-KZ" w:eastAsia="ru-RU"/>
              </w:rPr>
              <w:instrText xml:space="preserve"> ADDIN ZOTERO_ITEM CSL_CITATION {"citationID":"a2hebrt3634","properties":{"formattedCitation":"[39,40]","plainCitation":"[39,40]","noteIndex":0},"citationItems":[{"id":88,"uris":["http://zotero.org/users/16887523/items/7LLJXEPH"],"itemData":{"id":88,"type":"article-journal","abstract":"This study aims to develop and evaluate a gamification-based engineering design process (G-EDC) instructional model to enhance digital innovation creativity skills. The model integrates engineering design process stages with gamification techniques to create an engaging and problem-based learning environment. It emphasizes three key roles: Director (teacher), Disciple (student), and Debrief (reflection and refinement), along with eight stages of the engineering design process and core elements of gamification such as goals, points, rewards, and social interaction. The model was assessed by seven experts, including specialists in learning model development, educational evaluation, and gamification technology. The evaluation employed a 5-point Likert scale across six key components of the model. The results demonstrated a high level of appropriateness, with an overall average score of 4.73 (S.D. = 0.44). Specific strengths include the promotion of problem-solving and critical thinking (= 4.85), integration of digital tools (= 4.80), and alignment with learning objectives (= 4.80). These findings indicate statistically significant support for the model&amp;rsquo;s effectiveness in enhancing digital innovation creativity skills. The G-EDC model shows strong potential for flexible application across various educational contexts and contributes meaningfully to the development of 21st-century competencies.","container-title":"Journal of Education and Learning","DOI":"10.5539/jel.v15n1p319","ISSN":"1927-5269, 1927-5250","issue":"1","journalAbbreviation":"JEL","license":"https://creativecommons.org/licenses/by/4.0","page":"319","source":"DOI.org (Crossref)","title":"Gamification-Based Engineering Design Process Instructional Model to Enhance Digital Innovation Creativity Skills for Upper Secondary School Students","URL":"https://ccsenet.org/journal/index.php/jel/article/view/0/52259","volume":"15","author":[{"family":"Laoha","given":"Rukthin"},{"family":"Deesongkram","given":"Meka"},{"family":"Rudto","given":"Narudon"}],"accessed":{"date-parts":[["2025",11,22]]},"issued":{"date-parts":[["2025",9,28]]}}},{"id":89,"uris":["http://zotero.org/users/16887523/items/7YQRCP5K"],"itemData":{"id":89,"type":"article-journal","abstract":"Prospective teachers must be equipped with creative thinking skills to be able to design innovative mathematics learning media. However, studies on the creativity of prospective teachers are often not comprehensive and tend to focus on only one dimension of creativity. Although the 4P creativity model (Person, Process, Press, Product) provides a comprehensive analytical lens, research that integrates all four dimensions simultaneously in the context of mathematics teacher education is still rare. This study is a qualitative descriptive study that aims to describe and analyze the creativity of prospective mathematics teacher students in developing mathematics learning media. The subjects were eight students of the Mathematics Education study program who were taking the Mathematics Learning Media course and had completed a mathematics learning media development project. Data sources came from students' reflective journals when creating learning media, interview transcripts, and the learning media products that had been created. The collected data were analyzed based on Rhodes' 4P creativity framework: Person, Process, Press, and Product. The product dimension was analyzed descriptively and quantitatively using the Torrance rubric, consisting of four creativity indicators: fluency, flexibility, originality, and development. The Process dimension was analyzed based on Wallas' creative thinking framework: Preparation, Incubation, Illumination, and Verification. The person and press dimensions were then analyzed qualitatively using a thematic analysis approach. The results showed that students with high intrinsic motivation, active involvement in exploring ideas, and the ability to manage technical and time constraints tended to produce more creative and meaningful learning media. The key findings of this study significantly expand and challenge the traditional understanding of the Press dimension. The use of technology, particularly generative AI such as ChatGPT, serves not only as an external tool but also as a digital cognitive environment. AI acts as an interactive, dialogical partner, assisting in brainstorming, developing flowcharts, and solving technical problems, thereby blurring the boundaries between environmental factors (Press) and students' internal thinking processes (Process). This deep integration demonstrates that AI has become an integral part of students' cognitive workflows, implying that the 4P framework in the digital era needs to be viewed as an interconnected and flexible system, rather than as four rigidly separate pillars.    Keywords: creativity, mathematics learning media, creative thinking process, case study, pre-service teachers, artificial intelligence.","container-title":"Jurnal Pendidikan MIPA","DOI":"10.23960/jpmipa.v26i3.pp1958-1987","ISSN":"2685-5488, 1411-2531","issue":"3","journalAbbreviation":"J. Pend. MIPA","license":"https://creativecommons.org/licenses/by-sa/4.0","page":"1958-1987","source":"DOI.org (Crossref)","title":"The Digital Cognitive Partner: A 4P Framework Analysis of Prospective Teacher Creativity in the Age of AI","title-short":"The Digital Cognitive Partner","URL":"https://jpmipa.fkip.unila.ac.id/index.php/jpmipa/article/view/804","volume":"26","author":[{"family":"Setyadi","given":"Danang"},{"family":"Soesanto","given":"Robert Harry"},{"family":"Hidayat","given":"Dylmoon"},{"family":"Dosinaeng","given":"Wilfridus Beda Nuba"},{"family":"Mampouw","given":"Helti Lygia"}],"accessed":{"date-parts":[["2025",11,22]]},"issued":{"date-parts":[["2025",9,29]]}}}],"schema":"https://github.com/citation-style-language/schema/raw/master/csl-citation.json"} </w:instrText>
            </w:r>
            <w:r w:rsidRPr="00CE0BCE">
              <w:rPr>
                <w:rFonts w:eastAsia="Times New Roman"/>
                <w:szCs w:val="24"/>
                <w:lang w:val="kk-KZ" w:eastAsia="ru-RU"/>
              </w:rPr>
              <w:fldChar w:fldCharType="separate"/>
            </w:r>
            <w:r w:rsidR="009C6DCA" w:rsidRPr="009C6DCA">
              <w:t>[39,40]</w:t>
            </w:r>
            <w:r w:rsidRPr="00CE0BCE">
              <w:rPr>
                <w:rFonts w:eastAsia="Times New Roman"/>
                <w:szCs w:val="24"/>
                <w:lang w:val="kk-KZ" w:eastAsia="ru-RU"/>
              </w:rPr>
              <w:fldChar w:fldCharType="end"/>
            </w:r>
            <w:r w:rsidRPr="00CE0BCE">
              <w:rPr>
                <w:rFonts w:eastAsia="Times New Roman"/>
                <w:szCs w:val="24"/>
                <w:lang w:eastAsia="ru-RU"/>
              </w:rPr>
              <w:t>, креативность и адаптивность кадров</w:t>
            </w:r>
            <w:r w:rsidRPr="00CE0BCE">
              <w:rPr>
                <w:rFonts w:eastAsia="Times New Roman"/>
                <w:szCs w:val="24"/>
                <w:lang w:val="kk-KZ" w:eastAsia="ru-RU"/>
              </w:rPr>
              <w:t xml:space="preserve"> </w:t>
            </w:r>
            <w:r w:rsidRPr="00CE0BCE">
              <w:rPr>
                <w:rFonts w:eastAsia="Times New Roman"/>
                <w:szCs w:val="24"/>
                <w:lang w:val="kk-KZ" w:eastAsia="ru-RU"/>
              </w:rPr>
              <w:fldChar w:fldCharType="begin"/>
            </w:r>
            <w:r w:rsidR="009C6DCA">
              <w:rPr>
                <w:rFonts w:eastAsia="Times New Roman"/>
                <w:szCs w:val="24"/>
                <w:lang w:val="kk-KZ" w:eastAsia="ru-RU"/>
              </w:rPr>
              <w:instrText xml:space="preserve"> ADDIN ZOTERO_ITEM CSL_CITATION {"citationID":"argpp0snj","properties":{"formattedCitation":"[41]","plainCitation":"[41]","noteIndex":0},"citationItems":[{"id":90,"uris":["http://zotero.org/users/16887523/items/FWT72NHY"],"itemData":{"id":90,"type":"article-journal","abstract":"Social capital enables sharing, trust, solidarity, proper norms and respectful behaviours, and organisational participative management. Employee innovative behaviour is vital for organisations as it provides a competitive advantage. This study aims to determine the impact of social capital and its sub-dimensions, friendly acceptance, norms of behaviour, trusting/reciprocity, and governance on innovative behaviour and its sub-dimensions, participative leadership, external work contacts, and innovative output on innovative behaviour. The data were gathered from 264 school administrators and teachers through a questionnaire. The SPSS Statistics 25.0 program was used to test the research hypotheses. Reliability and validity analysis results are sufficient. The results showed that social capital (overall) and its all-sub-dimensions, except trusting/reciprocity, significantly and positively impact innovative behaviour. However, most of the sub-dimensions of social capital have no significant impact on the sub-dimensions of innovative behaviour.","container-title":"Creativity Studies","DOI":"10.3846/cs.2025.22016","ISSN":"2345-0487, 2345-0479","issue":"2","journalAbbreviation":"CS","page":"538-557","source":"DOI.org (Crossref)","title":"The impact of social capital on innovative behaviour as a reflection of creativity: the case of education sector","title-short":"The impact of social capital on innovative behaviour as a reflection of creativity","URL":"https://journals.vilniustech.lt/index.php/CS/article/view/22016","volume":"18","author":[{"family":"Sözbilir","given":"Fikret"},{"family":"Kaya","given":"Sıdıka"}],"accessed":{"date-parts":[["2025",11,22]]},"issued":{"date-parts":[["2025",9,29]]}}}],"schema":"https://github.com/citation-style-language/schema/raw/master/csl-citation.json"} </w:instrText>
            </w:r>
            <w:r w:rsidRPr="00CE0BCE">
              <w:rPr>
                <w:rFonts w:eastAsia="Times New Roman"/>
                <w:szCs w:val="24"/>
                <w:lang w:val="kk-KZ" w:eastAsia="ru-RU"/>
              </w:rPr>
              <w:fldChar w:fldCharType="separate"/>
            </w:r>
            <w:r w:rsidR="009C6DCA" w:rsidRPr="009C6DCA">
              <w:t>[41]</w:t>
            </w:r>
            <w:r w:rsidRPr="00CE0BCE">
              <w:rPr>
                <w:rFonts w:eastAsia="Times New Roman"/>
                <w:szCs w:val="24"/>
                <w:lang w:val="kk-KZ" w:eastAsia="ru-RU"/>
              </w:rPr>
              <w:fldChar w:fldCharType="end"/>
            </w:r>
            <w:r w:rsidRPr="00CE0BCE">
              <w:rPr>
                <w:rFonts w:eastAsia="Times New Roman"/>
                <w:szCs w:val="24"/>
                <w:lang w:eastAsia="ru-RU"/>
              </w:rPr>
              <w:t>.</w:t>
            </w:r>
          </w:p>
        </w:tc>
        <w:tc>
          <w:tcPr>
            <w:tcW w:w="3586" w:type="dxa"/>
            <w:hideMark/>
          </w:tcPr>
          <w:p w14:paraId="5E31B8C8" w14:textId="268EF321" w:rsidR="00C46E6B" w:rsidRPr="00CE0BCE" w:rsidRDefault="00C46E6B" w:rsidP="00C46E6B">
            <w:pPr>
              <w:ind w:firstLine="0"/>
              <w:rPr>
                <w:rFonts w:eastAsia="Times New Roman"/>
                <w:szCs w:val="24"/>
                <w:lang w:eastAsia="ru-RU"/>
              </w:rPr>
            </w:pPr>
            <w:r w:rsidRPr="00CE0BCE">
              <w:rPr>
                <w:rFonts w:eastAsia="Times New Roman"/>
                <w:szCs w:val="24"/>
                <w:lang w:eastAsia="ru-RU"/>
              </w:rPr>
              <w:t>Ключевой элемент внутреннего потенциала, на который напрямую влияет цифровая среда</w:t>
            </w:r>
            <w:r w:rsidRPr="00CE0BCE">
              <w:rPr>
                <w:rFonts w:eastAsia="Times New Roman"/>
                <w:szCs w:val="24"/>
                <w:lang w:val="kk-KZ" w:eastAsia="ru-RU"/>
              </w:rPr>
              <w:t xml:space="preserve"> </w:t>
            </w:r>
            <w:r w:rsidRPr="00CE0BCE">
              <w:rPr>
                <w:rFonts w:eastAsia="Times New Roman"/>
                <w:szCs w:val="24"/>
                <w:lang w:val="kk-KZ" w:eastAsia="ru-RU"/>
              </w:rPr>
              <w:fldChar w:fldCharType="begin"/>
            </w:r>
            <w:r w:rsidR="009C6DCA">
              <w:rPr>
                <w:rFonts w:eastAsia="Times New Roman"/>
                <w:szCs w:val="24"/>
                <w:lang w:val="kk-KZ" w:eastAsia="ru-RU"/>
              </w:rPr>
              <w:instrText xml:space="preserve"> ADDIN ZOTERO_ITEM CSL_CITATION {"citationID":"a1t39q0751g","properties":{"formattedCitation":"[42]","plainCitation":"[42]","noteIndex":0},"citationItems":[{"id":91,"uris":["http://zotero.org/users/16887523/items/VRLRQKUZ"],"itemData":{"id":91,"type":"article-journal","abstract":"Digital transformation in education is becoming increasingly essential as the world moves towards a more technologically advanced future. Digital transformation in education, driven by technological advancements and the evolving demands of the global workforce. Digital transformation has become a global trend, reshaping traditional educational practices and offering opportunities for greater access to education and innovative teaching methods. The study examines the role of digital education in fostering inclusive, flexible, and personalized learning environments while addressing the challenges and obstacles encountered in its implementation. The paper investigates the advantages and disadvantages of digital education, focusing on how technology can enhance learning experiences and the associated risks that may arise from its widespread adoption. It further explores the positive and negative impacts of digital transformation on the educational sector. Additionally, the paper highlights the top six digital transformation trends in education, including the integration of artificial intelligence, virtual and augmented reality, mobile learning, cloud computing, gamification, and personalized learning. These trends are analysed in the context of their role in reshaping the educational landscape and the opportunities they present for educators and learners. The study also delves into the critical role of technology in digital learning, examining how it supports innovative approaches to education. Key obstacles to digital transformation in the education system are discussed. Particular attention is given to the challenges faced by higher education institutions in adopting digital transformation. The paper proposes potential solutions and strategies for overcoming these barriers, with a focus on the importance of a cohesive digital transformation strategy for higher education institutions. Ultimately, the study underscores the central role of higher education in driving digital transformation and shaping the future of education in a digital world.","container-title":"The Social Science Review A Multidisciplinary Journal","DOI":"10.70096/tssr.250307048","ISSN":"25840789","issue":"Special","journalAbbreviation":"tssr","page":"271-278","source":"DOI.org (Crossref)","title":"THE IMPACT OF DIGITAL TRANSFORMATION ON EDUCATION","URL":"https://tssreview.in/?article=the-impact-of-digital-transformation-on-education","author":[{"family":"Shafiq","given":"Zeenat"},{"family":"Jan","given":"Tasleema"}],"accessed":{"date-parts":[["2025",11,22]]},"issued":{"date-parts":[["2025",9,29]]}}}],"schema":"https://github.com/citation-style-language/schema/raw/master/csl-citation.json"} </w:instrText>
            </w:r>
            <w:r w:rsidRPr="00CE0BCE">
              <w:rPr>
                <w:rFonts w:eastAsia="Times New Roman"/>
                <w:szCs w:val="24"/>
                <w:lang w:val="kk-KZ" w:eastAsia="ru-RU"/>
              </w:rPr>
              <w:fldChar w:fldCharType="separate"/>
            </w:r>
            <w:r w:rsidR="009C6DCA" w:rsidRPr="009C6DCA">
              <w:t>[42]</w:t>
            </w:r>
            <w:r w:rsidRPr="00CE0BCE">
              <w:rPr>
                <w:rFonts w:eastAsia="Times New Roman"/>
                <w:szCs w:val="24"/>
                <w:lang w:val="kk-KZ" w:eastAsia="ru-RU"/>
              </w:rPr>
              <w:fldChar w:fldCharType="end"/>
            </w:r>
            <w:r w:rsidRPr="00CE0BCE">
              <w:rPr>
                <w:rFonts w:eastAsia="Times New Roman"/>
                <w:szCs w:val="24"/>
                <w:lang w:eastAsia="ru-RU"/>
              </w:rPr>
              <w:t xml:space="preserve"> и система профессионального образования.</w:t>
            </w:r>
          </w:p>
        </w:tc>
      </w:tr>
      <w:tr w:rsidR="00C46E6B" w:rsidRPr="00CE0BCE" w14:paraId="6478E6D0" w14:textId="77777777" w:rsidTr="00E458EC">
        <w:tc>
          <w:tcPr>
            <w:tcW w:w="0" w:type="auto"/>
            <w:hideMark/>
          </w:tcPr>
          <w:p w14:paraId="4AE60BD4" w14:textId="77777777" w:rsidR="00C46E6B" w:rsidRPr="00CE0BCE" w:rsidRDefault="00C46E6B" w:rsidP="00C46E6B">
            <w:pPr>
              <w:ind w:firstLine="0"/>
              <w:rPr>
                <w:rFonts w:eastAsia="Times New Roman"/>
                <w:szCs w:val="24"/>
                <w:lang w:eastAsia="ru-RU"/>
              </w:rPr>
            </w:pPr>
            <w:r w:rsidRPr="00CE0BCE">
              <w:rPr>
                <w:rFonts w:eastAsia="Times New Roman"/>
                <w:bCs/>
                <w:szCs w:val="24"/>
                <w:lang w:eastAsia="ru-RU"/>
              </w:rPr>
              <w:t>5</w:t>
            </w:r>
          </w:p>
        </w:tc>
        <w:tc>
          <w:tcPr>
            <w:tcW w:w="2269" w:type="dxa"/>
            <w:hideMark/>
          </w:tcPr>
          <w:p w14:paraId="7660A306" w14:textId="77777777" w:rsidR="00C46E6B" w:rsidRPr="00CE0BCE" w:rsidRDefault="00C46E6B" w:rsidP="00C46E6B">
            <w:pPr>
              <w:ind w:firstLine="0"/>
              <w:rPr>
                <w:rFonts w:eastAsia="Times New Roman"/>
                <w:szCs w:val="24"/>
                <w:lang w:eastAsia="ru-RU"/>
              </w:rPr>
            </w:pPr>
            <w:r w:rsidRPr="00CE0BCE">
              <w:rPr>
                <w:rFonts w:eastAsia="Times New Roman"/>
                <w:bCs/>
                <w:szCs w:val="24"/>
                <w:lang w:eastAsia="ru-RU"/>
              </w:rPr>
              <w:t>Инновационная культура</w:t>
            </w:r>
          </w:p>
        </w:tc>
        <w:tc>
          <w:tcPr>
            <w:tcW w:w="3328" w:type="dxa"/>
            <w:hideMark/>
          </w:tcPr>
          <w:p w14:paraId="745B034E" w14:textId="51383B31" w:rsidR="00C46E6B" w:rsidRPr="00CE0BCE" w:rsidRDefault="00C46E6B" w:rsidP="00C46E6B">
            <w:pPr>
              <w:ind w:firstLine="0"/>
              <w:rPr>
                <w:rFonts w:eastAsia="Times New Roman"/>
                <w:szCs w:val="24"/>
                <w:lang w:eastAsia="ru-RU"/>
              </w:rPr>
            </w:pPr>
            <w:r w:rsidRPr="00CE0BCE">
              <w:rPr>
                <w:rFonts w:eastAsia="Times New Roman"/>
                <w:szCs w:val="24"/>
                <w:lang w:eastAsia="ru-RU"/>
              </w:rPr>
              <w:t>Совокупность ценностей, норм и моделей поведения, стимулирующих инновационную активность, открытость к экспериментам и обмен знаниями</w:t>
            </w:r>
            <w:r w:rsidRPr="00CE0BCE">
              <w:rPr>
                <w:rFonts w:eastAsia="Times New Roman"/>
                <w:szCs w:val="24"/>
                <w:lang w:val="kk-KZ" w:eastAsia="ru-RU"/>
              </w:rPr>
              <w:t xml:space="preserve"> </w:t>
            </w:r>
            <w:r w:rsidRPr="00CE0BCE">
              <w:rPr>
                <w:rFonts w:eastAsia="Times New Roman"/>
                <w:szCs w:val="24"/>
                <w:lang w:val="kk-KZ" w:eastAsia="ru-RU"/>
              </w:rPr>
              <w:fldChar w:fldCharType="begin"/>
            </w:r>
            <w:r w:rsidR="00A5770E">
              <w:rPr>
                <w:rFonts w:eastAsia="Times New Roman"/>
                <w:szCs w:val="24"/>
                <w:lang w:val="kk-KZ" w:eastAsia="ru-RU"/>
              </w:rPr>
              <w:instrText xml:space="preserve"> ADDIN ZOTERO_ITEM CSL_CITATION {"citationID":"a25krna02h5","properties":{"formattedCitation":"[43]","plainCitation":"[43]","noteIndex":0},"citationItems":[{"id":92,"uris":["http://zotero.org/users/16887523/items/RHIMWNTX"],"itemData":{"id":92,"type":"article-journal","abstract":"Introduction/Main Objectives: This research aims to (a) investigate the impact of leadership types (specifically responsible and transformational leadership) on behavior related to knowledge sharing and (b) assess the influence of mediating factors of person-organization fit between leadership style and knowledge sharing behavior, and (c) examine how the culture of higher education institutions (HEIs) influences the development of leadership and organizational dynamics. Background Problems: In prior research, conflicting findings have emerged concerning the connection between leadership and knowledge sharing. It is essential, by looking at responsible and transformational types of leadership, to determine which type exerts the most substantial influence on knowledge-sharing behavior Novelty: This research extends previous research by utilizing two types of leadership, namely responsible leadership (RL) and transformational leadership (TL), in one research model. By doing this, we compare which of the two leadership models significantly influences knowledge-sharing behavior among lecturers. Research Methods: This research was conducted through an using  convenience and snowball sampling methods and collected 256 lecturers as participants from diverse Indonesian universities. The data ware analyzed using partial least squares (PLS) with the support of WarpPLS 7.0. Finding/Results: This study discovered that responsible leadership, transformational leadership, and person-organization fit positively impact knowledge-sharing behavior. Moreover, the culture of higher education institutions moderates the relationship between responsible and transfor­mational leadership and person-organization fit, however unfortunately, it fails to strengthen this relationship. Person-organization fit serves as a mediator in the relationship between transformational leadership and knowledge-sharing behavior. Additionally, it was observed that transfor­mational leadership has a more significant impact than responsible leadership on knowledge-sharing behavior. Conclusion: This study has the potential to offer empirical evidence and bring cohesion to social exchange theories concerning the influence of leadership types on knowledge-sharing behavior","container-title":"Journal of Indonesian Economy and Business","DOI":"10.22146/jieb.v40i3.11679","ISSN":"2338-5847, 2085-8272","issue":"3","journalAbbreviation":"J. Indones. econ. bus. (Online)","license":"https://creativecommons.org/licenses/by-sa/4.0","source":"DOI.org (Crossref)","title":"Knowledge Sharing Among Lecturers: Evidence from Indonesia","title-short":"Knowledge Sharing Among Lecturers","URL":"https://journal.ugm.ac.id/v3/jieb/article/view/11679","volume":"40","author":[{"family":"Nurpatwikanto","given":"Widyo"},{"family":"Fikrianoor","given":"Kahfi"},{"family":"Rolanisa","given":"Prila Eki"},{"family":"Ulfa","given":"Dian Maria"},{"family":"Latoe","given":"Vega Anindhitha"},{"family":"Handayani","given":"Wuri"}],"accessed":{"date-parts":[["2025",11,22]]},"issued":{"date-parts":[["2025",9,29]]}}}],"schema":"https://github.com/citation-style-language/schema/raw/master/csl-citation.json"} </w:instrText>
            </w:r>
            <w:r w:rsidRPr="00CE0BCE">
              <w:rPr>
                <w:rFonts w:eastAsia="Times New Roman"/>
                <w:szCs w:val="24"/>
                <w:lang w:val="kk-KZ" w:eastAsia="ru-RU"/>
              </w:rPr>
              <w:fldChar w:fldCharType="separate"/>
            </w:r>
            <w:r w:rsidR="009C6DCA" w:rsidRPr="009C6DCA">
              <w:t>[43]</w:t>
            </w:r>
            <w:r w:rsidRPr="00CE0BCE">
              <w:rPr>
                <w:rFonts w:eastAsia="Times New Roman"/>
                <w:szCs w:val="24"/>
                <w:lang w:val="kk-KZ" w:eastAsia="ru-RU"/>
              </w:rPr>
              <w:fldChar w:fldCharType="end"/>
            </w:r>
            <w:r w:rsidRPr="00CE0BCE">
              <w:rPr>
                <w:rFonts w:eastAsia="Times New Roman"/>
                <w:szCs w:val="24"/>
                <w:lang w:eastAsia="ru-RU"/>
              </w:rPr>
              <w:t>.</w:t>
            </w:r>
          </w:p>
        </w:tc>
        <w:tc>
          <w:tcPr>
            <w:tcW w:w="3586" w:type="dxa"/>
            <w:hideMark/>
          </w:tcPr>
          <w:p w14:paraId="629AB75A" w14:textId="78D32B9B" w:rsidR="00C46E6B" w:rsidRPr="00CE0BCE" w:rsidRDefault="00C46E6B" w:rsidP="009C6DCA">
            <w:pPr>
              <w:ind w:firstLine="0"/>
              <w:rPr>
                <w:rFonts w:eastAsia="Times New Roman"/>
                <w:szCs w:val="24"/>
                <w:lang w:eastAsia="ru-RU"/>
              </w:rPr>
            </w:pPr>
            <w:r w:rsidRPr="00CE0BCE">
              <w:rPr>
                <w:rFonts w:eastAsia="Times New Roman"/>
                <w:szCs w:val="24"/>
                <w:lang w:eastAsia="ru-RU"/>
              </w:rPr>
              <w:t>Формирует внутреннюю мотивацию к инновациям; зависит от управленческих практик и от степени цифровизации коммуникаций и бизнес-процессов</w:t>
            </w:r>
            <w:r w:rsidRPr="00CE0BCE">
              <w:rPr>
                <w:rFonts w:eastAsia="Times New Roman"/>
                <w:szCs w:val="24"/>
                <w:lang w:val="kk-KZ" w:eastAsia="ru-RU"/>
              </w:rPr>
              <w:t xml:space="preserve"> </w:t>
            </w:r>
            <w:r w:rsidRPr="00CE0BCE">
              <w:rPr>
                <w:rFonts w:eastAsia="Times New Roman"/>
                <w:szCs w:val="24"/>
                <w:lang w:val="kk-KZ" w:eastAsia="ru-RU"/>
              </w:rPr>
              <w:fldChar w:fldCharType="begin"/>
            </w:r>
            <w:r w:rsidR="009C6DCA">
              <w:rPr>
                <w:rFonts w:eastAsia="Times New Roman"/>
                <w:szCs w:val="24"/>
                <w:lang w:val="kk-KZ" w:eastAsia="ru-RU"/>
              </w:rPr>
              <w:instrText xml:space="preserve"> ADDIN ZOTERO_ITEM CSL_CITATION {"citationID":"a2836uphk5o","properties":{"formattedCitation":"[44\\uc0\\u8211{}46]","plainCitation":"[44–46]","noteIndex":0},"citationItems":[{"id":93,"uris":["http://zotero.org/users/16887523/items/FTLDVCWI"],"itemData":{"id":93,"type":"article-journal","abstract":"This article aims to show that, to more effectively use artificial intelligence to prosper, corporations also need to develop a digital knowledge-powered culture. This article is not to present data and comes from our 30 years of observations and consulting work experience in the fields of organizational transformation and emerging technology in the world. In this article, we propose that organizations develop a digital knowledge-powered culture to effectively address these concerns and increase the positive impacts of artificial intelligence technology in their corporations. The corporate world has never been the same since the invention of artificial intelligence technology and never will be. In today’s AI-centric era, shaping equals transformation. Shaping means changing the shape. In the cyberspace of AI, real-time transformations take place on the stage. The emerging technology of artificial intelligence is a powerful weapon but a neutral agent, and executives in the US and the other developed world now have two options: develop a digital knowledge-powered culture to use it or ignore such a culture to lose it. We particularly show that if executives select to use artificial intelligence, they should be aware that there is also one concern regarding an effective transformation for AI: cultivating an effective digital knowledge-powered culture for corporations.","container-title":"Business Information Review","DOI":"10.1177/02663821251385337","ISSN":"0266-3821, 1741-6450","journalAbbreviation":"Business Information Review","language":"en","page":"02663821251385337","source":"DOI.org (Crossref)","title":"Digitize your knowledge-powered culture to double the impact of A.I.","URL":"https://journals.sagepub.com/doi/10.1177/02663821251385337","author":[{"family":"Sayyadi","given":"Mostafa"},{"family":"Provitera","given":"Michael"}],"accessed":{"date-parts":[["2025",11,22]]},"issued":{"date-parts":[["2025",9,25]]}}},{"id":94,"uris":["http://zotero.org/users/16887523/items/46GPUQVU"],"itemData":{"id":94,"type":"article-journal","abstract":"This study\n              aims\n              to identify the key factors behind the successful implementation of a Knowledge Management System (KMS) based on the experience of United Engine Corporation JSC (UEC JSC), and to develop practical recommendations for introducing KMS at Russian high-tech industrial enterprises. The\n              relevance\n              of this research lies in the growing importance of knowledge, experience, and information in today’s market economy. The lack of a structured knowledge management system highlights the need for effective tools to foster a knowledge-sharing culture, as well as for mechanisms to locate, store, and distribute knowledge within an organization. The study employed a\n              methodology\n              based on the analysis of international and domestic academic literature, reviews of media materials, and an in-depth examination of UEC’s internal practices. Key features of the corporation’s knowledge management approach were identified, which, while grounded in widely accepted principles, are tailored to the specific operational context of the company. Particular emphasis was placed on the implementation of innovative knowledge management tools designed to enhance the efficiency of the company’s information resources. The\n              findings\n              indicate that the success of KMS implementation at UEC results from the combined use of traditional approaches — adapted to the organization’s specific needs — and modern technologies. The proposed solutions may serve as a foundation for other Russian enterprises seeking to design and implement their own KMS. The UEC case demonstrates that optimizing knowledge management processes can significantly improve an organization’s competitiveness. Thus, a knowledge management system becomes not only a tool for increasing internal process efficiency but also a strategic asset in the modern economic environment.","container-title":"Управленческие науки / Management Sciences.","DOI":"10.26794/2304-022X-2025-15-3-98-107","ISSN":"2618-9941, 2304-022X","issue":"3","journalAbbreviation":"Upravlencheskie nauki","license":"https://managementscience.fa.ru/jour/about/editorialPolicies#openAccessPolicy","page":"98-107","source":"DOI.org (Crossref)","title":"Подходы к внедрению системы управления знаниями: опыт АО «Объединенная двигателестроительная корпорация»","title-short":"Approaches to Implementing a Knowledge Management System","URL":"https://managementscience.fa.ru/jour/article/view/708","volume":"15","author":[{"family":"Михненко,","given":"П. А."},{"family":"Ермакова","given":"М. В."}],"accessed":{"date-parts":[["2025",11,22]]},"issued":{"date-parts":[["2025"]]}}},{"id":95,"uris":["http://zotero.org/users/16887523/items/2283HXFV"],"itemData":{"id":95,"type":"article-journal","abstract":"This study explores the relationship between digital culture and the concealment of knowledge via social media. The study aims to analyze the impact of the different dimensions of digital culture (access to knowledge and digital content, privacy and digital security, interaction and social sharing, content control and digital censorship) on the behavior of individuals in hiding knowledge online. The quantitative study methodology was used, where the data was collected through a questionnaire distributed to a random sample of social media users in the Kadhimiya area of Baghdad. The results of data analysis using simple regression showed statistically significant positive effects for each of the mentioned dimensions on knowledge concealment. The results suggest that privacy, digital security, and content control had a greater impact on increased masking behavior, while the effects were less pronounced for knowledge access and social interaction.","container-title":"Khazayin of Economic and Administrative Sciences","DOI":"10.69938/Keas.2502036","ISSN":"3007-9020, 2960-1363","journalAbbreviation":"KJEAS","license":"https://creativecommons.org/licenses/by-nc/4.0/","page":"71-92","source":"DOI.org (Crossref)","title":"Digital Culture and Its Impact on Knowledge Concealment: A Survey Study from the Perspective of Social Media Users","title-short":"Digital Culture and Its Impact on Knowledge Concealment","URL":"https://keas.uodiyala.edu.iq/index.php/kjeas/article/view/121","author":[{"family":"Najeeb","given":"Sahm Hazim"}],"accessed":{"date-parts":[["2025",11,22]]},"issued":{"date-parts":[["2025",9,27]]}}}],"schema":"https://github.com/citation-style-language/schema/raw/master/csl-citation.json"} </w:instrText>
            </w:r>
            <w:r w:rsidRPr="00CE0BCE">
              <w:rPr>
                <w:rFonts w:eastAsia="Times New Roman"/>
                <w:szCs w:val="24"/>
                <w:lang w:val="kk-KZ" w:eastAsia="ru-RU"/>
              </w:rPr>
              <w:fldChar w:fldCharType="separate"/>
            </w:r>
            <w:r w:rsidR="009C6DCA" w:rsidRPr="009C6DCA">
              <w:rPr>
                <w:szCs w:val="24"/>
              </w:rPr>
              <w:t>[44–46]</w:t>
            </w:r>
            <w:r w:rsidRPr="00CE0BCE">
              <w:rPr>
                <w:rFonts w:eastAsia="Times New Roman"/>
                <w:szCs w:val="24"/>
                <w:lang w:val="kk-KZ" w:eastAsia="ru-RU"/>
              </w:rPr>
              <w:fldChar w:fldCharType="end"/>
            </w:r>
            <w:r w:rsidRPr="00CE0BCE">
              <w:rPr>
                <w:rFonts w:eastAsia="Times New Roman"/>
                <w:szCs w:val="24"/>
                <w:lang w:eastAsia="ru-RU"/>
              </w:rPr>
              <w:t>.</w:t>
            </w:r>
          </w:p>
        </w:tc>
      </w:tr>
      <w:tr w:rsidR="00C46E6B" w:rsidRPr="00CE0BCE" w14:paraId="20A6C658" w14:textId="77777777" w:rsidTr="00E458EC">
        <w:tc>
          <w:tcPr>
            <w:tcW w:w="0" w:type="auto"/>
            <w:hideMark/>
          </w:tcPr>
          <w:p w14:paraId="0D3BA1B7" w14:textId="77777777" w:rsidR="00C46E6B" w:rsidRPr="00CE0BCE" w:rsidRDefault="00C46E6B" w:rsidP="00C46E6B">
            <w:pPr>
              <w:ind w:firstLine="0"/>
              <w:rPr>
                <w:rFonts w:eastAsia="Times New Roman"/>
                <w:szCs w:val="24"/>
                <w:lang w:eastAsia="ru-RU"/>
              </w:rPr>
            </w:pPr>
            <w:r w:rsidRPr="00CE0BCE">
              <w:rPr>
                <w:rFonts w:eastAsia="Times New Roman"/>
                <w:bCs/>
                <w:szCs w:val="24"/>
                <w:lang w:eastAsia="ru-RU"/>
              </w:rPr>
              <w:t>6</w:t>
            </w:r>
          </w:p>
        </w:tc>
        <w:tc>
          <w:tcPr>
            <w:tcW w:w="2269" w:type="dxa"/>
            <w:hideMark/>
          </w:tcPr>
          <w:p w14:paraId="43B7AF63" w14:textId="77777777" w:rsidR="00C46E6B" w:rsidRPr="00CE0BCE" w:rsidRDefault="00C46E6B" w:rsidP="00C46E6B">
            <w:pPr>
              <w:ind w:firstLine="0"/>
              <w:rPr>
                <w:rFonts w:eastAsia="Times New Roman"/>
                <w:szCs w:val="24"/>
                <w:lang w:eastAsia="ru-RU"/>
              </w:rPr>
            </w:pPr>
            <w:r w:rsidRPr="00CE0BCE">
              <w:rPr>
                <w:rFonts w:eastAsia="Times New Roman"/>
                <w:bCs/>
                <w:szCs w:val="24"/>
                <w:lang w:eastAsia="ru-RU"/>
              </w:rPr>
              <w:t>Институциональная среда и цифровая адаптация</w:t>
            </w:r>
          </w:p>
        </w:tc>
        <w:tc>
          <w:tcPr>
            <w:tcW w:w="3328" w:type="dxa"/>
            <w:hideMark/>
          </w:tcPr>
          <w:p w14:paraId="78D054DC" w14:textId="0700EEAA" w:rsidR="00C46E6B" w:rsidRPr="00CE0BCE" w:rsidRDefault="00C46E6B" w:rsidP="00C46E6B">
            <w:pPr>
              <w:ind w:firstLine="0"/>
              <w:rPr>
                <w:rFonts w:eastAsia="Times New Roman"/>
                <w:szCs w:val="24"/>
                <w:lang w:eastAsia="ru-RU"/>
              </w:rPr>
            </w:pPr>
            <w:r w:rsidRPr="00CE0BCE">
              <w:rPr>
                <w:rFonts w:eastAsia="Times New Roman"/>
                <w:szCs w:val="24"/>
                <w:lang w:eastAsia="ru-RU"/>
              </w:rPr>
              <w:t>Включает нормативно-правовые, организационные и инфраструктурные условия инновационной деятельности, уровень цифровой зрелости, доступ к ИКТ и государственным программам поддержки</w:t>
            </w:r>
            <w:r w:rsidRPr="00CE0BCE">
              <w:rPr>
                <w:rFonts w:eastAsia="Times New Roman"/>
                <w:szCs w:val="24"/>
                <w:lang w:val="kk-KZ" w:eastAsia="ru-RU"/>
              </w:rPr>
              <w:t xml:space="preserve"> </w:t>
            </w:r>
            <w:r w:rsidRPr="00CE0BCE">
              <w:rPr>
                <w:rFonts w:eastAsia="Times New Roman"/>
                <w:szCs w:val="24"/>
                <w:lang w:val="kk-KZ" w:eastAsia="ru-RU"/>
              </w:rPr>
              <w:fldChar w:fldCharType="begin"/>
            </w:r>
            <w:r w:rsidR="009C6DCA">
              <w:rPr>
                <w:rFonts w:eastAsia="Times New Roman"/>
                <w:szCs w:val="24"/>
                <w:lang w:val="kk-KZ" w:eastAsia="ru-RU"/>
              </w:rPr>
              <w:instrText xml:space="preserve"> ADDIN ZOTERO_ITEM CSL_CITATION {"citationID":"a2qlmm0ke29","properties":{"formattedCitation":"[47,48]","plainCitation":"[47,48]","noteIndex":0},"citationItems":[{"id":96,"uris":["http://zotero.org/users/16887523/items/4GQC3BRJ"],"itemData":{"id":96,"type":"article-journal","abstract":"The article examines conceptual and methodological approaches to assessing the maturity of digital university architecture as an institutional model for education transformation. The methodological basis is systemic analysis, a process-architectural approach, and organizational maturity models – Capability Maturity Model (CMM) and Business Process Maturity Model (BPMM). Particular attention is paid to the application of the international benchmarking APQC Education Process Classification Framework, which allows structuring university activities into development processes, core activities, and support processes. The article states that the maturity of IT architecture directly affects the integration of management and educational processes and determines the strategic role of the IT department in the digital transformation of the university. The use of the BCG matrix made it possible to demonstrate the interdependence between the level of technology maturity and the positioning of information systems in the institution’s management system. The results obtained prove that achieving at least the third level of process management maturity is a prerequisite for the effective implementation of digital transformation, since it is at this stage that the regulation of key processes, coordination of actions between departments, and implementation of best practices are ensured. Thus, integrated assessment of architecture maturity creates the basis for forming a roadmap for digital transformation and strengthening the university’s competitiveness in the global digital economy.","container-title":"Journal of Economics, Finance And Management Studies","DOI":"10.47191/jefms/v8-i9-41","ISSN":"26440490, 26440504","issue":"09","journalAbbreviation":"jefms","source":"DOI.org (Crossref)","title":"Assessing the Maturity of the Digital University Architecture as an Institutional Model for Education Transformation","URL":"https://www.ijefm.co.in/v8i9/41.php","volume":"08","author":[{"family":"Bobro","given":"Natalia"}],"accessed":{"date-parts":[["2025",11,22]]},"issued":{"date-parts":[["2025",9,29]]}}},{"id":97,"uris":["http://zotero.org/users/16887523/items/47Z5XJGW"],"itemData":{"id":97,"type":"article-journal","abstract":"This study reviews communication pathways in multilevel governance, focusing on the role of digital innovation in shaping public value. The purpose was to examine how political communication is mediated digitally, how media technologies support governance innovation, and how digital channels contribute to public value through legitimacy, accountability, and trust. A systematic literature review (SLR) was conducted using the PRISMA framework, narrowing an initial pool of studies to 12 recent, peer-reviewed articles. Thematic analysis identified three key areas: digital mediation of political communication, the role of media technologies in governance innovation, and public value creation. Findings indicate that digital tools enhance transparency, inclusiveness, and responsiveness but remain limited by structural capacity gaps, inequality, and weak feedback mechanisms. The results confirm that technology must be embedded within strong institutional frameworks to realize its full potential. The study contributes to theories of deliberative democracy, public value, and socio-technical systems by showing how digital communication reshapes governance relationships. Future research should expand cross-country and longitudinal comparisons to deepen understanding of evolving digital governance dynamics.","container-title":"Review of Communication Research","DOI":"10.52152/RCR.V13.S9","ISSN":"2255-4165","issue":"Special","journalAbbreviation":"RCR","license":"https://creativecommons.org/licenses/by-nc/4.0","page":"196-210","source":"DOI.org (Crossref)","title":"Communication Pathways in Multilevel Governance: A Review of Digital Innovation and Public Value","title-short":"Communication Pathways in Multilevel Governance","URL":"https://rcommunicationr.org/index.php/rcr/article/view/244","volume":"13","author":[{"family":"Tang","given":"Xi"},{"family":"Fillip","given":"Kex Zena"}],"accessed":{"date-parts":[["2025",11,22]]},"issued":{"date-parts":[["2025",9,29]]}}}],"schema":"https://github.com/citation-style-language/schema/raw/master/csl-citation.json"} </w:instrText>
            </w:r>
            <w:r w:rsidRPr="00CE0BCE">
              <w:rPr>
                <w:rFonts w:eastAsia="Times New Roman"/>
                <w:szCs w:val="24"/>
                <w:lang w:val="kk-KZ" w:eastAsia="ru-RU"/>
              </w:rPr>
              <w:fldChar w:fldCharType="separate"/>
            </w:r>
            <w:r w:rsidR="009C6DCA" w:rsidRPr="009C6DCA">
              <w:t>[47,48]</w:t>
            </w:r>
            <w:r w:rsidRPr="00CE0BCE">
              <w:rPr>
                <w:rFonts w:eastAsia="Times New Roman"/>
                <w:szCs w:val="24"/>
                <w:lang w:val="kk-KZ" w:eastAsia="ru-RU"/>
              </w:rPr>
              <w:fldChar w:fldCharType="end"/>
            </w:r>
            <w:r w:rsidRPr="00CE0BCE">
              <w:rPr>
                <w:rFonts w:eastAsia="Times New Roman"/>
                <w:szCs w:val="24"/>
                <w:lang w:eastAsia="ru-RU"/>
              </w:rPr>
              <w:t>.</w:t>
            </w:r>
          </w:p>
        </w:tc>
        <w:tc>
          <w:tcPr>
            <w:tcW w:w="3586" w:type="dxa"/>
            <w:hideMark/>
          </w:tcPr>
          <w:p w14:paraId="6B546B57" w14:textId="77777777" w:rsidR="00C46E6B" w:rsidRPr="00CE0BCE" w:rsidRDefault="00C46E6B" w:rsidP="00C46E6B">
            <w:pPr>
              <w:ind w:firstLine="0"/>
              <w:rPr>
                <w:rFonts w:eastAsia="Times New Roman"/>
                <w:szCs w:val="24"/>
                <w:lang w:eastAsia="ru-RU"/>
              </w:rPr>
            </w:pPr>
            <w:r w:rsidRPr="00CE0BCE">
              <w:rPr>
                <w:rFonts w:eastAsia="Times New Roman"/>
                <w:szCs w:val="24"/>
                <w:lang w:eastAsia="ru-RU"/>
              </w:rPr>
              <w:t>Относится к внешнему потенциалу; формирует условия, определяющие реализацию внутренних возможностей и рост инновационной активности.</w:t>
            </w:r>
          </w:p>
        </w:tc>
      </w:tr>
      <w:tr w:rsidR="00C46E6B" w:rsidRPr="00CE0BCE" w14:paraId="0BBE0014" w14:textId="77777777" w:rsidTr="00DF34C6">
        <w:tc>
          <w:tcPr>
            <w:tcW w:w="0" w:type="auto"/>
            <w:gridSpan w:val="4"/>
          </w:tcPr>
          <w:p w14:paraId="0FAD7068" w14:textId="2B5D84FD" w:rsidR="00C46E6B" w:rsidRPr="00EE311D" w:rsidRDefault="00A40C4F" w:rsidP="00460483">
            <w:pPr>
              <w:ind w:firstLine="459"/>
              <w:rPr>
                <w:rFonts w:eastAsia="Times New Roman"/>
                <w:szCs w:val="24"/>
                <w:lang w:val="kk-KZ" w:eastAsia="ru-RU"/>
              </w:rPr>
            </w:pPr>
            <w:r w:rsidRPr="00EE311D">
              <w:rPr>
                <w:rFonts w:eastAsia="Times New Roman"/>
                <w:szCs w:val="24"/>
                <w:lang w:val="kk-KZ" w:eastAsia="ru-RU"/>
              </w:rPr>
              <w:t>Примечание – С</w:t>
            </w:r>
            <w:r w:rsidR="00C46E6B" w:rsidRPr="00EE311D">
              <w:rPr>
                <w:rFonts w:eastAsia="Times New Roman"/>
                <w:szCs w:val="24"/>
                <w:lang w:val="kk-KZ" w:eastAsia="ru-RU"/>
              </w:rPr>
              <w:t>оставлено автором</w:t>
            </w:r>
          </w:p>
        </w:tc>
      </w:tr>
    </w:tbl>
    <w:p w14:paraId="5759B524" w14:textId="77777777" w:rsidR="000246A1" w:rsidRPr="00CE0BCE" w:rsidRDefault="000246A1" w:rsidP="002F33D0">
      <w:pPr>
        <w:tabs>
          <w:tab w:val="left" w:pos="851"/>
        </w:tabs>
        <w:spacing w:after="0" w:line="240" w:lineRule="auto"/>
        <w:ind w:firstLine="567"/>
        <w:jc w:val="both"/>
        <w:rPr>
          <w:rFonts w:ascii="Times New Roman" w:hAnsi="Times New Roman" w:cs="Times New Roman"/>
          <w:sz w:val="28"/>
          <w:szCs w:val="28"/>
        </w:rPr>
      </w:pPr>
      <w:r w:rsidRPr="00CE0BCE">
        <w:rPr>
          <w:rFonts w:ascii="Times New Roman" w:hAnsi="Times New Roman" w:cs="Times New Roman"/>
          <w:sz w:val="28"/>
          <w:szCs w:val="28"/>
        </w:rPr>
        <w:lastRenderedPageBreak/>
        <w:t>В отличие от традиционных классификаций, ограничивающихся лишь ресурсными аспектами, данная модель основана на разграничении внутреннего и внешнего потенциала, что обеспечивает системное представление об инновационном развитии предпринимательских структур.</w:t>
      </w:r>
    </w:p>
    <w:p w14:paraId="278700BE" w14:textId="77777777" w:rsidR="000246A1" w:rsidRPr="00CE0BCE" w:rsidRDefault="000246A1" w:rsidP="002F33D0">
      <w:pPr>
        <w:tabs>
          <w:tab w:val="left" w:pos="851"/>
        </w:tabs>
        <w:spacing w:after="0" w:line="240" w:lineRule="auto"/>
        <w:ind w:firstLine="567"/>
        <w:jc w:val="both"/>
        <w:rPr>
          <w:rFonts w:ascii="Times New Roman" w:hAnsi="Times New Roman" w:cs="Times New Roman"/>
          <w:sz w:val="28"/>
          <w:szCs w:val="28"/>
        </w:rPr>
      </w:pPr>
      <w:r w:rsidRPr="00CE0BCE">
        <w:rPr>
          <w:rFonts w:ascii="Times New Roman" w:hAnsi="Times New Roman" w:cs="Times New Roman"/>
          <w:sz w:val="28"/>
          <w:szCs w:val="28"/>
        </w:rPr>
        <w:t>К внутренним составляющим относятся управленческо-инновационные, технологические, финансовые и кадрово-компетентностные ресурсы, а также инновационная культура, определяющая уровень готовности персонала и менеджмента к восприятию новшеств.</w:t>
      </w:r>
    </w:p>
    <w:p w14:paraId="01344AA0" w14:textId="77777777" w:rsidR="000246A1" w:rsidRPr="00CE0BCE" w:rsidRDefault="000246A1" w:rsidP="002F33D0">
      <w:pPr>
        <w:tabs>
          <w:tab w:val="left" w:pos="851"/>
        </w:tabs>
        <w:spacing w:after="0" w:line="240" w:lineRule="auto"/>
        <w:ind w:firstLine="567"/>
        <w:jc w:val="both"/>
        <w:rPr>
          <w:rFonts w:ascii="Times New Roman" w:hAnsi="Times New Roman" w:cs="Times New Roman"/>
          <w:sz w:val="28"/>
          <w:szCs w:val="28"/>
        </w:rPr>
      </w:pPr>
      <w:r w:rsidRPr="00CE0BCE">
        <w:rPr>
          <w:rFonts w:ascii="Times New Roman" w:hAnsi="Times New Roman" w:cs="Times New Roman"/>
          <w:sz w:val="28"/>
          <w:szCs w:val="28"/>
        </w:rPr>
        <w:t>К внешним компонентам отнесены институциональная среда и цифровая адаптация, формирующие нормативные, инфраструктурные и технологические условия реализации внутренних возможностей предприятия.</w:t>
      </w:r>
    </w:p>
    <w:p w14:paraId="2AB8456C" w14:textId="54923B2F" w:rsidR="000246A1" w:rsidRPr="00CE0BCE" w:rsidRDefault="000246A1" w:rsidP="002F33D0">
      <w:pPr>
        <w:tabs>
          <w:tab w:val="left" w:pos="851"/>
        </w:tabs>
        <w:spacing w:after="0" w:line="240" w:lineRule="auto"/>
        <w:ind w:firstLine="567"/>
        <w:jc w:val="both"/>
        <w:rPr>
          <w:rFonts w:ascii="Times New Roman" w:hAnsi="Times New Roman" w:cs="Times New Roman"/>
          <w:sz w:val="28"/>
          <w:szCs w:val="28"/>
        </w:rPr>
      </w:pPr>
      <w:r w:rsidRPr="00CE0BCE">
        <w:rPr>
          <w:rFonts w:ascii="Times New Roman" w:hAnsi="Times New Roman" w:cs="Times New Roman"/>
          <w:sz w:val="28"/>
          <w:szCs w:val="28"/>
        </w:rPr>
        <w:t>Особое внимание уделено взаимодействию внутренних и внешних элементов, поскольку именно их согласованность обеспечивает устойчивость инновационного развития</w:t>
      </w:r>
      <w:r w:rsidR="00F6171F" w:rsidRPr="00CE0BCE">
        <w:rPr>
          <w:rFonts w:ascii="Times New Roman" w:hAnsi="Times New Roman" w:cs="Times New Roman"/>
          <w:sz w:val="28"/>
          <w:szCs w:val="28"/>
          <w:lang w:val="kk-KZ"/>
        </w:rPr>
        <w:t xml:space="preserve"> </w:t>
      </w:r>
      <w:r w:rsidR="00F6171F"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{"citationID":"acu8cre9ne","properties":{"formattedCitation":"[49]","plainCitation":"[49]","noteIndex":0},"citationItems":[{"id":100,"uris":["http://zotero.org/users/16887523/items/NTJNZBD3"],"itemData":{"id":100,"type":"article-journal","abstract":"The article proposes the results of a study on the formation of innovatively active enterprises according to the cluster model, justifies the practical use of this integration form to ensure sustainable development. The life cycle of cluster formation is justified, in particular, it is defined by stages: emergence (emergence of a system-forming business idea: basic technology and the presence of prospects for its commercialization), structuring the potential of the future cluster; growth (formation of a number of small business entities connected by sustainable technological chains); maturity (achievement by business entities of a scale of activity sufficient for independent functioning and maximizing the synergistic effect of interaction within the cluster); transformation of the business sector into a segment of an innovative industry cluster. Building a cluster innovative business in the context of sustainable development requires efforts to create favorable conditions for the implementation of scientific, technical and innovative activities. This requires legislative efforts not only at the level of implementing the innovative strategy of the state's socio-economic policy through the adoption and implementation of forecasts and programs of socio-economic development, targeted economic and scientific and technical programs, but also at the level of creating a legal framework for international cooperation in solving the most pressing issues of sustainable development and forming appropriate organizational mechanisms.","container-title":"Journal of Strategic Economic Research","DOI":"10.30857/2786-5398.2025.2.8","ISSN":"2786-5401, 2786-5398","issue":"2","journalAbbreviation":"jseconres","license":"https://creativecommons.org/licenses/by-nc-nd/4.0","page":"81-86","source":"DOI.org (Crossref)","title":"FORMATION OF A CLUSTER INNOVATIVE BUSINESS MODEL IN THE CONTEXT OF ENSURING SUSTAINABLE DEVELOPMENT","URL":"https://jrnl.knutd.edu.ua/index.php/jseconres/article/view/1850","author":[{"family":"Nehoda","given":"Serhii F."}],"accessed":{"date-parts":[["2025",11,22]]},"issued":{"date-parts":[["2025",9,10]]}}}],"schema":"https://github.com/citation-style-language/schema/raw/master/csl-citation.json"} </w:instrText>
      </w:r>
      <w:r w:rsidR="00F6171F"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[49]</w:t>
      </w:r>
      <w:r w:rsidR="00F6171F"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rPr>
        <w:t>. Управленческие и кадровые ресурсы усиливают влияние технологической и финансовой базы</w:t>
      </w:r>
      <w:r w:rsidR="00F6171F" w:rsidRPr="00CE0BCE">
        <w:rPr>
          <w:rFonts w:ascii="Times New Roman" w:hAnsi="Times New Roman" w:cs="Times New Roman"/>
          <w:sz w:val="28"/>
          <w:szCs w:val="28"/>
          <w:lang w:val="kk-KZ"/>
        </w:rPr>
        <w:t xml:space="preserve"> </w:t>
      </w:r>
      <w:r w:rsidR="00F6171F"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{"citationID":"a2n3uk88318","properties":{"formattedCitation":"[50]","plainCitation":"[50]","noteIndex":0},"citationItems":[{"id":101,"uris":["http://zotero.org/users/16887523/items/XZ7JAG8A"],"itemData":{"id":101,"type":"article-journal","abstract":"Purpose\n              Despite the growing number of firms undertaking digital transformation, there is still a limited understanding of how to realise business value, and many fail to implement it effectively. This study examines the interplay of digital organisational culture, digital transformation and business model innovation.\n            \n            \n              Design/methodology/approach\n              A quantitative research approach was employed, drawing on data from a representative survey of 250 firms across Greece’s trade, services and manufacturing sectors. Partial least squares structural equation modelling (PLS-SEM) was implemented to test the hypothesized relationships.\n            \n            \n              Findings\n              The study finds a strong positive effect of digital organisational culture on digital transformation. Additionally, digital transformation significantly influences business model innovation and fully mediates the relationship between digital organisational culture and business model innovation.\n            \n            \n              Practical implications\n              The study offers actionable insights for practitioners on how a proper digital culture (as an organisational requirement) and digital transformation practices can drive innovation in value creation, proposition and capture across trade, service and manufacturing firms. Additionally, the manuscript discusses the role of artificial intelligence (AI) as a core enabling technology that organisations increasingly adopt to drive and support digital transformation initiatives.\n            \n            \n              Originality/value\n              Literature on digital transformation concentrates on economic performance rather than innovation-driven outcomes, focusing on technology while overlooking the role of digital culture, which is key in overcoming resistance. This paper presents a novel model and empirical evidence from Greece, a Mediterranean country characterised by economic and resource constraints. It also offers sector-specific implications to support firms in maximising the value of digital investments and avoiding technological failures, which is crucial considering the urgency of artificial intelligence (AI).","container-title":"EuroMed Journal of Business","DOI":"10.1108/EMJB-06-2025-0220","ISSN":"1450-2194, 1758-888X","language":"en","page":"1-24","source":"DOI.org (Crossref)","title":"Digital transformation, digital organisational culture and business model innovation: evidence from trade, service and manufacturing firms in Greece","title-short":"Digital transformation, digital organisational culture and business model innovation","URL":"https://www.emerald.com/emjb/article/doi/10.1108/EMJB-06-2025-0220/1278994/Digital-transformation-digital-organisational","author":[{"family":"Farmakis","given":"Timoleon"},{"family":"Doukidis","given":"Georgios"},{"family":"Pramatari","given":"Katerina"},{"family":"Krasonikolakis","given":"Ioannis"}],"accessed":{"date-parts":[["2025",11,22]]},"issued":{"date-parts":[["2025",9,10]]}}}],"schema":"https://github.com/citation-style-language/schema/raw/master/csl-citation.json"} </w:instrText>
      </w:r>
      <w:r w:rsidR="00F6171F"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[50]</w:t>
      </w:r>
      <w:r w:rsidR="00F6171F"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rPr>
        <w:t>, тогда как институциональная и цифровая среда задают рамочные условия для эффективной реализации инноваций</w:t>
      </w:r>
      <w:r w:rsidR="00F6171F" w:rsidRPr="00CE0BCE">
        <w:rPr>
          <w:rFonts w:ascii="Times New Roman" w:hAnsi="Times New Roman" w:cs="Times New Roman"/>
          <w:sz w:val="28"/>
          <w:szCs w:val="28"/>
          <w:lang w:val="kk-KZ"/>
        </w:rPr>
        <w:t xml:space="preserve"> </w:t>
      </w:r>
      <w:r w:rsidR="00F6171F"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{"citationID":"a148drpb173","properties":{"formattedCitation":"[51,52]","plainCitation":"[51,52]","noteIndex":0},"citationItems":[{"id":102,"uris":["http://zotero.org/users/16887523/items/5JRGXQZ6"],"itemData":{"id":102,"type":"article-journal","abstract":"Aim.\n              The work aimed to study approaches to the implementation of innovative technologies based on automation and robotization in the production processes of industrial enterprises.\n              Objectives.\n              The work seeks to analyze the key factors influencing the efficiency of automation and robotization, including the use of digital technologies (artificial intelligence, the Internet of things); to discuss the results of implementation of industrial robots in the economies of leading regions; to propose practical recommendations for the integration of robotic systems.\n              Methods.\n              The authors used system analysis and generalization to study the approaches and practical experience of implementing automation and robotization in industrial production processes.\n              Results.\n              It was established that the key results of the implementation of automation and robotization include optimization of business processes, increased productivity, cost reduction, and ensuring the competitiveness of industrial structures. Based on the analysis, practical recommendations are proposed for the integration of robotic systems into the existing infrastructure, personnel training, and adaptation of management decisions.\n              Conclusions.\n              A comprehensive study of approaches to automation, analysis of key factors and experience of leading regions enable to form a systemic view of the process of implementing innovative technologies. This will create the basis for developing practical recommendations aimed at increasing the efficiency and competitiveness of industrial enterprises in modern conditions.","container-title":"Экономика и управление","DOI":"10.35854/1998-1627-2025-8-1079-1090","ISSN":"1998-1627","issue":"8","journalAbbreviation":"Èkonomika i upravlenie","license":"https://emjume.elpub.ru/jour/about/editorialPolicies#openAccessPolicy","page":"1079-1090","source":"DOI.org (Crossref)","title":"Внедрение инновационных технологий на основе автоматизации и роботизации производства предпринимательских структур промышленности","URL":"https://emjume.elpub.ru/jour/article/view/2603","volume":"31","author":[{"family":"Лясников","given":"Н.В."},{"family":"Лясникова","given":"Ю.В."},{"family":"Серебренников","given":"С.С."},{"family":"Харитонов","given":"С.С."}],"accessed":{"date-parts":[["2025",11,22]]},"issued":{"date-parts":[["2025"]]}}},{"id":103,"uris":["http://zotero.org/users/16887523/items/H875W4DP"],"itemData":{"id":103,"type":"article-journal","abstract":"The article considers and defines the features of innovative development of integrated structures. The innovative activity of enterprise interaction in a single economic space is substantiated. Factors of influence on the innovative development of integrated structures of enterprise interaction in martial law conditions are formed, taking into account foreign experience. Based on the theory of innovation clusters and the concept of growth cycles, conclusions are formed that in a market environment, the innovative development of integrated structures of enterprise interaction in martial law conditions is associated with the distribution and cooperation, provision of resources and, accordingly, the implementation of procedures for the effective implementation of the life innovation cycle. Factors that have an impact, form a favorable environment, allow integrated structures in interaction to be capable of innovations, demand formation; development of supporting sectors of the economy; to be stable in the market and to strategize in conditions of post-war recovery. Enterprises in interaction constitute the basic competitive basis of the country in war conditions, forming the necessary space for the development of the military and post-war economy.","container-title":"Journal of Strategic Economic Research","DOI":"10.30857/2786-5398.2025.2.3","ISSN":"2786-5401, 2786-5398","issue":"2","journalAbbreviation":"jseconres","license":"https://creativecommons.org/licenses/by-nc-nd/4.0","page":"29-33","source":"DOI.org (Crossref)","title":"FEATURES OF THE INFLUENCE OF THE MODERN ENVIRONMENT ON THE INNOVATIVE DEVELOPMENT OF INTEGRATED STRUCTURES OF ENTERPRISE INTERACTION IN WARTIME CONDITIONS","URL":"https://jrnl.knutd.edu.ua/index.php/jseconres/article/view/1844","author":[{"family":"Baula","given":"Oleksii V."}],"accessed":{"date-parts":[["2025",11,22]]},"issued":{"date-parts":[["2025",9,10]]}}}],"schema":"https://github.com/citation-style-language/schema/raw/master/csl-citation.json"} </w:instrText>
      </w:r>
      <w:r w:rsidR="00F6171F"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[51,52]</w:t>
      </w:r>
      <w:r w:rsidR="00F6171F"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rPr>
        <w:t>.</w:t>
      </w:r>
    </w:p>
    <w:p w14:paraId="7A4C1713" w14:textId="73B6B0E9" w:rsidR="000246A1" w:rsidRPr="00CE0BCE" w:rsidRDefault="000246A1" w:rsidP="002F33D0">
      <w:pPr>
        <w:tabs>
          <w:tab w:val="left" w:pos="851"/>
        </w:tabs>
        <w:spacing w:after="0" w:line="240" w:lineRule="auto"/>
        <w:ind w:firstLine="567"/>
        <w:jc w:val="both"/>
        <w:rPr>
          <w:rFonts w:ascii="Times New Roman" w:hAnsi="Times New Roman" w:cs="Times New Roman"/>
          <w:sz w:val="28"/>
          <w:szCs w:val="28"/>
        </w:rPr>
      </w:pPr>
      <w:r w:rsidRPr="00CE0BCE">
        <w:rPr>
          <w:rFonts w:ascii="Times New Roman" w:hAnsi="Times New Roman" w:cs="Times New Roman"/>
          <w:sz w:val="28"/>
          <w:szCs w:val="28"/>
        </w:rPr>
        <w:t xml:space="preserve">Таким образом, цифровая адаптация рассматривается не как отдельный элемент, а как сквозной фактор, пронизывающий все уровни инновационного потенциала </w:t>
      </w:r>
      <w:r w:rsidR="009D20AE">
        <w:rPr>
          <w:rFonts w:ascii="Times New Roman" w:hAnsi="Times New Roman" w:cs="Times New Roman"/>
          <w:sz w:val="28"/>
          <w:szCs w:val="28"/>
        </w:rPr>
        <w:t>–</w:t>
      </w:r>
      <w:r w:rsidRPr="00CE0BCE">
        <w:rPr>
          <w:rFonts w:ascii="Times New Roman" w:hAnsi="Times New Roman" w:cs="Times New Roman"/>
          <w:sz w:val="28"/>
          <w:szCs w:val="28"/>
        </w:rPr>
        <w:t xml:space="preserve"> от компетенций и организационных практик до механизмов государственного и рыночного взаимодействия.</w:t>
      </w:r>
    </w:p>
    <w:p w14:paraId="23018151" w14:textId="6B6A9443" w:rsidR="000246A1" w:rsidRPr="00CE0BCE" w:rsidRDefault="000246A1" w:rsidP="002F33D0">
      <w:pPr>
        <w:tabs>
          <w:tab w:val="left" w:pos="851"/>
        </w:tabs>
        <w:spacing w:after="0" w:line="240" w:lineRule="auto"/>
        <w:ind w:firstLine="567"/>
        <w:jc w:val="both"/>
        <w:rPr>
          <w:rFonts w:ascii="Times New Roman" w:hAnsi="Times New Roman" w:cs="Times New Roman"/>
          <w:sz w:val="28"/>
          <w:szCs w:val="28"/>
        </w:rPr>
      </w:pPr>
      <w:r w:rsidRPr="00CE0BCE">
        <w:rPr>
          <w:rFonts w:ascii="Times New Roman" w:hAnsi="Times New Roman" w:cs="Times New Roman"/>
          <w:sz w:val="28"/>
          <w:szCs w:val="28"/>
        </w:rPr>
        <w:t>Инновационная культура, в свою очередь, выступает связующим звеном между внутренними и внешними аспектами потенциала, формируя поведенческие и ценностные предпосылки инновационной активности</w:t>
      </w:r>
      <w:r w:rsidR="005B59A0" w:rsidRPr="00CE0BCE">
        <w:rPr>
          <w:rFonts w:ascii="Times New Roman" w:hAnsi="Times New Roman" w:cs="Times New Roman"/>
          <w:sz w:val="28"/>
          <w:szCs w:val="28"/>
          <w:lang w:val="kk-KZ"/>
        </w:rPr>
        <w:t xml:space="preserve"> </w:t>
      </w:r>
      <w:r w:rsidR="005B59A0"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{"citationID":"a20m8cv4fvq","properties":{"formattedCitation":"[53]","plainCitation":"[53]","noteIndex":0},"citationItems":[{"id":104,"uris":["http://zotero.org/users/16887523/items/86FAJ57G"],"itemData":{"id":104,"type":"article-journal","abstract":"This article presents the results of research focused on the culture of innovation in the agricultural sector of Valle del Cauca, Colombia, offering a review of the diverse practices within organizations regarding how innovation is implemented and whether it is being incorporated as part of organizational culture. The study applies a prospective methodology that enables the examination of future scenarios over a 20-year period. Considering that in Colombia only 3.4% of organizations report having formal innovation and research processes within their structures to drive transformation in their practices, this project introduces elements aimed at fostering sectoral transformation within the national context and with international projection. It proposes future consolidation strategies through the construction of scenarios based on the participation of expert groups, entrepreneurs, and public managers in analyzing innovative dynamics from the perspective of organizational culture.","container-title":"Cuadernos de Administración","DOI":"10.25100/cdea.v41i83.14503","ISSN":"2256-5078, 0120-4645","issue":"83","journalAbbreviation":"cuad.adm.","page":"e20114503","source":"DOI.org (Crossref)","title":"The Culture of Innovation in Companies in the Agricultural Sector in Valle del Cauca – Colombia, a Look from the Foresight Approach","URL":"https://cuadernosdeadministracion.univalle.edu.co/index.php/cuadernos_de_administracion/article/view/14503","volume":"41","author":[{"family":"Corrales Castillo","given":"Emilio José"},{"family":"Ramírez Tarazona","given":"Josué Vladimir"},{"family":"Arana Flórez","given":"Ronald"}],"accessed":{"date-parts":[["2025",11,22]]},"issued":{"date-parts":[["2025",9,26]]}}}],"schema":"https://github.com/citation-style-language/schema/raw/master/csl-citation.json"} </w:instrText>
      </w:r>
      <w:r w:rsidR="005B59A0"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[53]</w:t>
      </w:r>
      <w:r w:rsidR="005B59A0"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rPr>
        <w:t xml:space="preserve">. Её развитие обеспечивает целостность системы и определяет способность предприятия воспринимать внешние импульсы </w:t>
      </w:r>
      <w:r w:rsidR="009D20AE">
        <w:rPr>
          <w:rFonts w:ascii="Times New Roman" w:hAnsi="Times New Roman" w:cs="Times New Roman"/>
          <w:sz w:val="28"/>
          <w:szCs w:val="28"/>
        </w:rPr>
        <w:t>–</w:t>
      </w:r>
      <w:r w:rsidRPr="00CE0BCE">
        <w:rPr>
          <w:rFonts w:ascii="Times New Roman" w:hAnsi="Times New Roman" w:cs="Times New Roman"/>
          <w:sz w:val="28"/>
          <w:szCs w:val="28"/>
        </w:rPr>
        <w:t xml:space="preserve"> цифровые, институциональные и рыночные </w:t>
      </w:r>
      <w:r w:rsidR="009D20AE">
        <w:rPr>
          <w:rFonts w:ascii="Times New Roman" w:hAnsi="Times New Roman" w:cs="Times New Roman"/>
          <w:sz w:val="28"/>
          <w:szCs w:val="28"/>
        </w:rPr>
        <w:t>–</w:t>
      </w:r>
      <w:r w:rsidRPr="00CE0BCE">
        <w:rPr>
          <w:rFonts w:ascii="Times New Roman" w:hAnsi="Times New Roman" w:cs="Times New Roman"/>
          <w:sz w:val="28"/>
          <w:szCs w:val="28"/>
        </w:rPr>
        <w:t xml:space="preserve"> как стимулы для внутреннего обновления</w:t>
      </w:r>
      <w:r w:rsidR="005B59A0" w:rsidRPr="00CE0BCE">
        <w:rPr>
          <w:rFonts w:ascii="Times New Roman" w:hAnsi="Times New Roman" w:cs="Times New Roman"/>
          <w:sz w:val="28"/>
          <w:szCs w:val="28"/>
          <w:lang w:val="kk-KZ"/>
        </w:rPr>
        <w:t xml:space="preserve"> </w:t>
      </w:r>
      <w:r w:rsidR="005B59A0"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{"citationID":"a1l7rvaq59e","properties":{"formattedCitation":"[54,55]","plainCitation":"[54,55]","noteIndex":0},"citationItems":[{"id":105,"uris":["http://zotero.org/users/16887523/items/SS26UWKD"],"itemData":{"id":105,"type":"article-journal","abstract":"Digital Business Transformation is a crucial adaptation for organizations to remain competitive in the digital age. It involves leveraging digital tools and technologies to alter operations, customer interactions, and value delivery. This analysis aims to investigate the impact of digital business on organizational resilience, exploring the interplay between digital transformation, adaptive culture, frugal innovation, organizational learning, and organizational resilience. In order to investigate casual linkages, this study takes a quantitative method and gathers data using questionnaires, with a sample size of 295 respondents in a range of jobs within contracting organizations, the study focusses on contractors in Indonesia. This analysis result showing that the digital business transformation can enhance the organizational resilience by improving creativity, efficiency and the agility. Beside this, digital transformation also can boost all the job productivity with the frugal innovation which this can helping organization for adapting from sudden shocks of market volatility.  With the digital business transformation, a company can have the adaptive culture for the organizational resilience on the responding for internal and external changes where the company will have better anticipate further changes. Furthermore, digital transformation can facilitate cost-effective solutions and strategic planning for dealing with challenges for a company.","container-title":"JBMP (Jurnal Bisnis, Manajemen dan Perbankan)","DOI":"10.21070/jbmp.v11i2.2153","ISSN":"2528-4649, 2338-4409","issue":"2","journalAbbreviation":"JBMP","license":"https://creativecommons.org/licenses/by/4.0","page":"307-328","source":"DOI.org (Crossref)","title":"Factors Influencing Organizational Resilience: Mediating Roles of Adaptive Culture and Learning: Faktor-Faktor yang Mempengaruhi Ketahanan Organisasi: Peran Perantara Budaya Adaptif dan Pembelajaran","title-short":"Factors Influencing Organizational Resilience","URL":"https://jbmp.umsida.ac.id/index.php/jbmp/article/view/2153","volume":"11","author":[{"family":"Agustina","given":"Esther"},{"family":"Nelson","given":"Alden"},{"family":"Setyawan","given":"Agustinus"}],"accessed":{"date-parts":[["2025",11,22]]},"issued":{"date-parts":[["2025",9,24]]}}},{"id":106,"uris":["http://zotero.org/users/16887523/items/UIPG8NSP"],"itemData":{"id":106,"type":"article-journal","abstract":"Introduction. The fintech industry has focused on its potential, as it has rethought the possibilities and put the provision of financial services in a digitally developed world on a completely different level. The digital transformation of financial services, made possible by the rapid development of new technologies that ensure reliable transactions, has boosted the growth of FinTech companies. \nAim and tasks. The study aims to comprehensively assess the determinants of the ability of FinTech companies to achieve market leadership, sustain innovation activity, and ensure regulatory compliance in the context of the financial sector’s digital transformation. \nResults. The expert survey developed a standardised codebook to evaluate 15 FinTech companies grouped into three clusters, resulting in a composite index and validating hypotheses about the factors determining growth. The regulatory environment (RE, 0.148), trust and security (TS, 0.139), and access to finance (AF, 0.117) form the core determinants, followed by technological infrastructure (TI, 0.111) and team quality (TQ, 0.108), and the remaining factors have lower relative weights (&lt;0.09). The inter-firm differences are mainly explained by the performance on the regulatory-trust and financial-technology determinants, and the sensitivity analysis shows that a 1-point (0–5) increase in RE/TS/AF increases the index by approximately +0.030/+0.028/+0.023, which quantitatively confirms their leading roles. A comparative analysis of the cohorts showed that the leaders (C1–C7) demonstrated high results (≥4 points on 9–10 factors out of 10) and significant superiority in technology infrastructure (TI) and team quality (TQ). At the same time, the remaining groups of companies had more fragmented profiles with pronounced weaknesses. \nConclusions. FinTech growth relies on a core of regulatory stability (RE), trust and security (TS), and access to finance (AF), complemented by technological infrastructure (TI) and team quality (TQ). Predictable regulation, access to capital, high-security standards, and targeted partnerships maximise the chance of “gazelle” or “unicorn” growth. A predictable regulatory environment and access to investment capital play a key role in accelerating the growth of the FinTech ecosystem. FinTech management should prioritise investments in technology infrastructure, developing highly skilled teams, creating targeted partnerships and ecosystems (PEs), and developing scalability and international expansion (SIEs) to transform high-growth companies into leaders.","container-title":"Economics Ecology Socium","DOI":"10.61954/2616-7107/2025.9.3-7","ISSN":"2616-7107, 2616-7107","issue":"3","journalAbbreviation":"ees","license":"https://creativecommons.org/licenses/by-nc/4.0/","page":"93-109","source":"DOI.org (Crossref)","title":"Assessment of Factors Influencing Market Leadership and Innovation of FinTech Companies in the Digital economy","URL":"https://ees-journal.com/index.php/journal/article/view/305","volume":"9","author":[{"family":"Anguelov","given":"Kiril"},{"family":"Stoyanova","given":"Tsvetana"}],"accessed":{"date-parts":[["2025",11,22]]},"issued":{"date-parts":[["2025",9,30]]}}}],"schema":"https://github.com/citation-style-language/schema/raw/master/csl-citation.json"} </w:instrText>
      </w:r>
      <w:r w:rsidR="005B59A0"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[54,55]</w:t>
      </w:r>
      <w:r w:rsidR="005B59A0"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rPr>
        <w:t>.</w:t>
      </w:r>
    </w:p>
    <w:p w14:paraId="6D5E9E79" w14:textId="2E761C84" w:rsidR="009D5B89" w:rsidRPr="00CE0BCE" w:rsidRDefault="000246A1"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rPr>
        <w:t>Таким образом, предложенный подход к структурированию инновационного потенциала предпринимательских структур позволяет объединить ресурсный, компетентностный, культурный и институционально-цифровой уровни анализа в единую концептуальную рамку, что обеспечивает согласованность теоретической модели с аналитическим исследованием и проектными рекомендациями.</w:t>
      </w:r>
      <w:r w:rsidR="009D5B89" w:rsidRPr="00CE0BCE">
        <w:rPr>
          <w:rFonts w:ascii="Times New Roman" w:hAnsi="Times New Roman" w:cs="Times New Roman"/>
          <w:sz w:val="28"/>
          <w:szCs w:val="28"/>
          <w:lang w:val="kk-KZ"/>
        </w:rPr>
        <w:t xml:space="preserve"> </w:t>
      </w:r>
    </w:p>
    <w:p w14:paraId="5F508459" w14:textId="4AEED15F" w:rsidR="000246A1" w:rsidRPr="00CE0BCE" w:rsidRDefault="000246A1"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В условиях цифровой трансформации экономики предприятия не могут полагаться лишь на стихийное развитие – требуется проектирование инновационного потенциала</w:t>
      </w:r>
      <w:r w:rsidR="005B59A0" w:rsidRPr="00CE0BCE">
        <w:rPr>
          <w:rFonts w:ascii="Times New Roman" w:hAnsi="Times New Roman" w:cs="Times New Roman"/>
          <w:sz w:val="28"/>
          <w:szCs w:val="28"/>
          <w:lang w:val="kk-KZ"/>
        </w:rPr>
        <w:t xml:space="preserve"> </w:t>
      </w:r>
      <w:r w:rsidR="004E481A"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{"citationID":"arpdhhmdib","properties":{"formattedCitation":"[56,57]","plainCitation":"[56,57]","noteIndex":0},"citationItems":[{"id":107,"uris":["http://zotero.org/users/16887523/items/2GYG8WCY"],"itemData":{"id":107,"type":"article-journal","abstract":"Forecasting outcomes in high-stakes competitive spectacles like the Olympic Games, World Cups, and professional league championships has grown increasingly vital, directly impacting strategic planning, resource allocation, and performance optimization across a multitude of fields. However, accurate forecasting remains challenging due to complex, nonlinear interactions inherent in high-dimensional time-series data, further complicated by socioeconomic indicators, historical influences, and host-country advantages. In this study, we propose a comprehensive forecasting framework integrating structured time-series modeling with ensemble learning. We extract key structural features via two novel indices: the Advantage Index (measuring a competitor’s dominance in specific areas) and the Herfindahl Index (quantifying performance outcome concentration). We also evaluate host-country advantage using a Difference-in-Differences (DiD) approach. Leveraging these insights, we develop a dual-branch predictive model combining an Attention-augmented Long Short-Term Memory (Attention-LSTM) network and a Random Forest classifier. Attention-LSTM captures long-term dependencies and dynamic patterns in structured temporal data, while Random Forest handles predictions for unrecognized contenders, addressing zero-inflation issues. Extensive stability and comparative analyses demonstrate that our model outperforms traditional and state-of-the-art methods, exhibiting strong resilience to input perturbations, consistent performance across multiple runs, and appropriate sensitivity to key features. Our key contributions include the development of a novel integrated forecasting framework, the introduction of two innovative structural indices for competitive dynamics analysis, and the demonstration of robust predictive performance that bridges technical innovation with practical strategic application. Finally, we transform our modeling insights into actionable strategic insights. This translation is powered by interpretable feature importance rankings and stability analysis that rigorously validate the robustness of key predictors. These insights apply across multiple dimensions—encompassing advantage assessment, resource distribution, strategic simulation, and breakthrough potential identification—providing comprehensive decision support for strategic planners and policymakers navigating competitive environments.","container-title":"Algorithms","DOI":"10.3390/a18100611","ISSN":"1999-4893","issue":"10","journalAbbreviation":"Algorithms","language":"en","page":"611","source":"DOI.org (Crossref)","title":"Integrating Structured Time-Series Modeling and Ensemble Learning for Strategic Performance Forecasting","URL":"https://www.mdpi.com/1999-4893/18/10/611","volume":"18","author":[{"family":"Tang","given":"Liqing"},{"family":"Wang","given":"Shuxin"},{"family":"Ji","given":"Jintian"},{"family":"Yin","given":"Siyuan"},{"family":"Yasrab","given":"Robail"},{"family":"Zhou","given":"Chao"}],"accessed":{"date-parts":[["2025",11,22]]},"issued":{"date-parts":[["2025",9,29]]}}},{"id":108,"uris":["http://zotero.org/users/16887523/items/U9NU2XNM"],"itemData":{"id":108,"type":"article-journal","abstract":"The digital transformation of agricultural product supply chains has emerged as a strategic direction that cannot be overlooked in the global modernization of agriculture. This paper adopts a narrative review framework based on the “Technology–Collaboration–Sustainability” perspective in the digital transformation of agricultural product supply chains, summarizing the drivers of digital transformation, the application of digital technologies, multi-stakeholder collaborative mechanisms, and pathways for sustainable development within these supply chains. The study finds that the core drivers promoting the digital transformation of agricultural product supply chains include external environmental factors (such as population growth, dietary shifts, and food waste) and internal demand drivers (such as industrial upgrading and increased corporate competition). The application of digital technologies such as the Internet of Things (IoT), blockchain, and artificial intelligence (AI) has significantly improved the efficiency, transparency, and resilience of the supply chains. Furthermore, various models of multi-stakeholder collaborative mechanisms have optimized resource allocation and enhanced supply chain stability. Finally, the paper proposes a pathway for the sustainable development of agricultural product supply chains based on digital transformation, providing directions for future research and practice.","container-title":"Applied Sciences","DOI":"10.3390/app151910487","ISSN":"2076-3417","issue":"19","journalAbbreviation":"Applied Sciences","language":"en","page":"10487","source":"DOI.org (Crossref)","title":"Digital Transformation Drivers, Technologies, and Pathways in Agricultural Product Supply Chains: A Comprehensive Literature Review","title-short":"Digital Transformation Drivers, Technologies, and Pathways in Agricultural Product Supply Chains","URL":"https://www.mdpi.com/2076-3417/15/19/10487","volume":"15","author":[{"family":"Wang","given":"Wenhui"},{"family":"Li","given":"Zhen"},{"family":"Meng","given":"Qingfeng"}],"accessed":{"date-parts":[["2025",11,22]]},"issued":{"date-parts":[["2025",9,28]]}}}],"schema":"https://github.com/citation-style-language/schema/raw/master/csl-citation.json"} </w:instrText>
      </w:r>
      <w:r w:rsidR="004E481A"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[56,57]</w:t>
      </w:r>
      <w:r w:rsidR="004E481A"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 xml:space="preserve">. В современных условиях недостаточно лишь зафиксировать текущее состояние потенциала </w:t>
      </w:r>
      <w:r w:rsidR="009D20AE">
        <w:rPr>
          <w:rFonts w:ascii="Times New Roman" w:hAnsi="Times New Roman" w:cs="Times New Roman"/>
          <w:sz w:val="28"/>
          <w:szCs w:val="28"/>
          <w:lang w:val="kk-KZ"/>
        </w:rPr>
        <w:t>–</w:t>
      </w:r>
      <w:r w:rsidRPr="00CE0BCE">
        <w:rPr>
          <w:rFonts w:ascii="Times New Roman" w:hAnsi="Times New Roman" w:cs="Times New Roman"/>
          <w:sz w:val="28"/>
          <w:szCs w:val="28"/>
          <w:lang w:val="kk-KZ"/>
        </w:rPr>
        <w:t xml:space="preserve"> требуется его прогнозируемое формирование, адаптация и развитие с учётом стратегических целей, технологических трендов и трансформаций предпринимательской среды. </w:t>
      </w:r>
      <w:r w:rsidR="00D1423F" w:rsidRPr="00D1423F">
        <w:rPr>
          <w:rFonts w:ascii="Times New Roman" w:hAnsi="Times New Roman" w:cs="Times New Roman"/>
          <w:sz w:val="28"/>
          <w:szCs w:val="28"/>
          <w:lang w:val="kk-KZ"/>
        </w:rPr>
        <w:t>Проектирование инновационного потенциала выступает инструментом перехода от стихийного накопления и разрозненного использования ресурсов к системно выстроенному, стратегически ориентированному управлению инновационной деятельностью, направленному на достиж</w:t>
      </w:r>
      <w:r w:rsidR="00D1423F">
        <w:rPr>
          <w:rFonts w:ascii="Times New Roman" w:hAnsi="Times New Roman" w:cs="Times New Roman"/>
          <w:sz w:val="28"/>
          <w:szCs w:val="28"/>
          <w:lang w:val="kk-KZ"/>
        </w:rPr>
        <w:t>ение измеримых результатов</w:t>
      </w:r>
      <w:r w:rsidR="004E481A" w:rsidRPr="00CE0BCE">
        <w:rPr>
          <w:rFonts w:ascii="Times New Roman" w:hAnsi="Times New Roman" w:cs="Times New Roman"/>
          <w:sz w:val="28"/>
          <w:szCs w:val="28"/>
          <w:lang w:val="kk-KZ"/>
        </w:rPr>
        <w:t xml:space="preserve"> </w:t>
      </w:r>
      <w:r w:rsidR="004E481A"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{"citationID":"a1k23v140tn","properties":{"formattedCitation":"[58]","plainCitation":"[58]","noteIndex":0},"citationItems":[{"id":109,"uris":["http://zotero.org/users/16887523/items/7ATHXUNL"],"itemData":{"id":109,"type":"article-journal","abstract":"In recent years, digital transformation has emerged as a pivotal catalyst for innovation and efficiency across various sectors, including sustainability. This study investigates the integration of digital technology with Environmental, Social, and Governance (ESG) principles to enhance the sustainable industrial sector in Indonesia. Despite the presence of supportive policies, challenges such as the effective implementation of digital technology and the preparedness of human resources remain significant barriers to achieving this objective. Employing a normative approach, this research analyzes the legal framework governing sustainable investment in Indonesia and assesses the potential of digital technology in accelerating ESG adoption within the industrial sector. Furthermore, it proposes strategic recommendations to cultivate an ecosystem that facilitates digital transformation, emphasizing regulatory measures that reinforce the synergy between technology, sustainability, and investment. The findings of this study are expected to provide valuable insights for policymakers, industry stakeholders, and investors in advancing sustainable investment through digital innovation in Indonesia.","container-title":"Veteran Law Review","DOI":"10.35586/velrev.v8i1.10662","ISSN":"2655-1608, 2655-1594","issue":"1","journalAbbreviation":"Velrev","license":"https://creativecommons.org/licenses/by/4.0/","page":"28-44","source":"DOI.org (Crossref)","title":"Harnessing Digital Transformation to Accelerate Sustainable Investment Through Environmental, Social, and Governance Integration (ESG)","URL":"https://ejournal.upnvj.ac.id/Velrev/article/view/10662","volume":"8","author":[{"family":"Kusuma","given":"Ajeng Pramesthy Hardiani"},{"family":"Jumantoro","given":"Tegar Raffi Putra"}],"accessed":{"date-parts":[["2025",11,22]]},"issued":{"date-parts":[["2025",9,29]]}}}],"schema":"https://github.com/citation-style-language/schema/raw/master/csl-citation.json"} </w:instrText>
      </w:r>
      <w:r w:rsidR="004E481A"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[58]</w:t>
      </w:r>
      <w:r w:rsidR="004E481A"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w:t>
      </w:r>
    </w:p>
    <w:p w14:paraId="1BCF8D3C" w14:textId="7A687BAB" w:rsidR="000246A1" w:rsidRPr="00CE0BCE" w:rsidRDefault="000246A1"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lastRenderedPageBreak/>
        <w:t>Под проектированием в данном контексте понимается целенаправленный процесс моделирования и планирования развития инновационного потенциала как комплекса, с целью его оптимального использования в будущем. Другими словами, это формирование своего рода «проекта» развития инновационных возможностей фирмы на перспективу</w:t>
      </w:r>
      <w:r w:rsidR="007828BD">
        <w:rPr>
          <w:rFonts w:ascii="Times New Roman" w:hAnsi="Times New Roman" w:cs="Times New Roman"/>
          <w:sz w:val="28"/>
          <w:szCs w:val="28"/>
          <w:lang w:val="kk-KZ"/>
        </w:rPr>
        <w:t xml:space="preserve"> </w:t>
      </w:r>
      <w:r w:rsidR="007828BD">
        <w:rPr>
          <w:rFonts w:ascii="Times New Roman" w:hAnsi="Times New Roman" w:cs="Times New Roman"/>
          <w:sz w:val="28"/>
          <w:szCs w:val="28"/>
          <w:lang w:val="kk-KZ"/>
        </w:rPr>
        <w:fldChar w:fldCharType="begin"/>
      </w:r>
      <w:r w:rsidR="00DA67F1">
        <w:rPr>
          <w:rFonts w:ascii="Times New Roman" w:hAnsi="Times New Roman" w:cs="Times New Roman"/>
          <w:sz w:val="28"/>
          <w:szCs w:val="28"/>
          <w:lang w:val="kk-KZ"/>
        </w:rPr>
        <w:instrText xml:space="preserve"> ADDIN ZOTERO_ITEM CSL_CITATION {"citationID":"a2f2it9ivhf","properties":{"formattedCitation":"[59]","plainCitation":"[59]","noteIndex":0},"citationItems":[{"id":579,"uris":["http://zotero.org/users/16887523/items/ZT2ZQHIK"],"itemData":{"id":579,"type":"paper-conference","event-title":"Материалы международной научной конференции мо-лодых ученых, аспирантов, студентов и школьников «XXI Сатпаевские чтения»","page":"133-137","publisher":"Торайгыров Университет","publisher-place":"Павлодар","title":"Основные направления проектирования инновационного потенциала предпринимательских структур с учетом критериев результативности и эффективности","author":[{"family":"Саденова","given":"A. M."},{"family":"Рахимова","given":"С. A."}],"issued":{"date-parts":[["2021"]]}}}],"schema":"https://github.com/citation-style-language/schema/raw/master/csl-citation.json"} </w:instrText>
      </w:r>
      <w:r w:rsidR="007828BD">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[59]</w:t>
      </w:r>
      <w:r w:rsidR="007828BD">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 Необходимость проектирования обусловлена несколькими факторами. Во-первых, инновационный потенциал сам по себе не гарантирует успеха – им нужно правильно управлять и наращивать. Во-вторых, внешняя среда (технологические тренды, рынок) быстро меняется, и компания должна заранее закладывать ответы на эти изменения, проектируя требуемые компетенции и ресурсы</w:t>
      </w:r>
      <w:r w:rsidR="00D623AA">
        <w:rPr>
          <w:rFonts w:ascii="Times New Roman" w:hAnsi="Times New Roman" w:cs="Times New Roman"/>
          <w:sz w:val="28"/>
          <w:szCs w:val="28"/>
          <w:lang w:val="kk-KZ"/>
        </w:rPr>
        <w:t xml:space="preserve"> </w:t>
      </w:r>
      <w:r w:rsidR="00D623AA">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{"citationID":"a1pds929vi2","properties":{"formattedCitation":"[60]","plainCitation":"[60]","noteIndex":0},"citationItems":[{"id":376,"uris":["http://zotero.org/users/16887523/items/V4FW98AL"],"itemData":{"id":376,"type":"article-journal","abstract":"В данной статье на основе анализа определений понятия «инновацион-ный потенциал» дано авторское определение. Представлена структура инновационного по-тенциала. Представлен индекс измерения инновационного потенциала страны. Авторамиразработан и представлен ресурсно-процессный подход к проектированию инновационно-го потенциала. Разработана матрица, сочетающая в себе ресурсный и процессный подходы.В качестве ресурсов выделены: материальные, кадровые, финансовые, информационные.Процессный подход предполагает формирование инновационного процесса поэтапно, чтодает экономический эффект с дальнейшей синергией эффектов и позволяет получить ре-зультат как отдельно по этапам, так и в целом по процессу. Комбинация этих двух подходовпозволит создать основу для проектирования инновационного потенциала. Показана рольоценки и проектирования инновационного потенциала. Авторами представлено проекти-рование инновационного потенциала высокотехнологичных видов производств. Показа-ны внешние условия и ресурсы, имеющие отношение к проектированию инновационногопотенциала. Разработаны и представлены основные направления проектирования иннова-ционного потенциала: научно-исследовательское, технологическое, организационно-про-изводственное, маркетинговое, воспроизводственное. Представлены основные критериипроектирования: результативность, эффективность, поиск новых возможностей и перспек-тив, постоянное наращивание внутреннего потенциала; поиск стратегического развитияисходя из возможностей и путей взаимодействия с внешней средой.","container-title":"Экономическая серия Вестника ЕНУ им. Л.Н. Гумилева","DOI":"10.32523/2079-620X-2019-2-138-150","ISSN":"2789-4339, 2789-4320","issue":"2","journalAbbreviation":"bulecon","license":"CC0 1.0 Universal Public Domain Dedication","page":"138-150","source":"DOI.org (Crossref)","title":"Инновационный потенциал предпринимательских структур: понятие, подходы и методы его проектирования","title-short":"Инновационный потенциал предпринимательских структур","URL":"https://bulecon.enu.kz/index.php/main/article/view/227","author":[{"family":"Саденова","given":"А.М."},{"family":"Рахимова","given":"С.А."}],"accessed":{"date-parts":[["2025",12,13]]},"issued":{"date-parts":[["2019"]]}}}],"schema":"https://github.com/citation-style-language/schema/raw/master/csl-citation.json"} </w:instrText>
      </w:r>
      <w:r w:rsidR="00D623AA">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[60]</w:t>
      </w:r>
      <w:r w:rsidR="00D623AA">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w:t>
      </w:r>
    </w:p>
    <w:p w14:paraId="704A1A35" w14:textId="50738DBE" w:rsidR="000246A1" w:rsidRPr="00CE0BCE" w:rsidRDefault="000246A1"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 xml:space="preserve">Особое значение в современных условиях приобретает процесс цифровой адаптации, особенно для малых и средних предприятий. В отличие от цифровой трансформации, которая предполагает радикальное переосмысление всех бизнес-процессов, цифровая адаптация представляет собой постепенный и гибкий переход к использованию цифровых технологий в управлении, производстве и коммуникациях. Для </w:t>
      </w:r>
      <w:r w:rsidR="00C808CB">
        <w:rPr>
          <w:rFonts w:ascii="Times New Roman" w:hAnsi="Times New Roman" w:cs="Times New Roman"/>
          <w:sz w:val="28"/>
          <w:szCs w:val="28"/>
          <w:lang w:val="kk-KZ"/>
        </w:rPr>
        <w:t>МСП</w:t>
      </w:r>
      <w:r w:rsidRPr="00CE0BCE">
        <w:rPr>
          <w:rFonts w:ascii="Times New Roman" w:hAnsi="Times New Roman" w:cs="Times New Roman"/>
          <w:sz w:val="28"/>
          <w:szCs w:val="28"/>
          <w:lang w:val="kk-KZ"/>
        </w:rPr>
        <w:t>, ограниченных ресурсами и кадрами, именно цифровая адаптация становится реалистичным инструментом повышения инновационного потенциала</w:t>
      </w:r>
      <w:r w:rsidR="000C455F" w:rsidRPr="00CE0BCE">
        <w:rPr>
          <w:rFonts w:ascii="Times New Roman" w:hAnsi="Times New Roman" w:cs="Times New Roman"/>
          <w:sz w:val="28"/>
          <w:szCs w:val="28"/>
          <w:lang w:val="kk-KZ"/>
        </w:rPr>
        <w:t xml:space="preserve"> </w:t>
      </w:r>
      <w:r w:rsidR="000C455F"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{"citationID":"a17kd2anhci","properties":{"formattedCitation":"[61,62]","plainCitation":"[61,62]","noteIndex":0},"citationItems":[{"id":110,"uris":["http://zotero.org/users/16887523/items/YLH4XTTT"],"itemData":{"id":110,"type":"article-journal","abstract":"This study explores the role of digital transformation in enhancing the resilience and competitive advantage of Small and Medium Enterprises (SMEs) in the post-pandemic era. Through both qualitative and quantitative analyses, the study examines how SMEs have adopted digital technologies, such as e-commerce, cloud computing, and customer relationship management (CRM), to overcome challenges posed by the pandemic and build sustainable advantages. The findings reveal that digital transformation has a significant positive impact on business resilience, operational efficiency, and customer satisfaction. However, challenges such as limited skilled human resources and high initial investment costs remain barriers to full adoption. The study offers practical implications for SME owners and policymakers, emphasizing the need for strategic investments in digital skills and technology, as well as supportive policies to reduce barriers to digital transformation. Despite some limitations, the study contributes to the literature on resilient business models and the role of digital transformation in SMEs.","container-title":"Journal of Economics and Management Scienties","DOI":"10.37034/jems.v8i1.248","ISSN":"2655-6685, 2655-1934","journalAbbreviation":"JEMS","license":"https://creativecommons.org/licenses/by/4.0","page":"1-6","source":"DOI.org (Crossref)","title":"Digital Transformation and Resilient Business Models: Unlocking Competitive Advantage in Post-Pandemic SMEs","title-short":"Digital Transformation and Resilient Business Models","URL":"https://jems.ink/index.php/JEMS/article/view/248","author":[{"family":"Kusuma","given":"Sitta"}],"accessed":{"date-parts":[["2025",11,22]]},"issued":{"date-parts":[["2025",9,29]]}}},{"id":111,"uris":["http://zotero.org/users/16887523/items/J2BTDRT9"],"itemData":{"id":111,"type":"article-journal","abstract":"This community service activity aimed to improve the capacity of Micro, Small, and Medium Enterprises (MSMEs) in Paropo Village, Panakukang District, Makassar City, to face the challenges of the digital era. Training and education are focused on two main aspects: digital marketing strategies and business financial management. The implementation method included a participatory approach through interactive training sessions, simulations, group discussions, and direct mentoring. The results demonstrated an increase in participants' understanding and skills in using social media and other digital platforms for product promotion and marketing. Furthermore, participants gained practical knowledge in simple financial record keeping, cash flow management, and short- and long-term financial planning. Evaluation of the activity, conducted through pre- and post-tests, demonstrated significant improvements in participants' knowledge and skills. It is hoped that this activity will have a sustainable impact on the development of participants' businesses and strengthen the competitiveness of MSMEs in the region. This activity also opens up opportunities for further collaboration with the local government and related institutions in digital-based MSME development.","container-title":"Journal of Universal Community Empowerment Provision","DOI":"10.55885/jucep.v5i3.713","ISSN":"2776-1142, 2776-1134","issue":"3","journalAbbreviation":"JUCEP","license":"http://creativecommons.org/licenses/by-sa/4.0/","page":"97-104","source":"DOI.org (Crossref)","title":"Training And Education for Umkm Actors Related to Digital Marketing Strategies and Business Financial Management in Paropo Village, Panakukang District, Makassar City","URL":"https://psppjournals.org/index.php/jucep/article/view/713","volume":"5","author":[{"family":"Chaerul","given":"Muhammad"},{"family":"Suyuthi","given":"Nurmadhani Fitri"},{"family":"Riyadi","given":"Syamsul"},{"family":"Djalil","given":"Nur Alim"},{"family":"Yasmi","given":"Yasmi"},{"family":"Rusman","given":"Muh. Khairil"},{"family":"Sepdiansar","given":"Risal"},{"family":"Tamsil","given":"Erni"},{"family":"Alauddin","given":"Alauddin"}],"accessed":{"date-parts":[["2025",11,22]]},"issued":{"date-parts":[["2025",9,29]]}}}],"schema":"https://github.com/citation-style-language/schema/raw/master/csl-citation.json"} </w:instrText>
      </w:r>
      <w:r w:rsidR="000C455F"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[61,62]</w:t>
      </w:r>
      <w:r w:rsidR="000C455F"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 xml:space="preserve">. Она обеспечивает постепенное внедрение цифровых решений </w:t>
      </w:r>
      <w:r w:rsidR="009D20AE">
        <w:rPr>
          <w:rFonts w:ascii="Times New Roman" w:hAnsi="Times New Roman" w:cs="Times New Roman"/>
          <w:sz w:val="28"/>
          <w:szCs w:val="28"/>
          <w:lang w:val="kk-KZ"/>
        </w:rPr>
        <w:t>–</w:t>
      </w:r>
      <w:r w:rsidRPr="00CE0BCE">
        <w:rPr>
          <w:rFonts w:ascii="Times New Roman" w:hAnsi="Times New Roman" w:cs="Times New Roman"/>
          <w:sz w:val="28"/>
          <w:szCs w:val="28"/>
          <w:lang w:val="kk-KZ"/>
        </w:rPr>
        <w:t xml:space="preserve"> от автоматизации отдельных функций до интеграции в цифровые экосистемы, </w:t>
      </w:r>
      <w:r w:rsidR="009D20AE">
        <w:rPr>
          <w:rFonts w:ascii="Times New Roman" w:hAnsi="Times New Roman" w:cs="Times New Roman"/>
          <w:sz w:val="28"/>
          <w:szCs w:val="28"/>
          <w:lang w:val="kk-KZ"/>
        </w:rPr>
        <w:t>–</w:t>
      </w:r>
      <w:r w:rsidRPr="00CE0BCE">
        <w:rPr>
          <w:rFonts w:ascii="Times New Roman" w:hAnsi="Times New Roman" w:cs="Times New Roman"/>
          <w:sz w:val="28"/>
          <w:szCs w:val="28"/>
          <w:lang w:val="kk-KZ"/>
        </w:rPr>
        <w:t xml:space="preserve"> что позволяет компаниям сохранять устойчивость и конкурентоспособность при ограниченных затратах.</w:t>
      </w:r>
    </w:p>
    <w:p w14:paraId="2E7D73B9" w14:textId="77777777" w:rsidR="00766492" w:rsidRPr="00CE0BCE" w:rsidRDefault="00766492"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В научной литературе данные категории нередко используются как синонимы, однако в контексте настоящего исследования они имеют различную смысловую нагрузку.</w:t>
      </w:r>
    </w:p>
    <w:p w14:paraId="1DCD4F55" w14:textId="241F8E04" w:rsidR="00766492" w:rsidRPr="00CE0BCE" w:rsidRDefault="00766492"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Цифровая адаптация трактуется как поэтапный, эволюционный процесс освоения цифровых технологий, обеспечивающий постепенное повышение эффективности и гибкости бизнес-процессов</w:t>
      </w:r>
      <w:r w:rsidR="000C455F" w:rsidRPr="00CE0BCE">
        <w:rPr>
          <w:rFonts w:ascii="Times New Roman" w:hAnsi="Times New Roman" w:cs="Times New Roman"/>
          <w:sz w:val="28"/>
          <w:szCs w:val="28"/>
          <w:lang w:val="kk-KZ"/>
        </w:rPr>
        <w:t xml:space="preserve"> </w:t>
      </w:r>
      <w:r w:rsidR="000C455F"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{"citationID":"arm71dk84m","properties":{"formattedCitation":"[63]","plainCitation":"[63]","noteIndex":0},"citationItems":[{"id":112,"uris":["http://zotero.org/users/16887523/items/TD64PNXA"],"itemData":{"id":112,"type":"article-journal","abstract":"Digital transformation has become an urgent necessity for promoting economic independence and improving social service efficiency in Kampung Tangguh communities. However, most Micro, Small, and Medium Enterprises (MSMEs) in Kampung Tangguh RW 27, Siantan Hulu Subdistrict, Pontianak City, lack digital business identity and presence on digital platforms, while integrated service posts still use manual recording systems. This community service program employed a Community Development (CD) approach with active community participation. The program was implemented over one month (July 7-31, 2025) and focused on three main interventions: MSME digitalization through social media training and digital branding, digitalization of integrated service post recording systems using Google Sheets, and development of community digital identity through official social media accounts. Three out of six targeted MSMEs participated in content creation training using CapCut and social media management on Instagram and TikTok. One MSME completed a rebranding with a new logo design. The integrated service post successfully transitioned from manual recording to digital spreadsheet format covering five categories: post profile, child development data, school age and adolescent data, adult data, and elderly data. Official Instagram and TikTok accounts were created for community information sharing and local product promotion.  The gradual, contextual, and humanistic digitalization approach effectively increased community awareness and readiness to utilize technology. Despite not all partners being fully involved, positive impacts were observed among active MSMEs, integrated service post cadres, and village residents. This transformation provides an important foundation for larger and more sustainable program development in local economic improvement and social service efficiency.","container-title":"Prima Abdika: Jurnal Pengabdian Masyarakat","DOI":"10.37478/abdika.v5i3.6483","ISSN":"2776-5636","issue":"3","journalAbbreviation":"Pri. Abd.:J.P.M.","license":"https://creativecommons.org/licenses/by-sa/4.0","page":"550-559","source":"DOI.org (Crossref)","title":"Kampung Tangguh Bencana Era Digital Akselerasi Ekonomi dan Layanan Sosial Berbasis Teknologi","URL":"https://e-journal.uniflor.ac.id/index.php/abdika/article/view/6483","volume":"5","author":[{"family":"Nayra","given":"Nayra"},{"family":"Sunarto","given":"Dede Joko"},{"family":"Tiananda","given":"Nathania"},{"family":"Rahmania","given":"Silvi"}],"accessed":{"date-parts":[["2025",11,22]]},"issued":{"date-parts":[["2025",9,29]]}}}],"schema":"https://github.com/citation-style-language/schema/raw/master/csl-citation.json"} </w:instrText>
      </w:r>
      <w:r w:rsidR="000C455F"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[63]</w:t>
      </w:r>
      <w:r w:rsidR="000C455F"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 Для малых и средних предприятий именно цифровая адаптация является наиболее реалистичной формой цифрового развития, поскольку позволяет внедрять цифровые решения в ограниченных ресурсных условиях</w:t>
      </w:r>
      <w:r w:rsidR="000C455F" w:rsidRPr="00CE0BCE">
        <w:rPr>
          <w:rFonts w:ascii="Times New Roman" w:hAnsi="Times New Roman" w:cs="Times New Roman"/>
          <w:sz w:val="28"/>
          <w:szCs w:val="28"/>
          <w:lang w:val="kk-KZ"/>
        </w:rPr>
        <w:t xml:space="preserve"> </w:t>
      </w:r>
      <w:r w:rsidR="000C455F" w:rsidRPr="00CE0BCE">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rhh25qfsr","properties":{"formattedCitation":"[64]","plainCitation":"[64]","noteIndex":0},"citationItems":[{"id":"jo0Cjpe8/DQhHp3Il","uris":["http://zotero.org/users/16887523/items/UL4H23UI"],"itemData":{"id":113,"type":"article-journal","container-title":"Discover Sustainability","DOI":"10.1007/s43621-025-01916-0","ISSN":"2662-9984","issue":"1","journalAbbreviation":"Discov Sustain","language":"en","page":"955","source":"DOI.org (Crossref)","title":"How digital capabilities and credit access influence green innovation performance in small and medium enterprises in resource constrained settings","volume":"6","author":[{"family":"Bindeeba","given":"Dedrix Stephenson"},{"family":"Tukamushaba","given":"Eddy Kurobuza"},{"family":"Bakashaba","given":"Rennie"}],"issued":{"date-parts":[["2025",9,29]]}}}],"schema":"https://github.com/citation-style-language/schema/raw/master/csl-citation.json"} </w:instrText>
      </w:r>
      <w:r w:rsidR="000C455F"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[64]</w:t>
      </w:r>
      <w:r w:rsidR="000C455F"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 минимизируя риски и инвестиционные затраты.</w:t>
      </w:r>
    </w:p>
    <w:p w14:paraId="68694286" w14:textId="70A07CE5" w:rsidR="00766492" w:rsidRPr="00CE0BCE" w:rsidRDefault="00766492"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Цифровая трансформация, напротив, отражает стратегический, комплексный переход организации к цифрово-ориентированной бизнес-модели, включающей перестройку всей системы создания ценности, структуры управления и корпоративной культуры</w:t>
      </w:r>
      <w:r w:rsidR="000C455F" w:rsidRPr="00CE0BCE">
        <w:rPr>
          <w:rFonts w:ascii="Times New Roman" w:hAnsi="Times New Roman" w:cs="Times New Roman"/>
          <w:sz w:val="28"/>
          <w:szCs w:val="28"/>
          <w:lang w:val="kk-KZ"/>
        </w:rPr>
        <w:t xml:space="preserve"> </w:t>
      </w:r>
      <w:r w:rsidR="000C455F"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{"citationID":"a2nn0pac3fh","properties":{"formattedCitation":"[65,66]","plainCitation":"[65,66]","noteIndex":0},"citationItems":[{"id":114,"uris":["http://zotero.org/users/16887523/items/YJVKNUXB"],"itemData":{"id":114,"type":"article-journal","abstract":"Digital transformation (DT) has become a strategic imperative for organizations navigating an era of rapid technological advancements. It deeply requires the development of capabilities that enable firms to continuously sense, seize, and reconfigure resources to sustain competitive advantage. However, despite this need, existing maturity models primarily focus on technological dimensions, often overlooking the organizational capabilities required for a systematic and effective transformation. This study addresses this shortcoming by proposing a capability-based maturity model that extends the Digital Transformation Dynamic Capability framework developed by Leso et al. (2023), operationalizing its thematic areas (designing and managing transformation, fostering digital value propositions, engaging in digital business ecosystems, systematizing structural changes, and leveraging enablers) into a structured assessment tool. By integrating dynamic capabilities theory with a maturity perspective, this model provides a comprehensive framework to evaluate an organization’s ability to undergo and sustain DT. To test the model, we conducted expert content validation and empirical testing with 43 Italian companies embedded in a digital innovation ecosystem. The results indicate that while organizations exhibit moderate to high maturity in areas such as digital innovation management and technological infrastructure, they face challenges in transformation planning and business model adaptation. These findings underscore the necessity of a strategic and capability-oriented approach to digital maturity, moving beyond a purely technological focus. By providing an actionable framework, this research equips organizations with a strategic roadmap to enhance their digital capabilities, ensuring adaptability in an increasingly complex and evolving digital landscape","container-title":"European Conference on Innovation and Entrepreneurship","DOI":"10.34190/ecie.20.1.3656","ISSN":"2049-1069, 2049-1050","issue":"1","journalAbbreviation":"ECIE","license":"https://creativecommons.org/licenses/by-nd/4.0","page":"387-397","source":"DOI.org (Crossref)","title":"Operationalizing Digital Transformation: A Capability-Based Maturity Model","title-short":"Operationalizing Digital Transformation","URL":"https://papers.academic-conferences.org/index.php/ecie/article/view/3656","volume":"20","author":[{"family":"Leso","given":"Bernardo Henrique"},{"family":"Nogueira Cortimiglia","given":"Marcelo"},{"family":"Ghezzi","given":"Antonio"},{"family":"Rangone","given":"Andrea"}],"accessed":{"date-parts":[["2025",11,22]]},"issued":{"date-parts":[["2025",9,19]]}}},{"id":115,"uris":["http://zotero.org/users/16887523/items/XJ2TZM4F"],"itemData":{"id":115,"type":"article-journal","abstract":"With accelerating digital transformation, firms must renew how they create, deliver, and capture value to remain competitive and to advance sustainable competitiveness. This study examines how ambidextrous market orientation drives digital business model innovation (DBMI) through the mediating role of digital resource bricolage and the moderating effect of environmental turbulence. Using survey data and structural equation modeling (SEM), we find that both proactive and responsive market orientations positively affect DBMI. Digital resource bricolage partially mediates both relationships, with a stronger mediation effect for responsive orientation. Environmental turbulence strengthens the association between ambidextrous market orientation and digital resource bricolage. Complementing variable-centric tests, fuzzy-set qualitative comparative analysis (fsQCA) identifies three configurational pathways sufficient for high DBMI, revealing alternative routes to business-model renewal under different contextual conditions. The findings extend ambidextrous market orientation research to digital contexts, enrich the resource-recombination perspective on DBMI, and provide actionable guidance for firms seeking to orchestrate data, platforms, and legacy assets to reconfigure activity systems. By clarifying when and how market sensing and shaping translate into effective digital recombination, this study informs strategies for sustainable competitiveness in turbulent environments.","container-title":"Sustainability","DOI":"10.3390/su17198633","ISSN":"2071-1050","issue":"19","journalAbbreviation":"Sustainability","language":"en","page":"8633","source":"DOI.org (Crossref)","title":"Ambidextrous Market Orientation and Digital Business Model Innovation","URL":"https://www.mdpi.com/2071-1050/17/19/8633","volume":"17","author":[{"family":"Liu","given":"Xiaolong"},{"family":"Xie","given":"Yi"}],"accessed":{"date-parts":[["2025",11,22]]},"issued":{"date-parts":[["2025",9,25]]}}}],"schema":"https://github.com/citation-style-language/schema/raw/master/csl-citation.json"} </w:instrText>
      </w:r>
      <w:r w:rsidR="000C455F"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[65,66]</w:t>
      </w:r>
      <w:r w:rsidR="000C455F"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 Для крупных компаний цифровая адаптация выступает составной частью трансформации</w:t>
      </w:r>
      <w:r w:rsidR="000C455F" w:rsidRPr="00CE0BCE">
        <w:rPr>
          <w:rFonts w:ascii="Times New Roman" w:hAnsi="Times New Roman" w:cs="Times New Roman"/>
          <w:sz w:val="28"/>
          <w:szCs w:val="28"/>
          <w:lang w:val="kk-KZ"/>
        </w:rPr>
        <w:t xml:space="preserve"> </w:t>
      </w:r>
      <w:r w:rsidR="000C455F"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{"citationID":"aoa7o8itnb","properties":{"formattedCitation":"[61]","plainCitation":"[61]","noteIndex":0},"citationItems":[{"id":110,"uris":["http://zotero.org/users/16887523/items/YLH4XTTT"],"itemData":{"id":110,"type":"article-journal","abstract":"This study explores the role of digital transformation in enhancing the resilience and competitive advantage of Small and Medium Enterprises (SMEs) in the post-pandemic era. Through both qualitative and quantitative analyses, the study examines how SMEs have adopted digital technologies, such as e-commerce, cloud computing, and customer relationship management (CRM), to overcome challenges posed by the pandemic and build sustainable advantages. The findings reveal that digital transformation has a significant positive impact on business resilience, operational efficiency, and customer satisfaction. However, challenges such as limited skilled human resources and high initial investment costs remain barriers to full adoption. The study offers practical implications for SME owners and policymakers, emphasizing the need for strategic investments in digital skills and technology, as well as supportive policies to reduce barriers to digital transformation. Despite some limitations, the study contributes to the literature on resilient business models and the role of digital transformation in SMEs.","container-title":"Journal of Economics and Management Scienties","DOI":"10.37034/jems.v8i1.248","ISSN":"2655-6685, 2655-1934","journalAbbreviation":"JEMS","license":"https://creativecommons.org/licenses/by/4.0","page":"1-6","source":"DOI.org (Crossref)","title":"Digital Transformation and Resilient Business Models: Unlocking Competitive Advantage in Post-Pandemic SMEs","title-short":"Digital Transformation and Resilient Business Models","URL":"https://jems.ink/index.php/JEMS/article/view/248","author":[{"family":"Kusuma","given":"Sitta"}],"accessed":{"date-parts":[["2025",11,22]]},"issued":{"date-parts":[["2025",9,29]]}}}],"schema":"https://github.com/citation-style-language/schema/raw/master/csl-citation.json"} </w:instrText>
      </w:r>
      <w:r w:rsidR="000C455F"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[61]</w:t>
      </w:r>
      <w:r w:rsidR="000C455F"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 формируя базу для системных изменений</w:t>
      </w:r>
      <w:r w:rsidR="000C455F" w:rsidRPr="00CE0BCE">
        <w:rPr>
          <w:rFonts w:ascii="Times New Roman" w:hAnsi="Times New Roman" w:cs="Times New Roman"/>
          <w:sz w:val="28"/>
          <w:szCs w:val="28"/>
        </w:rPr>
        <w:t xml:space="preserve"> </w:t>
      </w:r>
      <w:r w:rsidR="000C455F" w:rsidRPr="00CE0BCE">
        <w:rPr>
          <w:rFonts w:ascii="Times New Roman" w:hAnsi="Times New Roman" w:cs="Times New Roman"/>
          <w:sz w:val="28"/>
          <w:szCs w:val="28"/>
        </w:rPr>
        <w:fldChar w:fldCharType="begin"/>
      </w:r>
      <w:r w:rsidR="009C6DCA">
        <w:rPr>
          <w:rFonts w:ascii="Times New Roman" w:hAnsi="Times New Roman" w:cs="Times New Roman"/>
          <w:sz w:val="28"/>
          <w:szCs w:val="28"/>
        </w:rPr>
        <w:instrText xml:space="preserve"> ADDIN ZOTERO_ITEM CSL_CITATION {"citationID":"a6g6fjec64","properties":{"formattedCitation":"[67,68]","plainCitation":"[67,68]","noteIndex":0},"citationItems":[{"id":116,"uris":["http://zotero.org/users/16887523/items/VLGFVETY"],"itemData":{"id":116,"type":"article-journal","abstract":"With the gradual popularization of big data and Artificial Intelligence (AI) products in society, their impact on various industries has also increased. The main line of enterprise management has changed from empirical decision-making to data decision-making, from more subjective in the past and easy to ignore the multi-variable characteristics of the market to more dependent on data accuracy, more accurate and rational data decision-making, so as to time data. There are still some cognitive gaps in the reasons and paths of its transformation. Therefore, this paper will focus on the digital process of enterprise business management and combine with other relevant literature to discuss the three obstacles that hinder the transformation, namely cognitive obstacles, process obstacles and human obstacles, and output the basic path of digital transformation of enterprise management in a structured way. Specifically, it includes lightweight tools, making it easier for the company to start the first step of transformation, process slicing, restructuring the key links of transformation, organizing actual combat, and ensuring the implementation of transformation. Finally, based on the previous analysis, this study will take a long-term view of the or uncontrollable risks brought about by digital transformation. It aims to fill the theoretical gap faced by the digital transformation of enterprise management from empirical decision-making to data decision-making.","container-title":"Advances in Economics, Management and Political Sciences","DOI":"10.54254/2754-1169/2025.GL27015","ISSN":"2754-1169, 2754-1177","issue":"1","journalAbbreviation":"AEMPS","page":"159-164","source":"DOI.org (Crossref)","title":"The Path for Digital Transformation of Enterprise Business Management","URL":"https://www.ewadirect.com/proceedings/aemps/article/view/27015","volume":"216","author":[{"family":"Li","given":"Xinyao"}],"accessed":{"date-parts":[["2025",11,22]]},"issued":{"date-parts":[["2025",9,24]]}}},{"id":117,"uris":["http://zotero.org/users/16887523/items/IU6CWALM"],"itemData":{"id":117,"type":"article-journal","abstract":"Digital transformation has revolutionized business communication, enabling organizations to adapt to hybrid work environments that combine in-office and remote work. Applications such as Zoom, Slack, Microsoft Teams, and project management software like Asana have transformed how teams exchange information, make decisions, and collaborate across geographical and cultural boundaries. This transformation brings significant benefits, including greater clarity, speed, and quality of communication, but also challenges such as information overload, communication breakdowns, and coordination within global teams. This paper explores how digital transformation impacts the efficiency of business communication in hybrid environments, with a focus on the role of organizational cultures, global teams, and strategies for optimization.","container-title":"Economics, Entrepreneurship and Management Research","DOI":"10.62907/eemr250401024b","ISSN":"2955-9014","journalAbbreviation":"EEMR","license":"https://creativecommons.org/licenses/by/4.0/","page":"24","source":"DOI.org (Crossref)","title":"Impact of Digital Transformation on the Efficiency of Business Communication in Hybrid Work Environments","URL":"https://eemr.unionnikolatesla.edu.rs/index.php/eemr/article/view/31","author":[{"family":"Blagojević","given":"Srdjan"},{"family":"Kecman","given":"Albina"}],"accessed":{"date-parts":[["2025",11,22]]},"issued":{"date-parts":[["2025",9,23]]}}}],"schema":"https://github.com/citation-style-language/schema/raw/master/csl-citation.json"} </w:instrText>
      </w:r>
      <w:r w:rsidR="000C455F" w:rsidRPr="00CE0BCE">
        <w:rPr>
          <w:rFonts w:ascii="Times New Roman" w:hAnsi="Times New Roman" w:cs="Times New Roman"/>
          <w:sz w:val="28"/>
          <w:szCs w:val="28"/>
        </w:rPr>
        <w:fldChar w:fldCharType="separate"/>
      </w:r>
      <w:r w:rsidR="009C6DCA" w:rsidRPr="009C6DCA">
        <w:rPr>
          <w:rFonts w:ascii="Times New Roman" w:hAnsi="Times New Roman" w:cs="Times New Roman"/>
          <w:sz w:val="28"/>
        </w:rPr>
        <w:t>[67,68]</w:t>
      </w:r>
      <w:r w:rsidR="000C455F" w:rsidRPr="00CE0BCE">
        <w:rPr>
          <w:rFonts w:ascii="Times New Roman" w:hAnsi="Times New Roman" w:cs="Times New Roman"/>
          <w:sz w:val="28"/>
          <w:szCs w:val="28"/>
        </w:rPr>
        <w:fldChar w:fldCharType="end"/>
      </w:r>
      <w:r w:rsidRPr="00CE0BCE">
        <w:rPr>
          <w:rFonts w:ascii="Times New Roman" w:hAnsi="Times New Roman" w:cs="Times New Roman"/>
          <w:sz w:val="28"/>
          <w:szCs w:val="28"/>
          <w:lang w:val="kk-KZ"/>
        </w:rPr>
        <w:t>.</w:t>
      </w:r>
    </w:p>
    <w:p w14:paraId="0B9D7C50" w14:textId="4FE98FF6" w:rsidR="00766492" w:rsidRDefault="00766492"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Таким образом, в настоящем исследовании термин «цифровая адаптация» используется как обобщающая операциональная категория, применимая ко всем типам предприятий. Он отражает текущий уровень цифровой зрелости и готовности к цифровой трансформации и служит инструментом анализа различий между малым, средним и крупным бизнесом.</w:t>
      </w:r>
    </w:p>
    <w:p w14:paraId="4E44A8B5" w14:textId="0962E4C2" w:rsidR="00215243" w:rsidRDefault="00AC1907" w:rsidP="002F33D0">
      <w:pPr>
        <w:tabs>
          <w:tab w:val="left" w:pos="851"/>
        </w:tabs>
        <w:spacing w:after="0" w:line="240" w:lineRule="auto"/>
        <w:ind w:firstLine="567"/>
        <w:jc w:val="both"/>
        <w:rPr>
          <w:rFonts w:ascii="Times New Roman" w:hAnsi="Times New Roman" w:cs="Times New Roman"/>
          <w:sz w:val="28"/>
          <w:szCs w:val="28"/>
          <w:lang w:val="kk-KZ"/>
        </w:rPr>
      </w:pPr>
      <w:r w:rsidRPr="00AC1907">
        <w:rPr>
          <w:rFonts w:ascii="Times New Roman" w:hAnsi="Times New Roman" w:cs="Times New Roman"/>
          <w:sz w:val="28"/>
          <w:szCs w:val="28"/>
          <w:lang w:val="kk-KZ"/>
        </w:rPr>
        <w:t xml:space="preserve">На рисунке </w:t>
      </w:r>
      <w:r>
        <w:rPr>
          <w:rFonts w:ascii="Times New Roman" w:hAnsi="Times New Roman" w:cs="Times New Roman"/>
          <w:sz w:val="28"/>
          <w:szCs w:val="28"/>
          <w:lang w:val="kk-KZ"/>
        </w:rPr>
        <w:t xml:space="preserve">1 </w:t>
      </w:r>
      <w:r w:rsidRPr="00AC1907">
        <w:rPr>
          <w:rFonts w:ascii="Times New Roman" w:hAnsi="Times New Roman" w:cs="Times New Roman"/>
          <w:sz w:val="28"/>
          <w:szCs w:val="28"/>
          <w:lang w:val="kk-KZ"/>
        </w:rPr>
        <w:t xml:space="preserve">представлена структурно-компонентная модель инновационного потенциала, в которой внутренние ресурсы формируют ядро </w:t>
      </w:r>
      <w:r w:rsidRPr="00AC1907">
        <w:rPr>
          <w:rFonts w:ascii="Times New Roman" w:hAnsi="Times New Roman" w:cs="Times New Roman"/>
          <w:sz w:val="28"/>
          <w:szCs w:val="28"/>
          <w:lang w:val="kk-KZ"/>
        </w:rPr>
        <w:lastRenderedPageBreak/>
        <w:t>потенциала, а институциональная среда и цифровая адаптация задают условия и механизм его реализации в инновационную активность.</w:t>
      </w:r>
      <w:r w:rsidR="00215243">
        <w:rPr>
          <w:rFonts w:ascii="Times New Roman" w:hAnsi="Times New Roman" w:cs="Times New Roman"/>
          <w:sz w:val="28"/>
          <w:szCs w:val="28"/>
          <w:lang w:val="kk-KZ"/>
        </w:rPr>
        <w:t xml:space="preserve"> </w:t>
      </w:r>
    </w:p>
    <w:p w14:paraId="191A1FA4" w14:textId="449332ED" w:rsidR="00102E7A" w:rsidRDefault="00102E7A" w:rsidP="002F33D0">
      <w:pPr>
        <w:tabs>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5E15913A" wp14:editId="1DE5AF3B">
                <wp:simplePos x="0" y="0"/>
                <wp:positionH relativeFrom="column">
                  <wp:posOffset>4544810</wp:posOffset>
                </wp:positionH>
                <wp:positionV relativeFrom="paragraph">
                  <wp:posOffset>169718</wp:posOffset>
                </wp:positionV>
                <wp:extent cx="1413625" cy="1059873"/>
                <wp:effectExtent l="0" t="0" r="15240" b="26035"/>
                <wp:wrapNone/>
                <wp:docPr id="49" name="Надпись 49"/>
                <wp:cNvGraphicFramePr/>
                <a:graphic xmlns:a="http://schemas.openxmlformats.org/drawingml/2006/main">
                  <a:graphicData uri="http://schemas.microsoft.com/office/word/2010/wordprocessingShape">
                    <wps:wsp>
                      <wps:cNvSpPr txBox="1"/>
                      <wps:spPr>
                        <a:xfrm>
                          <a:off x="0" y="0"/>
                          <a:ext cx="1413625" cy="1059873"/>
                        </a:xfrm>
                        <a:prstGeom prst="roundRect">
                          <a:avLst/>
                        </a:prstGeom>
                        <a:solidFill>
                          <a:schemeClr val="accent1">
                            <a:lumMod val="20000"/>
                            <a:lumOff val="80000"/>
                          </a:schemeClr>
                        </a:solidFill>
                        <a:ln w="6350">
                          <a:solidFill>
                            <a:schemeClr val="accent1"/>
                          </a:solidFill>
                        </a:ln>
                      </wps:spPr>
                      <wps:txbx>
                        <w:txbxContent>
                          <w:p w14:paraId="24CBC784" w14:textId="0CB4F9D1" w:rsidR="001D4931" w:rsidRPr="00102E7A" w:rsidRDefault="001D4931" w:rsidP="00102E7A">
                            <w:pPr>
                              <w:spacing w:after="0" w:line="240" w:lineRule="auto"/>
                              <w:ind w:left="-142" w:right="-217"/>
                              <w:rPr>
                                <w:rFonts w:ascii="Times New Roman" w:hAnsi="Times New Roman" w:cs="Times New Roman"/>
                                <w:sz w:val="18"/>
                                <w:szCs w:val="18"/>
                                <w:lang w:val="kk-KZ"/>
                              </w:rPr>
                            </w:pPr>
                            <w:r w:rsidRPr="00AC1907">
                              <w:rPr>
                                <w:rFonts w:ascii="Times New Roman" w:hAnsi="Times New Roman" w:cs="Times New Roman"/>
                                <w:b/>
                                <w:sz w:val="18"/>
                                <w:szCs w:val="18"/>
                              </w:rPr>
                              <w:t>Институциональная среда</w:t>
                            </w:r>
                            <w:r>
                              <w:rPr>
                                <w:rFonts w:ascii="Times New Roman" w:hAnsi="Times New Roman" w:cs="Times New Roman"/>
                                <w:sz w:val="18"/>
                                <w:szCs w:val="18"/>
                                <w:lang w:val="kk-KZ"/>
                              </w:rPr>
                              <w:t>:</w:t>
                            </w:r>
                          </w:p>
                          <w:p w14:paraId="5B56087A" w14:textId="269AB2B3" w:rsidR="001D4931" w:rsidRPr="00102E7A" w:rsidRDefault="001D4931" w:rsidP="00B20582">
                            <w:pPr>
                              <w:pStyle w:val="a3"/>
                              <w:numPr>
                                <w:ilvl w:val="0"/>
                                <w:numId w:val="71"/>
                              </w:numPr>
                              <w:tabs>
                                <w:tab w:val="left" w:pos="142"/>
                              </w:tabs>
                              <w:spacing w:after="0" w:line="240" w:lineRule="auto"/>
                              <w:ind w:left="0" w:right="-217" w:firstLine="0"/>
                              <w:rPr>
                                <w:rFonts w:ascii="Times New Roman" w:hAnsi="Times New Roman" w:cs="Times New Roman"/>
                                <w:sz w:val="18"/>
                                <w:szCs w:val="18"/>
                              </w:rPr>
                            </w:pPr>
                            <w:r w:rsidRPr="00102E7A">
                              <w:rPr>
                                <w:rFonts w:ascii="Times New Roman" w:hAnsi="Times New Roman" w:cs="Times New Roman"/>
                                <w:sz w:val="18"/>
                                <w:szCs w:val="18"/>
                              </w:rPr>
                              <w:t>государственная поддержка;</w:t>
                            </w:r>
                          </w:p>
                          <w:p w14:paraId="46A07B8A" w14:textId="090C6A2C" w:rsidR="001D4931" w:rsidRPr="00102E7A" w:rsidRDefault="001D4931" w:rsidP="00B20582">
                            <w:pPr>
                              <w:pStyle w:val="a3"/>
                              <w:numPr>
                                <w:ilvl w:val="0"/>
                                <w:numId w:val="71"/>
                              </w:numPr>
                              <w:tabs>
                                <w:tab w:val="left" w:pos="142"/>
                              </w:tabs>
                              <w:spacing w:after="0" w:line="240" w:lineRule="auto"/>
                              <w:ind w:left="0" w:right="-217" w:firstLine="0"/>
                              <w:rPr>
                                <w:rFonts w:ascii="Times New Roman" w:hAnsi="Times New Roman" w:cs="Times New Roman"/>
                                <w:sz w:val="18"/>
                                <w:szCs w:val="18"/>
                              </w:rPr>
                            </w:pPr>
                            <w:r w:rsidRPr="00102E7A">
                              <w:rPr>
                                <w:rFonts w:ascii="Times New Roman" w:hAnsi="Times New Roman" w:cs="Times New Roman"/>
                                <w:sz w:val="18"/>
                                <w:szCs w:val="18"/>
                              </w:rPr>
                              <w:t>нормативные условия;</w:t>
                            </w:r>
                          </w:p>
                          <w:p w14:paraId="044C1DF3" w14:textId="07CDD7CA" w:rsidR="001D4931" w:rsidRPr="00102E7A" w:rsidRDefault="001D4931" w:rsidP="00B20582">
                            <w:pPr>
                              <w:pStyle w:val="a3"/>
                              <w:numPr>
                                <w:ilvl w:val="0"/>
                                <w:numId w:val="71"/>
                              </w:numPr>
                              <w:tabs>
                                <w:tab w:val="left" w:pos="142"/>
                              </w:tabs>
                              <w:spacing w:after="0" w:line="240" w:lineRule="auto"/>
                              <w:ind w:left="0" w:right="-217" w:firstLine="0"/>
                              <w:rPr>
                                <w:rFonts w:ascii="Times New Roman" w:hAnsi="Times New Roman" w:cs="Times New Roman"/>
                                <w:sz w:val="18"/>
                                <w:szCs w:val="18"/>
                              </w:rPr>
                            </w:pPr>
                            <w:r w:rsidRPr="00102E7A">
                              <w:rPr>
                                <w:rFonts w:ascii="Times New Roman" w:hAnsi="Times New Roman" w:cs="Times New Roman"/>
                                <w:sz w:val="18"/>
                                <w:szCs w:val="18"/>
                              </w:rPr>
                              <w:t>инфраструктура.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5E15913A" id="Надпись 49" o:spid="_x0000_s1026" style="position:absolute;left:0;text-align:left;margin-left:357.85pt;margin-top:13.35pt;width:111.3pt;height:83.4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S0ZhgIAAPIEAAAOAAAAZHJzL2Uyb0RvYy54bWysVL1u2zAQ3gv0HQjujSTHdhIjcuA6SFHA&#10;TYImRWaaomwBJI8laUvplr2v0Hfo0KFbX8F5ox4p2XHSTkUX6nh3vJ/vvtPpWaMkWQvrKtA5zQ5S&#10;SoTmUFR6kdNPtxdvjilxnumCSdAip/fC0bPx61entRmJHixBFsISDKLdqDY5XXpvRkni+FIo5g7A&#10;CI3GEqxiHq92kRSW1RhdyaSXpsOkBlsYC1w4h9rz1kjHMX5ZCu6vytIJT2ROsTYfTxvPeTiT8Skb&#10;LSwzy4p3ZbB/qEKxSmPSXahz5hlZ2eqPUKriFhyU/oCDSqAsKy5iD9hNlr7o5mbJjIi9IDjO7GBy&#10;/y8sv1xfW1IVOe2fUKKZwhltvm2+b35sfm1+Pj48fiVoQJRq40bofGPQ3TdvocFpb/UOlaH5prQq&#10;fLEtgnbE+36HsWg84eFRPzsc9gaUcLRl6eDk+OgwxEmenhvr/DsBigQhpxZWuviIk4wAs/XM+dZ/&#10;6xdSOpBVcVFJGS+BPWIqLVkznDvjXGifxedypT5A0eqRP2nHAFQjT1r18VaNJUUehkixwGdJpCZ1&#10;ToeHgzQGfmbbPXteQFv2nidmkBpDB3BbEIPkm3nTIT6H4h4Bt9AS1xl+USEoM+b8NbPIVMQYt89f&#10;4VFKwIKgkyhZgv3yN33wRwKhlZIamZ9T93nFrKBEvtdIrZOs3w+rEi/9wVEPL3bfMt+36JWaAoKc&#10;4Z4bHsXg7+VWLC2oO1zSSciKJqY55s6p34pT3+4jLjkXk0l0wuUwzM/0jeEhdBhqmPZtc8es6Xjh&#10;kVKXsN0RNnrBjNY3vNQwWXkoq0ibAHCLaoc7LlYcbvcTCJu7f49eT7+q8W8AAAD//wMAUEsDBBQA&#10;BgAIAAAAIQDeBhN13gAAAAoBAAAPAAAAZHJzL2Rvd25yZXYueG1sTI/BboMwDIbvk/YOkSvttgaK&#10;RltKqKah3cahbA+QEhdQiUNJ2rK3n3faTpblT7+/P9/PdhA3nHzvSEG8jEAgNc701Cr4+nx/3oDw&#10;QZPRgyNU8I0e9sXjQ64z4+50wFsdWsEh5DOtoAthzKT0TYdW+6Ubkfh2cpPVgdeplWbSdw63g1xF&#10;USqt7ok/dHrEtw6bc321ClZ0ODd9fcF2LqvLqfoo4youlXpazK87EAHn8AfDrz6rQ8FOR3cl48Wg&#10;YB2/rBnlsJQnA9tkk4A4MrlNUpBFLv9XKH4AAAD//wMAUEsBAi0AFAAGAAgAAAAhALaDOJL+AAAA&#10;4QEAABMAAAAAAAAAAAAAAAAAAAAAAFtDb250ZW50X1R5cGVzXS54bWxQSwECLQAUAAYACAAAACEA&#10;OP0h/9YAAACUAQAACwAAAAAAAAAAAAAAAAAvAQAAX3JlbHMvLnJlbHNQSwECLQAUAAYACAAAACEA&#10;gXUtGYYCAADyBAAADgAAAAAAAAAAAAAAAAAuAgAAZHJzL2Uyb0RvYy54bWxQSwECLQAUAAYACAAA&#10;ACEA3gYTdd4AAAAKAQAADwAAAAAAAAAAAAAAAADgBAAAZHJzL2Rvd25yZXYueG1sUEsFBgAAAAAE&#10;AAQA8wAAAOsFAAAAAA==&#10;" fillcolor="#deeaf6 [660]" strokecolor="#5b9bd5 [3204]" strokeweight=".5pt">
                <v:textbox>
                  <w:txbxContent>
                    <w:p w14:paraId="24CBC784" w14:textId="0CB4F9D1" w:rsidR="001D4931" w:rsidRPr="00102E7A" w:rsidRDefault="001D4931" w:rsidP="00102E7A">
                      <w:pPr>
                        <w:spacing w:after="0" w:line="240" w:lineRule="auto"/>
                        <w:ind w:left="-142" w:right="-217"/>
                        <w:rPr>
                          <w:rFonts w:ascii="Times New Roman" w:hAnsi="Times New Roman" w:cs="Times New Roman"/>
                          <w:sz w:val="18"/>
                          <w:szCs w:val="18"/>
                          <w:lang w:val="kk-KZ"/>
                        </w:rPr>
                      </w:pPr>
                      <w:r w:rsidRPr="00AC1907">
                        <w:rPr>
                          <w:rFonts w:ascii="Times New Roman" w:hAnsi="Times New Roman" w:cs="Times New Roman"/>
                          <w:b/>
                          <w:sz w:val="18"/>
                          <w:szCs w:val="18"/>
                        </w:rPr>
                        <w:t>Институциональная среда</w:t>
                      </w:r>
                      <w:r>
                        <w:rPr>
                          <w:rFonts w:ascii="Times New Roman" w:hAnsi="Times New Roman" w:cs="Times New Roman"/>
                          <w:sz w:val="18"/>
                          <w:szCs w:val="18"/>
                          <w:lang w:val="kk-KZ"/>
                        </w:rPr>
                        <w:t>:</w:t>
                      </w:r>
                    </w:p>
                    <w:p w14:paraId="5B56087A" w14:textId="269AB2B3" w:rsidR="001D4931" w:rsidRPr="00102E7A" w:rsidRDefault="001D4931" w:rsidP="00B20582">
                      <w:pPr>
                        <w:pStyle w:val="a3"/>
                        <w:numPr>
                          <w:ilvl w:val="0"/>
                          <w:numId w:val="71"/>
                        </w:numPr>
                        <w:tabs>
                          <w:tab w:val="left" w:pos="142"/>
                        </w:tabs>
                        <w:spacing w:after="0" w:line="240" w:lineRule="auto"/>
                        <w:ind w:left="0" w:right="-217" w:firstLine="0"/>
                        <w:rPr>
                          <w:rFonts w:ascii="Times New Roman" w:hAnsi="Times New Roman" w:cs="Times New Roman"/>
                          <w:sz w:val="18"/>
                          <w:szCs w:val="18"/>
                        </w:rPr>
                      </w:pPr>
                      <w:r w:rsidRPr="00102E7A">
                        <w:rPr>
                          <w:rFonts w:ascii="Times New Roman" w:hAnsi="Times New Roman" w:cs="Times New Roman"/>
                          <w:sz w:val="18"/>
                          <w:szCs w:val="18"/>
                        </w:rPr>
                        <w:t>государственная поддержка;</w:t>
                      </w:r>
                    </w:p>
                    <w:p w14:paraId="46A07B8A" w14:textId="090C6A2C" w:rsidR="001D4931" w:rsidRPr="00102E7A" w:rsidRDefault="001D4931" w:rsidP="00B20582">
                      <w:pPr>
                        <w:pStyle w:val="a3"/>
                        <w:numPr>
                          <w:ilvl w:val="0"/>
                          <w:numId w:val="71"/>
                        </w:numPr>
                        <w:tabs>
                          <w:tab w:val="left" w:pos="142"/>
                        </w:tabs>
                        <w:spacing w:after="0" w:line="240" w:lineRule="auto"/>
                        <w:ind w:left="0" w:right="-217" w:firstLine="0"/>
                        <w:rPr>
                          <w:rFonts w:ascii="Times New Roman" w:hAnsi="Times New Roman" w:cs="Times New Roman"/>
                          <w:sz w:val="18"/>
                          <w:szCs w:val="18"/>
                        </w:rPr>
                      </w:pPr>
                      <w:r w:rsidRPr="00102E7A">
                        <w:rPr>
                          <w:rFonts w:ascii="Times New Roman" w:hAnsi="Times New Roman" w:cs="Times New Roman"/>
                          <w:sz w:val="18"/>
                          <w:szCs w:val="18"/>
                        </w:rPr>
                        <w:t>нормативные условия;</w:t>
                      </w:r>
                    </w:p>
                    <w:p w14:paraId="044C1DF3" w14:textId="07CDD7CA" w:rsidR="001D4931" w:rsidRPr="00102E7A" w:rsidRDefault="001D4931" w:rsidP="00B20582">
                      <w:pPr>
                        <w:pStyle w:val="a3"/>
                        <w:numPr>
                          <w:ilvl w:val="0"/>
                          <w:numId w:val="71"/>
                        </w:numPr>
                        <w:tabs>
                          <w:tab w:val="left" w:pos="142"/>
                        </w:tabs>
                        <w:spacing w:after="0" w:line="240" w:lineRule="auto"/>
                        <w:ind w:left="0" w:right="-217" w:firstLine="0"/>
                        <w:rPr>
                          <w:rFonts w:ascii="Times New Roman" w:hAnsi="Times New Roman" w:cs="Times New Roman"/>
                          <w:sz w:val="18"/>
                          <w:szCs w:val="18"/>
                        </w:rPr>
                      </w:pPr>
                      <w:r w:rsidRPr="00102E7A">
                        <w:rPr>
                          <w:rFonts w:ascii="Times New Roman" w:hAnsi="Times New Roman" w:cs="Times New Roman"/>
                          <w:sz w:val="18"/>
                          <w:szCs w:val="18"/>
                        </w:rPr>
                        <w:t>инфраструктура.</w:t>
                      </w:r>
                    </w:p>
                  </w:txbxContent>
                </v:textbox>
              </v:roundrect>
            </w:pict>
          </mc:Fallback>
        </mc:AlternateContent>
      </w:r>
    </w:p>
    <w:p w14:paraId="23230790" w14:textId="3B0DF24E" w:rsidR="00102E7A" w:rsidRDefault="00AC1907" w:rsidP="00102E7A">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3F3748A9" wp14:editId="459AB471">
                <wp:simplePos x="0" y="0"/>
                <wp:positionH relativeFrom="column">
                  <wp:posOffset>4544234</wp:posOffset>
                </wp:positionH>
                <wp:positionV relativeFrom="paragraph">
                  <wp:posOffset>2583526</wp:posOffset>
                </wp:positionV>
                <wp:extent cx="1413625" cy="1350299"/>
                <wp:effectExtent l="0" t="0" r="15240" b="21590"/>
                <wp:wrapNone/>
                <wp:docPr id="59" name="Надпись 59"/>
                <wp:cNvGraphicFramePr/>
                <a:graphic xmlns:a="http://schemas.openxmlformats.org/drawingml/2006/main">
                  <a:graphicData uri="http://schemas.microsoft.com/office/word/2010/wordprocessingShape">
                    <wps:wsp>
                      <wps:cNvSpPr txBox="1"/>
                      <wps:spPr>
                        <a:xfrm>
                          <a:off x="0" y="0"/>
                          <a:ext cx="1413625" cy="1350299"/>
                        </a:xfrm>
                        <a:prstGeom prst="roundRect">
                          <a:avLst/>
                        </a:prstGeom>
                        <a:solidFill>
                          <a:schemeClr val="accent1">
                            <a:lumMod val="20000"/>
                            <a:lumOff val="80000"/>
                          </a:schemeClr>
                        </a:solidFill>
                        <a:ln w="6350">
                          <a:solidFill>
                            <a:schemeClr val="accent1"/>
                          </a:solidFill>
                        </a:ln>
                      </wps:spPr>
                      <wps:txbx>
                        <w:txbxContent>
                          <w:p w14:paraId="3EFD2F99" w14:textId="25FB97A9" w:rsidR="001D4931" w:rsidRPr="00102E7A" w:rsidRDefault="001D4931" w:rsidP="00AC1907">
                            <w:pPr>
                              <w:tabs>
                                <w:tab w:val="left" w:pos="0"/>
                              </w:tabs>
                              <w:spacing w:after="0" w:line="240" w:lineRule="auto"/>
                              <w:ind w:left="-142" w:right="-146"/>
                              <w:rPr>
                                <w:rFonts w:ascii="Times New Roman" w:hAnsi="Times New Roman" w:cs="Times New Roman"/>
                                <w:sz w:val="18"/>
                                <w:szCs w:val="18"/>
                                <w:lang w:val="kk-KZ"/>
                              </w:rPr>
                            </w:pPr>
                            <w:r w:rsidRPr="00AC1907">
                              <w:rPr>
                                <w:rFonts w:ascii="Times New Roman" w:hAnsi="Times New Roman" w:cs="Times New Roman"/>
                                <w:b/>
                                <w:sz w:val="18"/>
                                <w:szCs w:val="18"/>
                              </w:rPr>
                              <w:t>Цифровая адаптация</w:t>
                            </w:r>
                            <w:r>
                              <w:rPr>
                                <w:rFonts w:ascii="Times New Roman" w:hAnsi="Times New Roman" w:cs="Times New Roman"/>
                                <w:b/>
                                <w:sz w:val="18"/>
                                <w:szCs w:val="18"/>
                                <w:lang w:val="kk-KZ"/>
                              </w:rPr>
                              <w:t xml:space="preserve"> </w:t>
                            </w:r>
                            <w:r w:rsidRPr="00AC1907">
                              <w:rPr>
                                <w:rFonts w:ascii="Times New Roman" w:hAnsi="Times New Roman" w:cs="Times New Roman"/>
                                <w:sz w:val="18"/>
                                <w:szCs w:val="18"/>
                                <w:lang w:val="kk-KZ"/>
                              </w:rPr>
                              <w:t>(сквозной мидиирующий фактор):</w:t>
                            </w:r>
                          </w:p>
                          <w:p w14:paraId="1217E552" w14:textId="1157B400" w:rsidR="001D4931" w:rsidRPr="00102E7A" w:rsidRDefault="001D4931" w:rsidP="00B20582">
                            <w:pPr>
                              <w:pStyle w:val="a3"/>
                              <w:numPr>
                                <w:ilvl w:val="0"/>
                                <w:numId w:val="71"/>
                              </w:numPr>
                              <w:tabs>
                                <w:tab w:val="left" w:pos="0"/>
                                <w:tab w:val="left" w:pos="142"/>
                              </w:tabs>
                              <w:spacing w:after="0" w:line="240" w:lineRule="auto"/>
                              <w:ind w:left="0" w:right="-217" w:firstLine="0"/>
                              <w:rPr>
                                <w:rFonts w:ascii="Times New Roman" w:hAnsi="Times New Roman" w:cs="Times New Roman"/>
                                <w:sz w:val="18"/>
                                <w:szCs w:val="18"/>
                              </w:rPr>
                            </w:pPr>
                            <w:r w:rsidRPr="00AC1907">
                              <w:rPr>
                                <w:rFonts w:ascii="Times New Roman" w:hAnsi="Times New Roman" w:cs="Times New Roman"/>
                                <w:sz w:val="18"/>
                                <w:szCs w:val="18"/>
                              </w:rPr>
                              <w:t>цифровизация процессов</w:t>
                            </w:r>
                            <w:r w:rsidRPr="00102E7A">
                              <w:rPr>
                                <w:rFonts w:ascii="Times New Roman" w:hAnsi="Times New Roman" w:cs="Times New Roman"/>
                                <w:sz w:val="18"/>
                                <w:szCs w:val="18"/>
                              </w:rPr>
                              <w:t>;</w:t>
                            </w:r>
                          </w:p>
                          <w:p w14:paraId="39C5421F" w14:textId="1C1F42AB" w:rsidR="001D4931" w:rsidRPr="00102E7A" w:rsidRDefault="001D4931" w:rsidP="00B20582">
                            <w:pPr>
                              <w:pStyle w:val="a3"/>
                              <w:numPr>
                                <w:ilvl w:val="0"/>
                                <w:numId w:val="71"/>
                              </w:numPr>
                              <w:tabs>
                                <w:tab w:val="left" w:pos="0"/>
                                <w:tab w:val="left" w:pos="142"/>
                              </w:tabs>
                              <w:spacing w:after="0" w:line="240" w:lineRule="auto"/>
                              <w:ind w:left="0" w:right="-217" w:firstLine="0"/>
                              <w:rPr>
                                <w:rFonts w:ascii="Times New Roman" w:hAnsi="Times New Roman" w:cs="Times New Roman"/>
                                <w:sz w:val="18"/>
                                <w:szCs w:val="18"/>
                              </w:rPr>
                            </w:pPr>
                            <w:r w:rsidRPr="00AC1907">
                              <w:rPr>
                                <w:rFonts w:ascii="Times New Roman" w:hAnsi="Times New Roman" w:cs="Times New Roman"/>
                                <w:sz w:val="18"/>
                                <w:szCs w:val="18"/>
                              </w:rPr>
                              <w:t>интеграция цифровых решений</w:t>
                            </w:r>
                            <w:r w:rsidRPr="00102E7A">
                              <w:rPr>
                                <w:rFonts w:ascii="Times New Roman" w:hAnsi="Times New Roman" w:cs="Times New Roman"/>
                                <w:sz w:val="18"/>
                                <w:szCs w:val="18"/>
                              </w:rPr>
                              <w:t>;</w:t>
                            </w:r>
                          </w:p>
                          <w:p w14:paraId="5F86761A" w14:textId="6151EEBE" w:rsidR="001D4931" w:rsidRPr="00102E7A" w:rsidRDefault="001D4931" w:rsidP="00B20582">
                            <w:pPr>
                              <w:pStyle w:val="a3"/>
                              <w:numPr>
                                <w:ilvl w:val="0"/>
                                <w:numId w:val="71"/>
                              </w:numPr>
                              <w:tabs>
                                <w:tab w:val="left" w:pos="0"/>
                                <w:tab w:val="left" w:pos="142"/>
                              </w:tabs>
                              <w:spacing w:after="0" w:line="240" w:lineRule="auto"/>
                              <w:ind w:left="0" w:right="-217" w:firstLine="0"/>
                              <w:rPr>
                                <w:rFonts w:ascii="Times New Roman" w:hAnsi="Times New Roman" w:cs="Times New Roman"/>
                                <w:sz w:val="18"/>
                                <w:szCs w:val="18"/>
                              </w:rPr>
                            </w:pPr>
                            <w:r w:rsidRPr="00AC1907">
                              <w:rPr>
                                <w:rFonts w:ascii="Times New Roman" w:hAnsi="Times New Roman" w:cs="Times New Roman"/>
                                <w:sz w:val="18"/>
                                <w:szCs w:val="18"/>
                              </w:rPr>
                              <w:t>цифровая зрелость</w:t>
                            </w:r>
                            <w:r w:rsidRPr="00102E7A">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3F3748A9" id="Надпись 59" o:spid="_x0000_s1027" style="position:absolute;left:0;text-align:left;margin-left:357.8pt;margin-top:203.45pt;width:111.3pt;height:106.3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Y/6hwIAAPkEAAAOAAAAZHJzL2Uyb0RvYy54bWysVM1uEzEQviPxDpbvdJM0KU3UTRVaFSGV&#10;tqJFPTteb7OS12NsJ9ly484r8A4cOHDjFdI34rM3SdPCCXHxjmfG8/PNN3t03NSaLZTzFZmcd/c6&#10;nCkjqajMXc4/3py9OuTMB2EKocmonN8rz4/HL18cLe1I9WhGulCOIYjxo6XN+SwEO8oyL2eqFn6P&#10;rDIwluRqEXB1d1nhxBLRa531Op2DbEmusI6k8h7a09bIxyl+WSoZLsvSq8B0zlFbSKdL5zSe2fhI&#10;jO6csLNKrssQ/1BFLSqDpNtQpyIINnfVH6HqSjryVIY9SXVGZVlJlXpAN93Os26uZ8Kq1AvA8XYL&#10;k/9/YeXF4sqxqsj5YMiZETVmtPq2+r76sfq1+vnw5eErgwEoLa0fwfnawj00b6jBtDd6D2Vsvild&#10;Hb9oi8EOvO+3GKsmMBkf9bv7B70BZxK27v6g0xum+Nnjc+t8eKuoZlHIuaO5KT5gkglgsTj3AfXA&#10;f+MXU3rSVXFWaZ0ukT3qRDu2EJi7kFKZ0E3P9bx+T0WrB386awZADZ606sONGikSD2OklPBJEm3Y&#10;MucH6CAFfmLbPntaQFv2jicyaIPQEdwWxCiFZtqkkWwBnlJxD9wdtfz1Vp5VwOZc+HAlHAgLqLGE&#10;4RJHqQl10VribEbu89/00R88gpWzJRYg5/7TXDjFmX5nwLBht9+PG5Mu/cHrHi5u1zLdtZh5fULA&#10;uot1tzKJ0T/ojVg6qm+xq5OYFSZhJHLnPGzEk9CuJXZdqskkOWFHrAjn5trKGDrONg79prkVzq7p&#10;EcCsC9qsihg9I0jrG18amswDlVViT8S5RXUNP/YrzXj9L4gLvHtPXo9/rPFvAAAA//8DAFBLAwQU&#10;AAYACAAAACEAuXQIVt8AAAALAQAADwAAAGRycy9kb3ducmV2LnhtbEyPwU6DQBCG7ya+w2ZMvNll&#10;0WJBhsZIvMmh6ANsYQqk7Cxlty2+vetJj5P/y/9/k28XM4oLzW6wjKBWEQjixrYDdwhfn+8PGxDO&#10;a271aJkQvsnBtri9yXXW2ivv6FL7ToQSdplG6L2fMild05PRbmUn4pAd7Gy0D+fcyXbW11BuRhlH&#10;USKNHjgs9Hqit56aY302CDHvjs1Qn6hbyup0qD5KVakS8f5ueX0B4WnxfzD86gd1KILT3p65dWJE&#10;eFbrJKAIT1GSgghE+riJQewREpWuQRa5/P9D8QMAAP//AwBQSwECLQAUAAYACAAAACEAtoM4kv4A&#10;AADhAQAAEwAAAAAAAAAAAAAAAAAAAAAAW0NvbnRlbnRfVHlwZXNdLnhtbFBLAQItABQABgAIAAAA&#10;IQA4/SH/1gAAAJQBAAALAAAAAAAAAAAAAAAAAC8BAABfcmVscy8ucmVsc1BLAQItABQABgAIAAAA&#10;IQBoPY/6hwIAAPkEAAAOAAAAAAAAAAAAAAAAAC4CAABkcnMvZTJvRG9jLnhtbFBLAQItABQABgAI&#10;AAAAIQC5dAhW3wAAAAsBAAAPAAAAAAAAAAAAAAAAAOEEAABkcnMvZG93bnJldi54bWxQSwUGAAAA&#10;AAQABADzAAAA7QUAAAAA&#10;" fillcolor="#deeaf6 [660]" strokecolor="#5b9bd5 [3204]" strokeweight=".5pt">
                <v:textbox>
                  <w:txbxContent>
                    <w:p w14:paraId="3EFD2F99" w14:textId="25FB97A9" w:rsidR="001D4931" w:rsidRPr="00102E7A" w:rsidRDefault="001D4931" w:rsidP="00AC1907">
                      <w:pPr>
                        <w:tabs>
                          <w:tab w:val="left" w:pos="0"/>
                        </w:tabs>
                        <w:spacing w:after="0" w:line="240" w:lineRule="auto"/>
                        <w:ind w:left="-142" w:right="-146"/>
                        <w:rPr>
                          <w:rFonts w:ascii="Times New Roman" w:hAnsi="Times New Roman" w:cs="Times New Roman"/>
                          <w:sz w:val="18"/>
                          <w:szCs w:val="18"/>
                          <w:lang w:val="kk-KZ"/>
                        </w:rPr>
                      </w:pPr>
                      <w:r w:rsidRPr="00AC1907">
                        <w:rPr>
                          <w:rFonts w:ascii="Times New Roman" w:hAnsi="Times New Roman" w:cs="Times New Roman"/>
                          <w:b/>
                          <w:sz w:val="18"/>
                          <w:szCs w:val="18"/>
                        </w:rPr>
                        <w:t>Цифровая адаптация</w:t>
                      </w:r>
                      <w:r>
                        <w:rPr>
                          <w:rFonts w:ascii="Times New Roman" w:hAnsi="Times New Roman" w:cs="Times New Roman"/>
                          <w:b/>
                          <w:sz w:val="18"/>
                          <w:szCs w:val="18"/>
                          <w:lang w:val="kk-KZ"/>
                        </w:rPr>
                        <w:t xml:space="preserve"> </w:t>
                      </w:r>
                      <w:r w:rsidRPr="00AC1907">
                        <w:rPr>
                          <w:rFonts w:ascii="Times New Roman" w:hAnsi="Times New Roman" w:cs="Times New Roman"/>
                          <w:sz w:val="18"/>
                          <w:szCs w:val="18"/>
                          <w:lang w:val="kk-KZ"/>
                        </w:rPr>
                        <w:t>(сквозной мидиирующий фактор):</w:t>
                      </w:r>
                    </w:p>
                    <w:p w14:paraId="1217E552" w14:textId="1157B400" w:rsidR="001D4931" w:rsidRPr="00102E7A" w:rsidRDefault="001D4931" w:rsidP="00B20582">
                      <w:pPr>
                        <w:pStyle w:val="a3"/>
                        <w:numPr>
                          <w:ilvl w:val="0"/>
                          <w:numId w:val="71"/>
                        </w:numPr>
                        <w:tabs>
                          <w:tab w:val="left" w:pos="0"/>
                          <w:tab w:val="left" w:pos="142"/>
                        </w:tabs>
                        <w:spacing w:after="0" w:line="240" w:lineRule="auto"/>
                        <w:ind w:left="0" w:right="-217" w:firstLine="0"/>
                        <w:rPr>
                          <w:rFonts w:ascii="Times New Roman" w:hAnsi="Times New Roman" w:cs="Times New Roman"/>
                          <w:sz w:val="18"/>
                          <w:szCs w:val="18"/>
                        </w:rPr>
                      </w:pPr>
                      <w:r w:rsidRPr="00AC1907">
                        <w:rPr>
                          <w:rFonts w:ascii="Times New Roman" w:hAnsi="Times New Roman" w:cs="Times New Roman"/>
                          <w:sz w:val="18"/>
                          <w:szCs w:val="18"/>
                        </w:rPr>
                        <w:t>цифровизация процессов</w:t>
                      </w:r>
                      <w:r w:rsidRPr="00102E7A">
                        <w:rPr>
                          <w:rFonts w:ascii="Times New Roman" w:hAnsi="Times New Roman" w:cs="Times New Roman"/>
                          <w:sz w:val="18"/>
                          <w:szCs w:val="18"/>
                        </w:rPr>
                        <w:t>;</w:t>
                      </w:r>
                    </w:p>
                    <w:p w14:paraId="39C5421F" w14:textId="1C1F42AB" w:rsidR="001D4931" w:rsidRPr="00102E7A" w:rsidRDefault="001D4931" w:rsidP="00B20582">
                      <w:pPr>
                        <w:pStyle w:val="a3"/>
                        <w:numPr>
                          <w:ilvl w:val="0"/>
                          <w:numId w:val="71"/>
                        </w:numPr>
                        <w:tabs>
                          <w:tab w:val="left" w:pos="0"/>
                          <w:tab w:val="left" w:pos="142"/>
                        </w:tabs>
                        <w:spacing w:after="0" w:line="240" w:lineRule="auto"/>
                        <w:ind w:left="0" w:right="-217" w:firstLine="0"/>
                        <w:rPr>
                          <w:rFonts w:ascii="Times New Roman" w:hAnsi="Times New Roman" w:cs="Times New Roman"/>
                          <w:sz w:val="18"/>
                          <w:szCs w:val="18"/>
                        </w:rPr>
                      </w:pPr>
                      <w:r w:rsidRPr="00AC1907">
                        <w:rPr>
                          <w:rFonts w:ascii="Times New Roman" w:hAnsi="Times New Roman" w:cs="Times New Roman"/>
                          <w:sz w:val="18"/>
                          <w:szCs w:val="18"/>
                        </w:rPr>
                        <w:t>интеграция цифровых решений</w:t>
                      </w:r>
                      <w:r w:rsidRPr="00102E7A">
                        <w:rPr>
                          <w:rFonts w:ascii="Times New Roman" w:hAnsi="Times New Roman" w:cs="Times New Roman"/>
                          <w:sz w:val="18"/>
                          <w:szCs w:val="18"/>
                        </w:rPr>
                        <w:t>;</w:t>
                      </w:r>
                    </w:p>
                    <w:p w14:paraId="5F86761A" w14:textId="6151EEBE" w:rsidR="001D4931" w:rsidRPr="00102E7A" w:rsidRDefault="001D4931" w:rsidP="00B20582">
                      <w:pPr>
                        <w:pStyle w:val="a3"/>
                        <w:numPr>
                          <w:ilvl w:val="0"/>
                          <w:numId w:val="71"/>
                        </w:numPr>
                        <w:tabs>
                          <w:tab w:val="left" w:pos="0"/>
                          <w:tab w:val="left" w:pos="142"/>
                        </w:tabs>
                        <w:spacing w:after="0" w:line="240" w:lineRule="auto"/>
                        <w:ind w:left="0" w:right="-217" w:firstLine="0"/>
                        <w:rPr>
                          <w:rFonts w:ascii="Times New Roman" w:hAnsi="Times New Roman" w:cs="Times New Roman"/>
                          <w:sz w:val="18"/>
                          <w:szCs w:val="18"/>
                        </w:rPr>
                      </w:pPr>
                      <w:r w:rsidRPr="00AC1907">
                        <w:rPr>
                          <w:rFonts w:ascii="Times New Roman" w:hAnsi="Times New Roman" w:cs="Times New Roman"/>
                          <w:sz w:val="18"/>
                          <w:szCs w:val="18"/>
                        </w:rPr>
                        <w:t>цифровая зрелость</w:t>
                      </w:r>
                      <w:r w:rsidRPr="00102E7A">
                        <w:rPr>
                          <w:rFonts w:ascii="Times New Roman" w:hAnsi="Times New Roman" w:cs="Times New Roman"/>
                          <w:sz w:val="18"/>
                          <w:szCs w:val="18"/>
                        </w:rPr>
                        <w:t>.</w:t>
                      </w:r>
                    </w:p>
                  </w:txbxContent>
                </v:textbox>
              </v:roundrect>
            </w:pict>
          </mc:Fallback>
        </mc:AlternateContent>
      </w:r>
      <w:r w:rsidR="00102E7A">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1C91011A" wp14:editId="38B4E1B6">
                <wp:simplePos x="0" y="0"/>
                <wp:positionH relativeFrom="column">
                  <wp:posOffset>2237740</wp:posOffset>
                </wp:positionH>
                <wp:positionV relativeFrom="paragraph">
                  <wp:posOffset>172085</wp:posOffset>
                </wp:positionV>
                <wp:extent cx="2306320" cy="13335"/>
                <wp:effectExtent l="38100" t="57150" r="93980" b="100965"/>
                <wp:wrapNone/>
                <wp:docPr id="47" name="Прямая соединительная линия 47"/>
                <wp:cNvGraphicFramePr/>
                <a:graphic xmlns:a="http://schemas.openxmlformats.org/drawingml/2006/main">
                  <a:graphicData uri="http://schemas.microsoft.com/office/word/2010/wordprocessingShape">
                    <wps:wsp>
                      <wps:cNvCnPr/>
                      <wps:spPr>
                        <a:xfrm>
                          <a:off x="0" y="0"/>
                          <a:ext cx="2306320" cy="13335"/>
                        </a:xfrm>
                        <a:prstGeom prst="line">
                          <a:avLst/>
                        </a:prstGeom>
                        <a:ln>
                          <a:headEnd type="oval" w="med" len="med"/>
                          <a:tailEnd type="triangle" w="med" len="med"/>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4EF42FD" id="Прямая соединительная линия 47"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76.2pt,13.55pt" to="357.8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82vGgIAAFAEAAAOAAAAZHJzL2Uyb0RvYy54bWysVMuO0zAU3SPxD5b3NGkLA4qazmIG2CCo&#10;eHyAx7lpLfkl2zTtDlgjzSfwCywGaaQBviH5I66dNEUw0kiIzc21fc/xPcd2Fqc7JckWnBdGl3Q6&#10;ySkBzU0l9Lqk794+e/CEEh+Yrpg0Gkq6B09Pl/fvLRpbwMxsjKzAESTRvmhsSTch2CLLPN+AYn5i&#10;LGhcrI1TLODQrbPKsQbZlcxmeX6SNcZV1hkO3uPseb9Il4m/roGHV3XtIRBZUuwtpOhSvIgxWy5Y&#10;sXbMbgQf2mD/0IViQuOmI9U5C4y8d+IvKiW4M97UYcKNykxdCw5JA6qZ5n+oebNhFpIWNMfb0Sb/&#10;/2j5y+3KEVGV9OFjSjRTeEbtl+5Dd9l+b792l6T72P5sv7VX7XX7o73uPmF+033GPC62N8P0JUE4&#10;etlYXyDlmV65YeTtykVjdrVT8YuSyS75vx/9h10gHCdn8/xkPsNj4rg2nc/njyJndgRb58NzMIrE&#10;pKRS6GgPK9j2hQ996aEkTksd4wZY9VRXJOwtijNbJilpSqqgokQC3tqYIZgVgQl5rAxOML2WcHs1&#10;dhXps6i415iysJfQb/0aavQ1qkotphsNZ9IRbKCkjHPQYTrokxqrI6wWUo7A/G7gUB+hkG77CJ7e&#10;DR4RaWejwwhWQht3G0HYHVqu+/qDA73uaMGFqfbp9JM1eG3TCQ5PLL6L38cJfvwRLH8BAAD//wMA&#10;UEsDBBQABgAIAAAAIQDNJfNJ4gAAAAkBAAAPAAAAZHJzL2Rvd25yZXYueG1sTI/BTsMwDIbvSLxD&#10;ZCRuLG1hGytNJwSaEJoQY2ycsyZrKhKnNOlWeHrMiR1tf/r9/cV8cJYddBcajwLSUQJMY+VVg7WA&#10;zfvi6hZYiBKVtB61gG8dYF6enxUyV/6Ib/qwjjWjEAy5FGBibHPOQ2W0k2HkW4102/vOyUhjV3PV&#10;ySOFO8uzJJlwJxukD0a2+sHo6nPdOwHbH/Mye1o91x/11n49Lv3rpl/shbi8GO7vgEU9xH8Y/vRJ&#10;HUpy2vkeVWBWwPU4uyFUQDZNgREwTccTYDtazDLgZcFPG5S/AAAA//8DAFBLAQItABQABgAIAAAA&#10;IQC2gziS/gAAAOEBAAATAAAAAAAAAAAAAAAAAAAAAABbQ29udGVudF9UeXBlc10ueG1sUEsBAi0A&#10;FAAGAAgAAAAhADj9If/WAAAAlAEAAAsAAAAAAAAAAAAAAAAALwEAAF9yZWxzLy5yZWxzUEsBAi0A&#10;FAAGAAgAAAAhAFabza8aAgAAUAQAAA4AAAAAAAAAAAAAAAAALgIAAGRycy9lMm9Eb2MueG1sUEsB&#10;Ai0AFAAGAAgAAAAhAM0l80niAAAACQEAAA8AAAAAAAAAAAAAAAAAdAQAAGRycy9kb3ducmV2Lnht&#10;bFBLBQYAAAAABAAEAPMAAACDBQAAAAA=&#10;" strokecolor="#5b9bd5 [3204]" strokeweight="1pt">
                <v:stroke startarrow="oval" endarrow="block" joinstyle="miter"/>
              </v:line>
            </w:pict>
          </mc:Fallback>
        </mc:AlternateContent>
      </w:r>
      <w:r w:rsidR="00102E7A">
        <w:rPr>
          <w:rFonts w:ascii="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2BE2E896" wp14:editId="777CDBBB">
                <wp:simplePos x="0" y="0"/>
                <wp:positionH relativeFrom="column">
                  <wp:posOffset>2237105</wp:posOffset>
                </wp:positionH>
                <wp:positionV relativeFrom="paragraph">
                  <wp:posOffset>3582208</wp:posOffset>
                </wp:positionV>
                <wp:extent cx="2306781" cy="13854"/>
                <wp:effectExtent l="38100" t="57150" r="93980" b="100965"/>
                <wp:wrapNone/>
                <wp:docPr id="48" name="Прямая соединительная линия 48"/>
                <wp:cNvGraphicFramePr/>
                <a:graphic xmlns:a="http://schemas.openxmlformats.org/drawingml/2006/main">
                  <a:graphicData uri="http://schemas.microsoft.com/office/word/2010/wordprocessingShape">
                    <wps:wsp>
                      <wps:cNvCnPr/>
                      <wps:spPr>
                        <a:xfrm>
                          <a:off x="0" y="0"/>
                          <a:ext cx="2306781" cy="13854"/>
                        </a:xfrm>
                        <a:prstGeom prst="line">
                          <a:avLst/>
                        </a:prstGeom>
                        <a:ln>
                          <a:headEnd type="oval" w="med" len="med"/>
                          <a:tailEnd type="triangle" w="med" len="med"/>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0A625D5" id="Прямая соединительная линия 48"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76.15pt,282.05pt" to="357.8pt,2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J3xGwIAAFAEAAAOAAAAZHJzL2Uyb0RvYy54bWysVMuO0zAU3SPxD5b3NElnGKqo6SxmgA2C&#10;iscHeBy7seSXbNO0O2CN1E/gF1gM0kgDfEP6R1w7aYpgpJEQm5tr+57je47tzM83SqI1c14YXeFi&#10;kmPENDW10KsKv3v77NEMIx+Irok0mlV4yzw+Xzx8MG9tyaamMbJmDgGJ9mVrK9yEYMss87RhiviJ&#10;sUzDIjdOkQBDt8pqR1pgVzKb5vlZ1hpXW2co8x5mL/tFvEj8nDMaXnHuWUCywtBbSNGleBVjtpiT&#10;cuWIbQQd2iD/0IUiQsOmI9UlCQS9d+IvKiWoM97wMKFGZYZzQVnSAGqK/A81bxpiWdIC5ng72uT/&#10;Hy19uV46JOoKn8JJaaLgjLov+w/7Xfe9+7rfof3H7mf3rbvubrof3c3+E+S3+8+Qx8XudpjeIYCD&#10;l631JVBe6KUbRt4uXTRmw52KX5CMNsn/7eg/2wREYXJ6kp89mRUYUVgrTmaPTyNndgRb58NzZhSK&#10;SYWl0NEeUpL1Cx/60kNJnJY6xoaR+qmuUdhaEGfWRGLUVlixGiPJ4NbGDMCkDETIY2VwguiVZHdX&#10;Q1eRPouKe40pC1vJ+q1fMw6+RlWpxXSj2YV0CBqoMKGU6VAM+qSG6gjjQsoRmN8PHOojlKXbPoKL&#10;+8EjIu1sdBjBSmjj7iIIm0PLvK8/ONDrjhZcmXqbTj9ZA9c2neDwxOK7+H2c4McfweIXAAAA//8D&#10;AFBLAwQUAAYACAAAACEAdo/U3+MAAAALAQAADwAAAGRycy9kb3ducmV2LnhtbEyPQU7DMBBF90jc&#10;wRokdtRJQ1IIcSoEqhCqEKW0rN3YtSPscYidNnB63BUsZ+bpz/vVfLSGHGTvW4cM0kkCRGLjRIuK&#10;weZ9cXUDxAeOghuHksG39DCvz88qXgp3xDd5WAdFYgj6kjPQIXQlpb7R0nI/cZ3EeNu73vIQx15R&#10;0fNjDLeGTpOkoJa3GD9o3skHLZvP9WAZbH/0y+3T6ll9qK35ely6182w2DN2eTHe3wEJcgx/MJz0&#10;ozrU0WnnBhSeGAZZPs0iyiAvrlMgkZileQFkd9oUGdC6ov871L8AAAD//wMAUEsBAi0AFAAGAAgA&#10;AAAhALaDOJL+AAAA4QEAABMAAAAAAAAAAAAAAAAAAAAAAFtDb250ZW50X1R5cGVzXS54bWxQSwEC&#10;LQAUAAYACAAAACEAOP0h/9YAAACUAQAACwAAAAAAAAAAAAAAAAAvAQAAX3JlbHMvLnJlbHNQSwEC&#10;LQAUAAYACAAAACEAMSSd8RsCAABQBAAADgAAAAAAAAAAAAAAAAAuAgAAZHJzL2Uyb0RvYy54bWxQ&#10;SwECLQAUAAYACAAAACEAdo/U3+MAAAALAQAADwAAAAAAAAAAAAAAAAB1BAAAZHJzL2Rvd25yZXYu&#10;eG1sUEsFBgAAAAAEAAQA8wAAAIUFAAAAAA==&#10;" strokecolor="#5b9bd5 [3204]" strokeweight="1pt">
                <v:stroke startarrow="oval" endarrow="block" joinstyle="miter"/>
              </v:line>
            </w:pict>
          </mc:Fallback>
        </mc:AlternateContent>
      </w:r>
      <w:r w:rsidR="00102E7A" w:rsidRPr="00102E7A">
        <w:rPr>
          <w:rFonts w:ascii="Times New Roman" w:hAnsi="Times New Roman" w:cs="Times New Roman"/>
          <w:noProof/>
          <w:sz w:val="28"/>
          <w:szCs w:val="28"/>
          <w:lang w:eastAsia="ru-RU"/>
        </w:rPr>
        <w:drawing>
          <wp:inline distT="0" distB="0" distL="0" distR="0" wp14:anchorId="51C7BC4A" wp14:editId="2DA2BA7C">
            <wp:extent cx="4370822" cy="4128654"/>
            <wp:effectExtent l="0" t="0" r="0" b="571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77721" cy="4135171"/>
                    </a:xfrm>
                    <a:prstGeom prst="rect">
                      <a:avLst/>
                    </a:prstGeom>
                  </pic:spPr>
                </pic:pic>
              </a:graphicData>
            </a:graphic>
          </wp:inline>
        </w:drawing>
      </w:r>
    </w:p>
    <w:p w14:paraId="18591DE2" w14:textId="77777777" w:rsidR="00CF7FA9" w:rsidRDefault="00CF7FA9" w:rsidP="002F33D0">
      <w:pPr>
        <w:tabs>
          <w:tab w:val="left" w:pos="851"/>
        </w:tabs>
        <w:spacing w:after="0" w:line="240" w:lineRule="auto"/>
        <w:ind w:firstLine="567"/>
        <w:jc w:val="both"/>
        <w:rPr>
          <w:rFonts w:ascii="Times New Roman" w:hAnsi="Times New Roman" w:cs="Times New Roman"/>
          <w:sz w:val="28"/>
          <w:szCs w:val="28"/>
          <w:lang w:val="kk-KZ"/>
        </w:rPr>
      </w:pPr>
    </w:p>
    <w:p w14:paraId="66B1C762" w14:textId="74492A33" w:rsidR="00215243" w:rsidRDefault="00CF7FA9" w:rsidP="00CF7FA9">
      <w:pPr>
        <w:tabs>
          <w:tab w:val="left" w:pos="851"/>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Рисунок 1 – </w:t>
      </w:r>
      <w:r w:rsidRPr="00CF7FA9">
        <w:rPr>
          <w:rFonts w:ascii="Times New Roman" w:hAnsi="Times New Roman" w:cs="Times New Roman"/>
          <w:sz w:val="28"/>
          <w:szCs w:val="28"/>
          <w:lang w:val="kk-KZ"/>
        </w:rPr>
        <w:t>Структурно-компонентная модель инновационного потенциала предпринимательских структур в условиях цифровой адаптации</w:t>
      </w:r>
    </w:p>
    <w:p w14:paraId="52B86803" w14:textId="083FDC2E" w:rsidR="00215243" w:rsidRDefault="00215243" w:rsidP="002F33D0">
      <w:pPr>
        <w:tabs>
          <w:tab w:val="left" w:pos="851"/>
        </w:tabs>
        <w:spacing w:after="0" w:line="240" w:lineRule="auto"/>
        <w:ind w:firstLine="567"/>
        <w:jc w:val="both"/>
        <w:rPr>
          <w:rFonts w:ascii="Times New Roman" w:hAnsi="Times New Roman" w:cs="Times New Roman"/>
          <w:sz w:val="28"/>
          <w:szCs w:val="28"/>
          <w:lang w:val="kk-KZ"/>
        </w:rPr>
      </w:pPr>
    </w:p>
    <w:p w14:paraId="52BAF302" w14:textId="24C5B224" w:rsidR="000246A1" w:rsidRPr="00CE0BCE" w:rsidRDefault="000246A1"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 xml:space="preserve">В научных работах последних лет уделяется повышенное внимание методам оценки и </w:t>
      </w:r>
      <w:r w:rsidRPr="00774FC9">
        <w:rPr>
          <w:rFonts w:ascii="Times New Roman" w:hAnsi="Times New Roman" w:cs="Times New Roman"/>
          <w:sz w:val="28"/>
          <w:szCs w:val="28"/>
          <w:lang w:val="kk-KZ"/>
        </w:rPr>
        <w:t>проектирования</w:t>
      </w:r>
      <w:r w:rsidRPr="00CE0BCE">
        <w:rPr>
          <w:rFonts w:ascii="Times New Roman" w:hAnsi="Times New Roman" w:cs="Times New Roman"/>
          <w:sz w:val="28"/>
          <w:szCs w:val="28"/>
          <w:lang w:val="kk-KZ"/>
        </w:rPr>
        <w:t xml:space="preserve"> инновационного потенциала именно как инструментам управления развитием предприятий. Так, </w:t>
      </w:r>
      <w:r w:rsidR="002145C7" w:rsidRPr="00CE0BCE">
        <w:rPr>
          <w:rFonts w:ascii="Times New Roman" w:hAnsi="Times New Roman" w:cs="Times New Roman"/>
          <w:sz w:val="28"/>
          <w:szCs w:val="28"/>
          <w:lang w:val="kk-KZ"/>
        </w:rPr>
        <w:t>исследователи</w:t>
      </w:r>
      <w:r w:rsidRPr="00CE0BCE">
        <w:rPr>
          <w:rFonts w:ascii="Times New Roman" w:hAnsi="Times New Roman" w:cs="Times New Roman"/>
          <w:sz w:val="28"/>
          <w:szCs w:val="28"/>
          <w:lang w:val="kk-KZ"/>
        </w:rPr>
        <w:t xml:space="preserve"> отмечают, что сочетание ресурсного и процессного подходов создаёт основу для проектирования инновационного потенциала организации, позволяя оценить текущее состояние и сформировать целевое видение его развития</w:t>
      </w:r>
      <w:r w:rsidR="002145C7" w:rsidRPr="00CE0BCE">
        <w:rPr>
          <w:rFonts w:ascii="Times New Roman" w:hAnsi="Times New Roman" w:cs="Times New Roman"/>
          <w:sz w:val="28"/>
          <w:szCs w:val="28"/>
          <w:lang w:val="kk-KZ"/>
        </w:rPr>
        <w:t xml:space="preserve"> </w:t>
      </w:r>
      <w:r w:rsidR="002145C7"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{"citationID":"a1hc3mcmolu","properties":{"formattedCitation":"[69]","plainCitation":"[69]","noteIndex":0},"citationItems":[{"id":118,"uris":["http://zotero.org/users/16887523/items/3P6B8G6B"],"itemData":{"id":118,"type":"article-journal","abstract":"Introduction. The management and efficient use of water resources is a crucial and extremely acute problem. This study focuses on geographic information systems (GIS) as a tool for the resilient management and monitoring of water resources. The objective was to create and implement a GIS-based model for managing and monitoring water resources by developing a system of indicators. This model presents future scenarios for Bulgaria based on the assessment of indicators for resilient management and the efficient use of water resources. \nAim and tasks. This study aims to develop and implement a GIS-based model that integrates technical, economic, social, and environmental indicators for the resilient management and monitoring of water resources in Bulgaria. This study focuses on opportunities to improve the effective management and rational allocation of water resources in Bulgaria using geographic information systems. \nResults. A comprehensive system of indicators for assessing sustainable water management in Bulgaria was developed, considering economic, technical, social, and environmental criteria. The calculation of the composite index showed a low level of efficiency, and the main problems were water losses during transportation of up to 55-60%, a reduction in investments in wastewater disposal by 40% (2016-2023) and a low level of reuse of treated wastewater. The GIS-based model revealed significant territorial differences in the state of water resources and consumption in Bulgaria. Key problems include high losses in the water supply network, water use for hydropower, and poor water infrastructure, which affect the resilience of water management. Irrational consumption and storage may lead to serious water supply issues in key regions of the country. \nConclusions. Geographic information systems enable the improvement of water resource management by integrating and processing large amounts of data. In response to the identified research questions, the current state of Bulgaria’s water sector was analysed and assessed. The key factors affecting the sustainable management and use of water resources and territorial imbalances in rational water use were identified. Developing a comprehensive strategy that includes infrastructure modernisation, introducing water-saving technologies and improved management efficiency can overcome structural problems in the water sector and prevent water resource shortages.","container-title":"Economics Ecology Socium","DOI":"10.61954/2616-7107/2025.9.3-3","ISSN":"2616-7107, 2616-7107","issue":"3","journalAbbreviation":"ees","license":"https://creativecommons.org/licenses/by-nc/4.0/","page":"33-47","source":"DOI.org (Crossref)","title":"GIS-Based Assessment Model of Resilient Management and Monitoring of Water Resources","URL":"https://ees-journal.com/index.php/journal/article/view/301","volume":"9","author":[{"family":"Kostev","given":"Radoslav"}],"accessed":{"date-parts":[["2025",11,22]]},"issued":{"date-parts":[["2025",9,30]]}}}],"schema":"https://github.com/citation-style-language/schema/raw/master/csl-citation.json"} </w:instrText>
      </w:r>
      <w:r w:rsidR="002145C7"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[69]</w:t>
      </w:r>
      <w:r w:rsidR="002145C7"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 Авторы показывают, что оценка уровня инновационного потенциала (диагностика сильных и слабых сторон по каждому компоненту) и собственно проектирование (разработка мер по его усилению) должны рассматриваться как единый управленческий цикл</w:t>
      </w:r>
      <w:r w:rsidR="002145C7" w:rsidRPr="00CE0BCE">
        <w:rPr>
          <w:rFonts w:ascii="Times New Roman" w:hAnsi="Times New Roman" w:cs="Times New Roman"/>
          <w:sz w:val="28"/>
          <w:szCs w:val="28"/>
          <w:lang w:val="kk-KZ"/>
        </w:rPr>
        <w:t xml:space="preserve"> </w:t>
      </w:r>
      <w:r w:rsidR="002145C7"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{"citationID":"a4p86m7mcr","properties":{"formattedCitation":"[70\\uc0\\u8211{}72]","plainCitation":"[70–72]","noteIndex":0},"citationItems":[{"id":119,"uris":["http://zotero.org/users/16887523/items/4Z22QJ4B"],"itemData":{"id":119,"type":"article-journal","abstract":"We propose a novel, multi-faceted approach to organization theory building that is more likely to engender theories that are relevant to the work that managers and organizations do—one predicated on principles associated with design. Invoking and synthesizing a set of core design principles and applying them to the process of theory building generates an approach that not only provides organizational scholars a way of thinking differently about thinking theoretically, but also helps answer the call for increasing the relevance of our theories as a way of making contributions that are more practical, more prescient and greater in scope. The resulting model of “design theorizing” has several significant implications for addressing how organizational scholars approach current and future issues likely to affect the theory and practice of managing.","container-title":"Journal of Management Inquiry","DOI":"10.1177/10564926251377740","ISSN":"1056-4926, 1552-6542","journalAbbreviation":"Journal of Management Inquiry","language":"en","page":"10564926251377740","source":"DOI.org (Crossref)","title":"Thinking Differently About Thinking Theoretically: Developing a Design-Centered Approach to Organizational Theorizing","title-short":"Thinking Differently About Thinking Theoretically","URL":"https://journals.sagepub.com/doi/10.1177/10564926251377740","author":[{"family":"Stigliani","given":"Ileana"},{"family":"Corley","given":"Kevin G"},{"family":"Gioia","given":"Dennis"}],"accessed":{"date-parts":[["2025",11,22]]},"issued":{"date-parts":[["2025",9,29]]}}},{"id":120,"uris":["http://zotero.org/users/16887523/items/M4G78N7A"],"itemData":{"id":120,"type":"article-journal","abstract":"Healthcare organizations are under growing pressure to optimize resources, extend the useful life of critical medical\nassets, and maintain uncompromised levels of patient safety. Biomedical assets such as CT scanners are central to diagnosis and\ntreatment, yet their management often lacks strategic alignment with organizational objectives. This study explores the\ncontextual application of ISO 55000 asset management principles in hospital settings. An intrinsic case study was conducted in\na Quebec public hospital, focusing on the life cycle of a 128-slice CT scanner. Using qualitative content analysis of procurement,\nservice, and quality documentation, the study identified three paradigmatic modulators—organizational, clinical, and\nfinancial—that mediate the translation of ISO 55000 principles into healthcare contexts. Results indicate that while ISO 55000\nis highly relevant, its concepts must be adapted to account for collaborative governance structures, the primacy of patient safety,\nand mission-driven financing. The findings contribute to bridging the gap between industrial asset management theory and\nhealthcare practice, offering a hybrid framework for hospitals seeking sustainable biomedical equipment management.","container-title":"International Journal of Innovative Science and Research Technology","DOI":"10.38124/ijisrt/25sep1147","journalAbbreviation":"International Journal of Innovative Science and Research Technology (IJISRT)","language":"en","page":"1894-1897","source":"DOI.org (Crossref)","title":"Adapting ISO 55000 Principles for Healthcare: A Case Study on CT Scanner Life Cycle Management in a Quebec Public Hospital","title-short":"Adapting ISO 55000 Principles for Healthcare","URL":"https://www.ijisrt.com/adapting-iso-55000-principles-for-healthcare-a-case-study-on-ct-scanner-life-cycle-management-in-a-quebec-public-hospital","author":[{"family":"Houessou","given":"Bruno"},{"family":"Gardoni","given":"Mickael"},{"family":"Rioux","given":"Michel"}],"accessed":{"date-parts":[["2025",11,22]]},"issued":{"date-parts":[["2025",9,29]]}}},{"id":121,"uris":["http://zotero.org/users/16887523/items/TZEB9ALF"],"itemData":{"id":121,"type":"article-journal","abstract":"Amaç –Bu araştırmanın amacı Karadeniz ve Marmara Denizini birbirine bağlayacak yapay su yolunun ekonomik etkilerini analiz etmektir. Yöntem –Kanal  İstanbul’un  talep  tahminini  ve  ekonomik  etkilerini  incelemek  için  açık kaynaklardan paylaşılan veriler kullanılmıştır. İstanbul Boğazının geçmişe yönelik gemi trafik bilgileri, uluslararası deniz taşımacılığındaki gelişmeler ve uluslararası karşılaştırmalarla Kanalın potansiyel  maliyeti  hesaplanmıştır.  Ayrıca  Montrö  Sözleşmesinin  vermiş  olduğu  haklar çerçevesinde  Türkiye’nin  fener,  tahlisiye  ve  kılavuzluk  hizmeti  ücreti  tahsil  etme  hakkı bulunmaktadır.  Uygulamada  hatalı  olarak  hesaplanan  bu  ücretlerin  gerçek  değeri  Montrö Antlaşmasındaki kurallar çerçevesinde yeniden hesaplanmıştır.Bulgular –Kanal İstanbul’un Çevresel Etki Değerlendirme Raporunda İstanbul Boğazından gemi geçiş  sayılarının  artacağı  önerilmektedir.  Tarihi  veriler  gemi  geçiş  sayılarının  düştüğünü göstermektedir. Uluslararası gemi taşımacılığını yansıtan göstergeler, deniz taşımacılığında bir artış eğilimi olmadığını göstermektedir. Ayrıca Kanal İstanbul Dünya’daki yapay su yollarının aksine mesafeleri kısaltmamaktadır. Ayrıca Kanal İstanbul’un bu araştırmada hesaplanan maliyeti resmi metinlerde açıklanan maliyet değerlerinin çok üzerindedir. Tartışma –Proje  döngü  yönetiminin  başlıca  kuralı  iyi  bir  ihtiyaç  analizi  yapılmasını gerektirmektedir. İhtiyaç analizi yaparken projenin amacı ve kapsamı net biçimde belirlenmelidir. Yetkililerin yaptıkları açıklamalardan ve resmi metinlerden Kanal İstanbul projesinin amacı net bir biçimde anlaşılamamaktadır. Yetkililer ilk açıklamalarında İstanbul Boğazındaki gemi trafiğinin arttığını ve bunun da tehlikeli kaza riskine neden olacağı belirttiler. Kanal İstanbul’un Boğazın trafik yükünü azaltacağını iddia ettiler. Yetkililerin açıklamalarının aksine, resmi veriler İstanbul Boğazından geçen gemi sayısının istikrarlı bir biçimde düştüğünü göstermektedir. Kanal İstanbul birden fazla hedefe aynı anda ulaşmayı hedeflemektedir. Bu nedenle de gerçekçi bir maliyet hesabı yapılaması kolay değildir. Sonuç olarak proje maliyet etkinsizdir.\n          , \n            Purpose –The purpose of this research is to analyse the economic impacts of the artificial waterway that will connect the Black Sea and the Marmara Sea.Design/methodology/approach –Open-source data was used to examine the demand forecast and economic impacts of Canal Istanbul. The potential cost of the Canal was calculated using historical vessel traffic information on the Bosphorus, developments in international maritime transportation, and  international  comparisons.  In  addition,  within  the  framework  of  the  rights  granted  by  the Montreux  Convention,  Turkey  has  the  right  to  collect  fees  for  lighthouses,  rescue  services,  and pilotage  services.  The  real  value  of  these  fees,  which  were  calculated  incorrectly  in  practice,  was recalculated within the framework of the rules in the Montreux Convention.Findings –In  the Environmental  Impact  Assessment  Report  of  Canal Istanbul,  it  is  suggested  that the  number  of  vessels  passing  through  the  Bosphorus  will  increase. Historical  data shows  that  the number  of  vessels  passing  has  decreased.  Indicators  reflecting  international  vessel  transportation show that there is no upward trend in maritime transportation. In addition, Canal Istanbul does not shorten  distances,  unlike  artificial  waterways  around  the  world.  In  addition,  the  cost  of  Canal Istanbul calculated inthis research is much higher than the cost values announced in official texts.Discussion –The  main  rule  of  project  cycle  management  requires  a  good  needs  analysis.  The purpose and scope of the project should be clearly defined when performing a needs analysis. The purpose  of  the  Canal  Istanbul  project  is  hardly  understood  from  the  statements  made  by  the authorities  and  official  texts.  In  the  beginning,  the  authorities  stated  that  the  vessel  traffic  in  the Bosphorus Strait has increased and that this will cause dangerous accident risks. They claimed that Canal Istanbul will reduce the traffic load on the Bosphorus. Contrary to the authorities' statements, official data show that the number of vessels passing through the Bosphorus Strait has been steadily decreasing.  Canal  Istanbul  aims  to  achieve  more  than  one  goal  at  the  same  time.  Therefore,  a realistic  cost  calculation  is  not  easy  to  be  made.  Consequently,  the  project  is  not  economically efficient.","container-title":"Journal of Business Research - Turk","DOI":"10.20491/isarder.2025.2116","ISSN":"1309-0712","journalAbbreviation":"isarder","language":"en","page":"3","source":"DOI.org (Crossref)","title":"Kanal İstanbul Projesinin Proje Döngü Yönetimi - Project Cycle Management of Canal İstanbul Project","URL":"https://www.isarder.org/index.php/isarder/article/view/2441/2418","author":[{"family":"Emek","given":"Uğur"},{"family":"Yardimci Bozdoğan","given":"Ebru Burcu"}],"accessed":{"date-parts":[["2025",11,22]]},"issued":{"date-parts":[["2025",9,30]]}}}],"schema":"https://github.com/citation-style-language/schema/raw/master/csl-citation.json"} </w:instrText>
      </w:r>
      <w:r w:rsidR="002145C7"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szCs w:val="24"/>
        </w:rPr>
        <w:t>[70–72]</w:t>
      </w:r>
      <w:r w:rsidR="002145C7"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w:t>
      </w:r>
    </w:p>
    <w:p w14:paraId="284A5608" w14:textId="715543E1" w:rsidR="000246A1" w:rsidRPr="00CE0BCE" w:rsidRDefault="000246A1"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 xml:space="preserve">Проектирование инновационного потенциала выполняет двойную функцию. С одной стороны, это моделирование – построение моделей и сценариев, позволяющих оценить текущий потенциал и спрогнозировать его изменение при разных стратегиях </w:t>
      </w:r>
      <w:r w:rsidR="002145C7"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{"citationID":"a1makebofec","properties":{"formattedCitation":"[73,74]","plainCitation":"[73,74]","noteIndex":0},"citationItems":[{"id":122,"uris":["http://zotero.org/users/16887523/items/8H3Y8XEQ"],"itemData":{"id":122,"type":"article-journal","abstract":"Cardiovascular and cerebrovascular diseases (CCVDs) have become a major global public health challenge. The research and development (R&amp;D) of innovative drugs for CCVDs faces dilemmas including long R&amp;D cycles (12-15 years on average), high costs (USD 2.5 billion per drug on average), and high clinical failure rates (over 40% for Phase III clinical trials) due to characteristics such as target complexity, strict requirements for hard clinical endpoints, and strong demand for multidisciplinary collaboration. Traditional project management models, which focus on \"schedule-cost\" dual control, are insufficient to adapt to the scientific uncertainties and cross-domain collaboration needs in CCVD innovative drug R&amp;D. Based on the full R&amp;D process of CCVD innovative drugs (drug discovery → preclinical research → Phase I/II/III clinical trials → New Drug Application, NDA), this study proposes a \"Risk-Collaboration-Digitalization\" trinity project management model through literature analysis, risk map construction, cross-functional team (CFT) mechanism design, and digital tool integration. Taking a new PCSK9 inhibitor (a lipid-lowering innovative drug for CCVDs) R&amp;D project of a pharmaceutical enterprise as a verification case, key indicators before and after the model application were compared: the R&amp;D cycle was shortened by 15.2%, the success rate of Phase III clinical trials increased by 21.3%, the one-time approval rate of NDA rose from 72% to 89%, and R&amp;D costs decreased by 12.5%. This study fills the theoretical gap in specialized project management for CCVD innovative drugs and provides an operable practical framework for pharmaceutical enterprises to improve the efficiency and success rate of innovative drug R&amp;D.","container-title":"Modern Health Science","DOI":"10.30560/mhs.v8n3p56","ISSN":"2576-7305, 2576-7291","issue":"3","journalAbbreviation":"MHS","license":"http://creativecommons.org/licenses/by/4.0","page":"p56","source":"DOI.org (Crossref)","title":"Construction and Practical Verification of a \"Risk-Collaboration-Digitalization\" Trinity Project Management Model for Cardiovascular and Cerebrovascular Innovative Drug R&amp;D","URL":"https://j.ideasspread.org/index.php/mhs/article/view/1710","volume":"8","author":[{"family":"Chen","given":"Yangchu"}],"accessed":{"date-parts":[["2025",11,22]]},"issued":{"date-parts":[["2025",8,27]]}}},{"id":123,"uris":["http://zotero.org/users/16887523/items/GPUAKTRV"],"itemData":{"id":123,"type":"article-journal","abstract":"In today's globalized world, where technological progress does not stand still, and consumer\nexpectations are constantly growing, innovations are not just desirable, but critically important for\nthe survival and success of manufacturing and trading enterprises. The ability to quickly and efficiently bring new products and services to the market is a decisive advantage in the face of increasing competition. Effective implementation of innovations requires a systematic and structured\napproach, which is provided by project management. It allows you to optimize the use of limited\nresources, control deadlines and budgets, and minimize potential risks, which is especially important in the manufacturing and trading sector. Financial management plays a crucial role in ensuring the effectiveness of investments in IT innovations, allowing you to optimize costs for research,\ndevelopment and implementation of new technologies, as well as minimize risks associated with\nuncertainty of results. This is especially relevant, since enterprises face high development costs and\nuncertainty about the commercial success of innovations. The analysis of publications shows that the\neffective implementation of innovations requires a systematic and structured approach, which is\nprovided by project management. Traditional approaches adapt to the unique nature of innovation\nprocesses, which are characterized by a high level of uncertainty and risk. The literature emphasizes the importance of identifying, assessing and mitigating risks at all stages of the innovation\ncycle, as well as the role of innovation culture, organizational structure, leadership, communication and the formation of cross-functional teams for the successful implementation of innovation\nprojects. The purpose of this article is to analyze business management strategies and innovation\nmanagement of enterprises in the investment market, especially in the context of IT innovations.\nConducting an analysis of the financial management of IT innovations faced a number of problems\nand limitations, in particular, incompleteness and anomalies in open data, the complexity of allocating costs specifically for IT innovations in marketing projects, as well as the significant impact\nof external factors, such as economic instability and the war in Ukraine.","collection-title":"МЕНЕДЖМЕНТ","container-title":"АКТУАЛЬНІ ПРОБЛЕМИ ЕКОНОМІКИ","DOI":"10.32752/1993-6788-2025-1-288-203-217","issue":"288","journalAbbreviation":"APE","page":"203-217","source":"DOI.org (Crossref)","title":"СТРАТЕГІЇ УПРАВЛІННЯ БІЗНЕСОМ ТА ІННОВАЦІЙНИЙ МЕНЕДЖМЕНТ ПІДПРИЄМСТВ НА РИНКУ ІНВЕСТИЦІЙ","URL":"https://eco-science.net/wp-content/uploads/2025/06/6.25._topic_Tetiana-Kharchuk-Olga-Zaiats-Oleksandr-Bilyk-Ivan-Androsovych-203-217.pdf","volume":"6","author":[{"family":"Харчук","given":"Т.В."},{"family":"Заяц","given":"O.В."},{"family":"Білик","given":"О.А."},{"family":"Андросович","given":"І.І."}],"accessed":{"date-parts":[["2025",11,22]]},"issued":{"date-parts":[["2025"]]}}}],"schema":"https://github.com/citation-style-language/schema/raw/master/csl-citation.json"} </w:instrText>
      </w:r>
      <w:r w:rsidR="002145C7"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[73,74]</w:t>
      </w:r>
      <w:r w:rsidR="002145C7" w:rsidRPr="00CE0BCE">
        <w:rPr>
          <w:rFonts w:ascii="Times New Roman" w:hAnsi="Times New Roman" w:cs="Times New Roman"/>
          <w:sz w:val="28"/>
          <w:szCs w:val="28"/>
          <w:lang w:val="kk-KZ"/>
        </w:rPr>
        <w:fldChar w:fldCharType="end"/>
      </w:r>
      <w:r w:rsidR="002145C7" w:rsidRPr="00CE0BCE">
        <w:rPr>
          <w:rFonts w:ascii="Times New Roman" w:hAnsi="Times New Roman" w:cs="Times New Roman"/>
          <w:sz w:val="28"/>
          <w:szCs w:val="28"/>
          <w:lang w:val="kk-KZ"/>
        </w:rPr>
        <w:t xml:space="preserve"> </w:t>
      </w:r>
      <w:r w:rsidRPr="00CE0BCE">
        <w:rPr>
          <w:rFonts w:ascii="Times New Roman" w:hAnsi="Times New Roman" w:cs="Times New Roman"/>
          <w:sz w:val="28"/>
          <w:szCs w:val="28"/>
          <w:lang w:val="kk-KZ"/>
        </w:rPr>
        <w:t xml:space="preserve">(например, моделирование эффекта инвестиций в </w:t>
      </w:r>
      <w:r w:rsidR="002145C7" w:rsidRPr="00CE0BCE">
        <w:rPr>
          <w:rFonts w:ascii="Times New Roman" w:hAnsi="Times New Roman" w:cs="Times New Roman"/>
          <w:sz w:val="28"/>
          <w:szCs w:val="28"/>
          <w:lang w:val="kk-KZ"/>
        </w:rPr>
        <w:t>НИОКР</w:t>
      </w:r>
      <w:r w:rsidRPr="00CE0BCE">
        <w:rPr>
          <w:rFonts w:ascii="Times New Roman" w:hAnsi="Times New Roman" w:cs="Times New Roman"/>
          <w:sz w:val="28"/>
          <w:szCs w:val="28"/>
          <w:lang w:val="kk-KZ"/>
        </w:rPr>
        <w:t xml:space="preserve"> на будущую инновационную активность). С другой – управленческий инструмент: результаты проектирования используются для разработки конкретных механизмов стимулирования инноваций и принятия </w:t>
      </w:r>
      <w:r w:rsidRPr="00CE0BCE">
        <w:rPr>
          <w:rFonts w:ascii="Times New Roman" w:hAnsi="Times New Roman" w:cs="Times New Roman"/>
          <w:sz w:val="28"/>
          <w:szCs w:val="28"/>
          <w:lang w:val="kk-KZ"/>
        </w:rPr>
        <w:lastRenderedPageBreak/>
        <w:t>управленческих решений</w:t>
      </w:r>
      <w:r w:rsidR="0056009C" w:rsidRPr="00CE0BCE">
        <w:rPr>
          <w:rFonts w:ascii="Times New Roman" w:hAnsi="Times New Roman" w:cs="Times New Roman"/>
          <w:sz w:val="28"/>
          <w:szCs w:val="28"/>
          <w:lang w:val="kk-KZ"/>
        </w:rPr>
        <w:t xml:space="preserve"> </w:t>
      </w:r>
      <w:r w:rsidR="0056009C"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{"citationID":"a1pbj7k8ohh","properties":{"formattedCitation":"[75,76]","plainCitation":"[75,76]","noteIndex":0},"citationItems":[{"id":124,"uris":["http://zotero.org/users/16887523/items/X9Z77G8J"],"itemData":{"id":124,"type":"article-journal","abstract":"The article reveals current aspects of managing the innovative development of pharmaceutical enterprises in the context of dynamic scientific and technological progress, intensifying competition, and growing demands for the efficiency, quality, and safety of medicinal products. The focus is on analyzing the specific characteristics of the pharmaceutical industry, which is distinguished by a high degree of knowledge intensity, lengthy research and development cycles, strict regulatory requirements, significant investment expenditures, and an elevated level of risk. The study substantiates the need to transform traditional innovation management models toward modern concepts based on the principles of open innovation, networked interactions, cross-sector cooperation, and an ecosystem approach. The evolution of managerial paradigms in the innovation sphere is analyzed, and key instruments for implementing innovation strategies are highlighted, including in-house research and development (R&amp;D), strategic partnerships, mergers and acquisitions, technology licensing, collaboration with academic and research institutions, as well as the use of venture capital. Particular attention is given to digital transformations, including the implementation of artificial intelligence, big data analytics, cloud computing, blockchain technologies, and the Internet of Things in the processes of drug development, production, testing, and distribution. It is noted that these tools significantly accelerate development cycles, enhance the accuracy of efficacy forecasting, and optimize costs. The article identifies critical success factors for innovation management, such as an adaptive organizational structure, the presence of highly qualified personnel, effective strategic planning, sufficient resource support, institutional flexibility, and the ability to respond quickly to changes in the market environment. An original integrated model for managing the innovative development of pharmaceutical enterprises is proposed, combining tools of strategic management, risk management, and innovation project management.","container-title":"Бізнес-навігатор","DOI":"10.32782/business-navigator.80-99","ISSN":"25224751, 27076172","issue":"80","journalAbbreviation":"Business Navigator","page":"587-593","source":"DOI.org (Crossref)","title":"ІННОВАЦІЙНИЙ РОЗВИТОК ПІДПРИЄМСТВ ФАРМАЦЕВТИЧНОЇ СФЕРИ: ПІДХОДИ ДО УПРАВЛІННЯ ТА МЕХАНІЗМИ РЕАЛІЗАЦІЇ","title-short":"INNOVATIVE DEVELOPMENT OF PHARMACEUTICAL ENTERPRISES","URL":"http://business-navigator.ks.ua/journals/2025/80_2025/100.pdf","volume":"3","author":[{"family":"Котвицька","given":"Н.М."},{"family":"Овсієнко","given":"Н.В."},{"family":"Шарова","given":"С.В."}],"accessed":{"date-parts":[["2025",11,22]]},"issued":{"date-parts":[["2025"]]}}},{"id":125,"uris":["http://zotero.org/users/16887523/items/GKFZ8NGI"],"itemData":{"id":125,"type":"article-journal","container-title":"Applied Health Economics and Health Policy","DOI":"10.1007/s40258-025-00994-5","ISSN":"1175-5652, 1179-1896","journalAbbreviation":"Appl Health Econ Health Policy","language":"en","source":"DOI.org (Crossref)","title":"Mechanisms Considering Public Investment in Pricing and Reimbursement Decisions of Medicines and Other Health Technologies: A Scoping Review","title-short":"Mechanisms Considering Public Investment in Pricing and Reimbursement Decisions of Medicines and Other Health Technologies","URL":"https://link.springer.com/10.1007/s40258-025-00994-5","author":[{"family":"García-Díaz","given":"Mario"},{"family":"Špacírová","given":"Zuzana"},{"family":"García-Mochón","given":"Leticia"},{"family":"Espín","given":"Jaime"}],"accessed":{"date-parts":[["2025",11,22]]},"issued":{"date-parts":[["2025",8,27]]}}}],"schema":"https://github.com/citation-style-language/schema/raw/master/csl-citation.json"} </w:instrText>
      </w:r>
      <w:r w:rsidR="0056009C"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[75,76]</w:t>
      </w:r>
      <w:r w:rsidR="0056009C"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 Например, выявив отставание по кадровому потенциалу, руководство может запланировать программу обучения или найма специалистов</w:t>
      </w:r>
      <w:r w:rsidR="0056009C" w:rsidRPr="00CE0BCE">
        <w:rPr>
          <w:rFonts w:ascii="Times New Roman" w:hAnsi="Times New Roman" w:cs="Times New Roman"/>
          <w:sz w:val="28"/>
          <w:szCs w:val="28"/>
          <w:lang w:val="kk-KZ"/>
        </w:rPr>
        <w:t xml:space="preserve"> </w:t>
      </w:r>
      <w:r w:rsidR="0056009C"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{"citationID":"a1acebfb0kk","properties":{"formattedCitation":"[77]","plainCitation":"[77]","noteIndex":0},"citationItems":[{"id":126,"uris":["http://zotero.org/users/16887523/items/LQBMX3Y3"],"itemData":{"id":126,"type":"article-journal","abstract":"The article discusses the main aspects related to the use of virtual (digital) technologies in modern society, business environment, the author's attention is focused on the legal features of the problem. An analysis of the advantages and disadvantages of using virtual (electronic) technologies was carried out. In the context of global digitalization of the economy, organizations are faced with the need to revise traditional approaches to management. Digital transformation has ceased to be an option – it has become a critical factor in survival and growth. However, its role is not limited to the introduction of technology: it is a strategic process that overhauls management mechanisms, forming the basis for innovation and sustainable development.","container-title":"Экономика и управление: проблемы, решения","DOI":"10.36871/ek.up.p.r.2025.03.11.027","ISSN":"22273891, 2308927X","issue":"11","journalAbbreviation":"EUPR","page":"263-271","source":"DOI.org (Crossref)","title":"ЦИФРОВАЯ ТРАНСФОРМАЦИЯ КАК ИНСТРУМЕНТ РАЗВИТИЯ ИННОВАЦИОННЫХ МЕХАНИЗМОВ УПРАВЛЕНИЯ В ОРГАНИЗАЦИЯХ","URL":"https://s-lib.com/en/issues/eiu_2025_03_v11_a27/","volume":"3","author":[{"family":"Аскеров","given":"Э. М"},{"family":"Тагиров","given":"М. Р"},{"family":"Полюдова","given":"Д. А."}],"accessed":{"date-parts":[["2025",11,22]]},"issued":{"date-parts":[["2025"]]}}}],"schema":"https://github.com/citation-style-language/schema/raw/master/csl-citation.json"} </w:instrText>
      </w:r>
      <w:r w:rsidR="0056009C"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[77]</w:t>
      </w:r>
      <w:r w:rsidR="0056009C"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 xml:space="preserve"> (механизм наращивания компетенций); оценив недостаточность финансового потенциала – инициировать создание венчурного фонда или поиск инвесторов для инновационных проектов.</w:t>
      </w:r>
    </w:p>
    <w:p w14:paraId="32043D47" w14:textId="4E3A839F" w:rsidR="000246A1" w:rsidRPr="00CE0BCE" w:rsidRDefault="000246A1"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В случае малых предприятий проектирование инновационного потенциала невозможно без учёта уровня их цифровой адаптации. Она становится связующим звеном между внутренними ресурсами (технологическими, кадровыми, финансовыми) и внешней институциональной средой. Цифровая адаптация обеспечивает переход от фрагментарного использования цифровых инструментов к целостному управлению данными, взаимодействию с клиентами через платформы</w:t>
      </w:r>
      <w:r w:rsidR="009E271E" w:rsidRPr="00CE0BCE">
        <w:rPr>
          <w:rFonts w:ascii="Times New Roman" w:hAnsi="Times New Roman" w:cs="Times New Roman"/>
          <w:sz w:val="28"/>
          <w:szCs w:val="28"/>
          <w:lang w:val="kk-KZ"/>
        </w:rPr>
        <w:t xml:space="preserve"> </w:t>
      </w:r>
      <w:r w:rsidR="009E271E"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{"citationID":"a27mg3e1qkd","properties":{"formattedCitation":"[78,79]","plainCitation":"[78,79]","noteIndex":0},"citationItems":[{"id":129,"uris":["http://zotero.org/users/16887523/items/L7K3IFV6"],"itemData":{"id":129,"type":"article-journal","abstract":"This study investigates the impact of digital technology adoption on the performance of Micro, Small, and Medium Enterprises (MSMEs) in Champasack Province, Lao PDR. Using survey data from 397 enterprises and applying an Ordinary Least Squares (OLS) regression model, the analysis examines how digital practices, firm characteristics, and institutional factors influence revenue performance.\n\tThe results demonstrate that digital technology adoption, including the use of electronic banking applications, online sales combined with wholesale operations, direct delivery services, and payment card readers, has a positive and statistically significant effect on MSME revenues. Among these, electronic banking showed the strongest association, contributing to substantial revenue increases by improving financial efficiency, customer trust, and market accessibility. Additionally, firms with larger asset bases, more employees, formal registration, and better access to finance consistently reported higher revenues. Entrepreneurial factors, such as prior training and exposure to advice on productivity and innovation, were also found to strengthen firm performance. Conversely, enterprises operating solely as individual firms without formal registration were at a revenue disadvantage compared to those structured as single-member limited companies or partnerships.\n\tThese findings highlight that digital adoption is not an isolated determinant of performance but interacts closely with firm resources, entrepreneurial capacity, and institutional support. For MSMEs in Champasack Province, digitalization provides a pathway to overcome traditional barriers of financing, market reach, and operational inefficiency. The study contributes to the growing body of literature on digital transformation in emerging economies and offers practical insights for policymakers to promote digital finance, business formalization, and capacity building in order to strengthen MSME competitiveness and sustainability in Laos.","container-title":"International Journal For Multidisciplinary Research","DOI":"10.36948/ijfmr.2025.v07i05.56600","ISSN":"2582-2160","issue":"5","journalAbbreviation":"IJFMR","page":"56600","source":"DOI.org (Crossref)","title":"The Impact of Digital Technology on the Performance of Micro, Small, and Medium Enterprises in Champasack Province","URL":"https://www.ijfmr.com/research-paper.php?id=56600","volume":"7","author":[{"family":"Khamphouvan","given":"Sovat"},{"family":"Dalasy","given":"Chansouk"},{"family":"Phengphachanh","given":"Vatsana"},{"family":"Sengsuly","given":"Xaiyasith"},{"family":"Phonesavanh","given":"Thipphaphone"}],"accessed":{"date-parts":[["2025",11,22]]},"issued":{"date-parts":[["2025",9,26]]}}},{"id":130,"uris":["http://zotero.org/users/16887523/items/YRNDNU7K"],"itemData":{"id":130,"type":"article-journal","abstract":"ABSTRACT\n            The Kingdom of Saudi Arabia seeks to achieve Vision 2030, which aims to transform the country's economy through fostering a vibrant business environment and reducing the dependency on oil exports. In this context, small and medium enterprises (SMEs) are at the forefront of this transition. Vision 2030, in particular with SMEs, aims to increase SMEs' contribution to the GDP to 35%. However, it is not possible without equipping SMEs with innovation, strategic thinking, and sustainability. To address these concerns, the objective of this study is to investigate the influence of innovation capability (IC), strategic orientation (SO) mediated by strategic renewal (SR). Driven by dynamic capability theory (DCT), the study also examined how internal resources (IC, SO) enable small firms to renew their strategies to achieve sustainable business performance (SP). To achieve the objective, a quantitative, three‐wave time‐lagged research strategy was deemed appropriate. The study employed purposive sampling, and data were collected from 211 SMEs located in Riyadh, Makkah, and Eastern Province of KSA through structured questionnaires in three intervals. The data was analyzed through structured equation modeling (SEM) through Smart PLS 4. The findings show that antecedents SO and IC significantly influence SR within SMEs, which in turn positively influence SP. In addition, it was found that SR mediates the relationship between IC and SO and SB. The study offers novel insights to theory through the extension of DCT to KSA‐based SMEs and outlines practical steps that SMEs and authorities need to integrate to achieve within SMEs to achieve Saudi Vision 2030.","container-title":"Business Strategy and the Environment","DOI":"10.1002/bse.70229","ISSN":"0964-4733, 1099-0836","journalAbbreviation":"Bus Strat Env","language":"en","page":"bse.70229","source":"DOI.org (Crossref)","title":"Linking Innovation Capability, Strategic Orientation, and Strategic Renewal to Sustainable Performance: A Dynamic Capabilities Perspective in Saudi Small and Medium Enterprises","title-short":"Linking Innovation Capability, Strategic Orientation, and Strategic Renewal to Sustainable Performance","URL":"https://onlinelibrary.wiley.com/doi/10.1002/bse.70229","author":[{"family":"Larabi","given":"Chouayb"}],"accessed":{"date-parts":[["2025",11,22]]},"issued":{"date-parts":[["2025",9,27]]}}}],"schema":"https://github.com/citation-style-language/schema/raw/master/csl-citation.json"} </w:instrText>
      </w:r>
      <w:r w:rsidR="009E271E"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[78,79]</w:t>
      </w:r>
      <w:r w:rsidR="009E271E"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 xml:space="preserve"> и участию в цифровых экосистемах</w:t>
      </w:r>
      <w:r w:rsidR="009E271E" w:rsidRPr="00CE0BCE">
        <w:rPr>
          <w:rFonts w:ascii="Times New Roman" w:hAnsi="Times New Roman" w:cs="Times New Roman"/>
          <w:sz w:val="28"/>
          <w:szCs w:val="28"/>
          <w:lang w:val="kk-KZ"/>
        </w:rPr>
        <w:t xml:space="preserve"> </w:t>
      </w:r>
      <w:r w:rsidR="009E271E"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{"citationID":"a1k1aumfv3n","properties":{"formattedCitation":"[80,81]","plainCitation":"[80,81]","noteIndex":0},"citationItems":[{"id":127,"uris":["http://zotero.org/users/16887523/items/4JPJS382"],"itemData":{"id":127,"type":"article-journal","abstract":"This research examines the uptake and the role of digital payment systems in rural small and medium enterprises (SME) in Pakistan, an area that has been largely ignored in the literature on the subject due to its urban and developed economy focus. The study explored the drivers, perceived benefits, and barriers to adoption using a qualitative approach stemming out of a comprehensive review of scholarly and policy research and industry insights. Results indicate that when introduced well, mobile wallets, QR payments, and banking apps have the potential to increase the efficiency of operations, lower transaction costs, and increase the number of people who have access to formal finance. The adoption is, however, at a low rate because of poor infrastructure, low digital and financial literacy, tax issues, and security-related fears. The work adds new knowledge by concentrating on rural SMEs and offering context-specific solutions, such as the targeted fintech solutions, infrastructure development, and the campaigns to raise literacy rates, as a way to close the digital divide. These results are practical recommendations to policymakers, financial service providers, and rural businesses to build inclusive digital financial ecosystems.\n          , \n            Penelitian ini mengkaji adopsi dan peran sistem pembayaran digital dalam usaha kecil dan menengah (UKM) pedesaan di Pakistan, sebuah area yang sebagian besar diabaikan dalam literatur mengenai subjek ini karena fokusnya pada ekonomi perkotaan dan maju. Studi ini mengeksplorasi faktor pendorong, manfaat yang dirasakan, dan hambatan adopsi menggunakan pendekatan kualitatif yang berasal dari tinjauan komprehensif terhadap penelitian ilmiah dan kebijakan serta wawasan industri. Hasil penelitian menunjukkan bahwa ketika diperkenalkan dengan baik, dompet seluler, pembayaran QR, dan aplikasi perbankan berpotensi meningkatkan efisiensi operasional, menurunkan biaya transaksi, dan meningkatkan jumlah orang yang memiliki akses ke keuangan formal. Namun, adopsi tersebut masih rendah karena infrastruktur yang buruk, literasi digital dan keuangan yang rendah, masalah perpajakan, dan kekhawatiran terkait keamanan. Penelitian ini menambah pengetahuan baru dengan berfokus pada UKM pedesaan dan menawarkan solusi spesifik konteks, seperti solusi fintech yang tepat sasaran, pembangunan infrastruktur, dan kampanye untuk meningkatkan tingkat literasi, sebagai cara untuk menutup kesenjangan digital. Hasil penelitian ini merupakan rekomendasi praktis bagi para pembuat kebijakan, penyedia layanan keuangan, dan bisnis pedesaan untuk membangun ekosistem keuangan digital yang inklusif.","container-title":"International Journal of Economics, Business and Accounting Research (IJEBAR)","DOI":"10.29040/ijebar.v9i3.18115","ISSN":"2614-1280, 2622-4771","issue":"3","journalAbbreviation":"IJEBAR","source":"DOI.org (Crossref)","title":"EXPLORING THE ADOPTION AND IMPACT OF DIGITAL PAYMENT SYSTEM ON SMALL MEDIUM ENTERPRISES IN RURAL PAKISTAN","URL":"https://jurnal.stie-aas.ac.id/index.php/IJEBAR/article/view/18115","volume":"9","author":[{"family":"Raza","given":"Danish"}],"accessed":{"date-parts":[["2025",11,22]]},"issued":{"date-parts":[["2025",9,29]]}}},{"id":128,"uris":["http://zotero.org/users/16887523/items/3B3WD4XT"],"itemData":{"id":128,"type":"article-journal","abstract":"The article explores institutional and digital determinants of medium-sized business development in Russia. Based on the synthesis of classical and new institutional economics and modern concepts of digital transformation, a multifactorial model for the growth of medium enterprises is proposed. The model includes three interrelated layers: formal institutions (tax and legal systems, public support), informal practices (trust, entrepreneurial culture), and digital infrastructure (platforms, blockchain, digital profiles). The study reveals mechanisms of institutional synergy that enhance productivity and reduce transaction costs. Practical recommendations are provided for integrating the model into national and regional policies, emphasizing the strategic role of medium-sized businesses in modernizing the Russian economy.","container-title":"Проблемы экономики и юридической практики","DOI":"10.33693/2541-8025-2025-21-4-208-215","ISSN":"2712-7605, 2541-8025","issue":"4","journalAbbreviation":"Economic Problems and Legal Practice","license":"https://www.urvak.ru/contacts/","page":"208-215","source":"DOI.org (Crossref)","title":"Средний бизнес в России: институциональные ограничения, цифровые возможности и перспективы роста","title-short":"Middle business in Russia","URL":"https://journals.eco-vector.com/2541-8025/article/view/691606","volume":"21","author":[{"family":"Гоненко","given":"Д.В."}],"accessed":{"date-parts":[["2025",11,22]]},"issued":{"date-parts":[["2025"]]}}}],"schema":"https://github.com/citation-style-language/schema/raw/master/csl-citation.json"} </w:instrText>
      </w:r>
      <w:r w:rsidR="009E271E"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[80,81]</w:t>
      </w:r>
      <w:r w:rsidR="009E271E"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 Таким образом, цифровая адаптация выступает медиатором между проектированием инновационного потенциала и его практической реализацией, задавая темп и последовательность модернизации бизнес-процессов</w:t>
      </w:r>
      <w:r w:rsidR="009E271E" w:rsidRPr="00CE0BCE">
        <w:rPr>
          <w:rFonts w:ascii="Times New Roman" w:hAnsi="Times New Roman" w:cs="Times New Roman"/>
          <w:sz w:val="28"/>
          <w:szCs w:val="28"/>
          <w:lang w:val="kk-KZ"/>
        </w:rPr>
        <w:t xml:space="preserve"> </w:t>
      </w:r>
      <w:r w:rsidR="009E271E"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{"citationID":"a13nsrj643l","properties":{"formattedCitation":"[82]","plainCitation":"[82]","noteIndex":0},"citationItems":[{"id":131,"uris":["http://zotero.org/users/16887523/items/VQR2MQQG"],"itemData":{"id":131,"type":"article-journal","abstract":"The article defines the concept of digital innovation as a type of innovation based on the implementation and use of digital technologies that change products, services, business processes and interaction models inside and outside the organization. Significant differences between digital innovations and traditional innovations are: they are based not on material technologies, but on digital ones; the result is software solutions, platforms, services; the speed of dissemination is much higher than traditional innovations due to the use of flexible management methodologies; the sources of created value are data and their analysis, interaction, user experience; the type of effective interaction is a network ecosystem, a digital platform; high scalability when using platforms and network ecosystems. \nA model of the digital innovation management system of industrial enterprises has been developed. It consists of interacting subsystems of digital management (control subsystem) and digital technologies (managed subsystem). In turn, the digital management subsystem is a complex set of digital culture, digital strategy, digital interaction, flexible management methods, as well as changes in the business model and organizational structure. \nAn analysis of digital innovation management indicators in Ukraine was conducted, which indicate contradictory trends: on the one hand, Ukraine is an exporter of digital technology development services, which implies at least the presence of qualified personnel who are able to create appropriate software and have a digital culture. On the other hand, the penetration of digital technologies into national industrial enterprises has extremely low indicators, which is determined by the low level of development of industrial enterprises themselves. Such trends are explained by the predominance of short-term financial interests over long-term economic interests and cannot ensure sustainable long-term development of the national economy, which implies the need to change priorities in favor of the innovative and investment development of national industrial enterprises.","container-title":"Науковий вісник Полісся","DOI":"10.25140/2410-9576-2025-1(30)-401-412","ISSN":"2412-2394, 2410-9576","issue":"1","journalAbbreviation":"SBP","page":"401-412","source":"DOI.org (Crossref)","title":"УПРАВЛІННЯ ЦИФРОВИМИ ІННОВАЦІЯМИ НА ПРОМИСЛОВИХ ПІДПРИЄМСТВАХ: АНАЛІЗ МІЖНАРОДНОГО І НАЦІОНАЛЬНОГО ДОСВІДУ","title-short":"Digital innovation management in industrial enterprises","URL":"http://nvp.stu.cn.ua/article/view/340003","volume":"30","author":[{"family":"Повна","given":"С.В."}],"accessed":{"date-parts":[["2025",11,22]]},"issued":{"date-parts":[["2025"]]}}}],"schema":"https://github.com/citation-style-language/schema/raw/master/csl-citation.json"} </w:instrText>
      </w:r>
      <w:r w:rsidR="009E271E"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[82]</w:t>
      </w:r>
      <w:r w:rsidR="009E271E"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w:t>
      </w:r>
    </w:p>
    <w:p w14:paraId="55932950" w14:textId="4C587B5F" w:rsidR="000246A1" w:rsidRPr="00CE0BCE" w:rsidRDefault="000246A1"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 xml:space="preserve">Важно подчеркнуть, что проектирование инновационного потенциала опирается на системный анализ и стратегическое планирование. В экономической литературе появился даже термин «технология проектирования инновационного потенциала» – совокупность методических приёмов, позволяющих целенаправленно формировать и развивать потенциал предприятия. Например, </w:t>
      </w:r>
      <w:r w:rsidR="009E271E" w:rsidRPr="00CE0BCE">
        <w:rPr>
          <w:rFonts w:ascii="Times New Roman" w:hAnsi="Times New Roman" w:cs="Times New Roman"/>
          <w:sz w:val="28"/>
          <w:szCs w:val="28"/>
          <w:lang w:val="kk-KZ"/>
        </w:rPr>
        <w:t xml:space="preserve">некоторые исследователи </w:t>
      </w:r>
      <w:r w:rsidRPr="00CE0BCE">
        <w:rPr>
          <w:rFonts w:ascii="Times New Roman" w:hAnsi="Times New Roman" w:cs="Times New Roman"/>
          <w:sz w:val="28"/>
          <w:szCs w:val="28"/>
          <w:lang w:val="kk-KZ"/>
        </w:rPr>
        <w:t>описывают концептуальную модель управления инновационным потенциалом, включающую инструменты и этапы его проектирования</w:t>
      </w:r>
      <w:r w:rsidR="0089179C" w:rsidRPr="00CE0BCE">
        <w:rPr>
          <w:rFonts w:ascii="Times New Roman" w:hAnsi="Times New Roman" w:cs="Times New Roman"/>
          <w:sz w:val="28"/>
          <w:szCs w:val="28"/>
          <w:lang w:val="kk-KZ"/>
        </w:rPr>
        <w:t xml:space="preserve"> </w:t>
      </w:r>
      <w:r w:rsidR="0089179C" w:rsidRPr="00CE0BCE">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{"citationID":"a23vdsnjane","properties":{"formattedCitation":"[83,84]","plainCitation":"[83,84]","noteIndex":0},"citationItems":[{"id":132,"uris":["http://zotero.org/users/16887523/items/RWCY8STD"],"itemData":{"id":132,"type":"article-journal","abstract":"This study aims to analyze the influence of Strategic Innovation Quality (SIQ) on Competitive Advantage (CA) and Human Resource Performance (HRP), with Technological Innovation Capability (TIC) as a mediating variable. The research was conducted on employees of Lawu Group Tourist Attractions in Central Java, with a saturated sample of 255 employees. A quantitative research method was applied using Structural Equation Modeling-Partial Least Squares (SEM-PLS).The results indicate that SIQ has a positive influence on TIC and HRP. TIC also has a positive and significant impact on CA and HRP, while it mediates the relationship between SIQ and CA. However, the direct relationship between SIQ and CA is not significant, suggesting that technological innovation capability plays a more dominant role in creating a competitive advantage than strategic innovation alone. These findings highlight that in the tourism industry, strengthening technological innovation capabilities is crucial for enhancing both competitive advantage and human resource performance.The study's implications suggest that the management of Lawu Group Tourist Attractions should focus on strengthening technological innovation strategies to enhance competitiveness and optimize employee performance. Moreover, organizations need to emphasize technology development as a bridge between strategic innovation and competitive advantage. This research contributes academically to the development of strategic innovation theories in the tourism sector and provides practical recommendations for tourism destination managers to improve organizational performance sustainably.","container-title":"Jurnal Penelitian Ekonomi dan Bisnis","DOI":"10.33633/jpeb.v10i2.12604","ISSN":"2460-4291, 2442-5028","issue":"2","journalAbbreviation":"JPEB","license":"https://creativecommons.org/licenses/by/4.0/","page":"135-150","source":"DOI.org (Crossref)","title":"Strategic Innovation Quality: Technological Innovation Capability Model to Improve Competitive Advantage and Human Resource Performance of Tourism Industry","title-short":"Strategic Innovation Quality","URL":"https://publikasi.dinus.ac.id/jpeb/article/view/12604","volume":"10","author":[{"family":"Sudiyono","given":"Sudiyono"},{"family":"Nurcahyo","given":"Satria Avianda"},{"family":"Widagdo","given":"Teguh Harso"}],"accessed":{"date-parts":[["2025",11,22]]},"issued":{"date-parts":[["2025",9,29]]}}},{"id":"jo0Cjpe8/61XWePlX","uris":["http://zotero.org/users/16887523/items/Y9PU8BSM"],"itemData":{"id":133,"type":"article-journal","abstract":"In this work, we outline and appraise a method for creating and evaluating an Operational Management Concept (OMC) for Low- Crewed Surface Vessels (LSVs) in the Royal Netherlands Navy (RNLN). Utilizing Cognitive Work Analysis (CWA) and Design Thinking tools, three workshops were carried out with seven Subject Matter Experts (SMEs) focused on task allocation and the feasibility of minimal crewing. The first two workshops developed a task allocation concept, considering human responsibility, automation, and shore support. The third workshop utilized a tabletop game to evaluate the OMC’s feasibility and to enrich the OMC with more detail. The workshops led to an innovative OMC with roughly a dozen crew members, heavily dependent on automation, redundant systems, and shore support. The workshops allowed SMEs to expand their current experiences and encouraged discussions on human responsibility, collaboration, and technological support. The workshops underscored the need for deeper immersion (e.g., by using Virtual Reality) to effectively assess advanced automated systems.","container-title":"Proceedings of the Human Factors and Ergonomics Society Annual Meeting","DOI":"10.1177/10711813251366291","ISSN":"1071-1813, 2169-5067","journalAbbreviation":"Proceedings of the Human Factors and Ergonomics Society Annual Meeting","language":"en","page":"10711813251366291","source":"DOI.org (Crossref)","title":"Method for Designing Operational Management Concepts for Low-Crewed Surface Vessels","author":[{"family":"Berning","given":"Sjoerd"},{"family":"Gerritse","given":"Puck"},{"family":"Schraagen","given":"Jan Maarten"},{"family":"Van Koningsveld","given":"Mark Rinse"},{"family":"Rakhorst-Oudendijk","given":"Marleen"}],"issued":{"date-parts":[["2025",9,28]]}}}],"schema":"https://github.com/citation-style-language/schema/raw/master/csl-citation.json"} </w:instrText>
      </w:r>
      <w:r w:rsidR="0089179C"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[83,84]</w:t>
      </w:r>
      <w:r w:rsidR="0089179C"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 xml:space="preserve"> в общем контуре управления развитием фирмы</w:t>
      </w:r>
      <w:r w:rsidR="0089179C" w:rsidRPr="00CE0BCE">
        <w:rPr>
          <w:rFonts w:ascii="Times New Roman" w:hAnsi="Times New Roman" w:cs="Times New Roman"/>
          <w:sz w:val="28"/>
          <w:szCs w:val="28"/>
          <w:lang w:val="kk-KZ"/>
        </w:rPr>
        <w:t xml:space="preserve"> </w:t>
      </w:r>
      <w:r w:rsidR="0089179C"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{"citationID":"a123v7lj5m3","properties":{"formattedCitation":"[85]","plainCitation":"[85]","noteIndex":0},"citationItems":[{"id":134,"uris":["http://zotero.org/users/16887523/items/FCTN43CT"],"itemData":{"id":134,"type":"article-journal","abstract":"This systematic literature review synthesizes research on strategic management practices (SMPs) and their impact on strategic performance, identifying key predictors, mediators, and moderators that shape strategic outcomes. A total of 44 studies were analysed and the findings showed that strategic planning and digitalization emerged as the most frequently examined predictors. Innovation and R&amp;D, behavioural factors, and operational capabilities further underscore the multidimensional nature of strategic success. Government policies and internal strategic processes are the most significant mediators and moderators. Notably, while SMPs remain foundational, contemporary imperatives such as sustainability integration, strategic agility, and digital transformation are underrepresented despite their growing practical relevance. The study also identifies methodological limitations, including a predominance of cross-sectional designs and geographic biases toward emerging economies. We propose a future research agenda emphasizing longitudinal studies, cross-contextual comparisons, and behavioural-strategic integration to advance theoretical and practical understanding.","container-title":"WSEAS TRANSACTIONS ON BUSINESS AND ECONOMICS","DOI":"10.37394/23207.2025.22.165","ISSN":"2224-2899, 1109-9526","language":"en","license":"https://wseas.com/journals/bae/2025/d345107-3417.pdf","page":"2067-2078","source":"DOI.org (Crossref)","title":"Strategic Management Practices and Strategic Performance: A Systematic Literature Review","title-short":"Strategic Management Practices and Strategic Performance","URL":"https://wseas.com/journals/bae/2025/d345107-3417.pdf","volume":"22","author":[{"family":"Alanazi","given":"Saad Dhahawi"},{"family":"Talib","given":"Alyaa Afifah Abu"}],"accessed":{"date-parts":[["2025",11,22]]},"issued":{"date-parts":[["2025",9,26]]}}}],"schema":"https://github.com/citation-style-language/schema/raw/master/csl-citation.json"} </w:instrText>
      </w:r>
      <w:r w:rsidR="0089179C"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[85]</w:t>
      </w:r>
      <w:r w:rsidR="0089179C"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w:t>
      </w:r>
    </w:p>
    <w:p w14:paraId="0F1FC639" w14:textId="3BECFACC" w:rsidR="000246A1" w:rsidRPr="00CE0BCE" w:rsidRDefault="000246A1"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 xml:space="preserve">Проектирование включает установление целевых ориентиров (каким должен быть инновационный потенциал через определённое время), разработку мероприятий (проекты по развитию каждого компонента потенциала), моделирование ожидаемых результатов </w:t>
      </w:r>
      <w:r w:rsidR="00DD134E"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{"citationID":"a1lk7l611pr","properties":{"formattedCitation":"[86]","plainCitation":"[86]","noteIndex":0},"citationItems":[{"id":135,"uris":["http://zotero.org/users/16887523/items/C8SA5HGN"],"itemData":{"id":135,"type":"article-journal","abstract":"In this work, we outline and appraise a method for creating and evaluating an Operational Management Concept (OMC) for Low- Crewed Surface Vessels (LSVs) in the Royal Netherlands Navy (RNLN). Utilizing Cognitive Work Analysis (CWA) and Design Thinking tools, three workshops were carried out with seven Subject Matter Experts (SMEs) focused on task allocation and the feasibility of minimal crewing. The first two workshops developed a task allocation concept, considering human responsibility, automation, and shore support. The third workshop utilized a tabletop game to evaluate the OMC’s feasibility and to enrich the OMC with more detail. The workshops led to an innovative OMC with roughly a dozen crew members, heavily dependent on automation, redundant systems, and shore support. The workshops allowed SMEs to expand their current experiences and encouraged discussions on human responsibility, collaboration, and technological support. The workshops underscored the need for deeper immersion (e.g., by using Virtual Reality) to effectively assess advanced automated systems.","container-title":"Proceedings of the Human Factors and Ergonomics Society Annual Meeting","DOI":"10.1177/10711813251366291","ISSN":"1071-1813, 2169-5067","journalAbbreviation":"Proceedings of the Human Factors and Ergonomics Society Annual Meeting","language":"en","page":"10711813251366291","source":"DOI.org (Crossref)","title":"Method for Designing Operational Management Concepts for Low-Crewed Surface Vessels","URL":"https://journals.sagepub.com/doi/10.1177/10711813251366291","author":[{"family":"Berning","given":"Sjoerd"},{"family":"Gerritse","given":"Puck"},{"family":"Schraagen","given":"Jan Maarten"},{"family":"Van Koningsveld","given":"Mark Rinse"},{"family":"Rakhorst-Oudendijk","given":"Marleen"}],"accessed":{"date-parts":[["2025",11,22]]},"issued":{"date-parts":[["2025",9,28]]}}}],"schema":"https://github.com/citation-style-language/schema/raw/master/csl-citation.json"} </w:instrText>
      </w:r>
      <w:r w:rsidR="00DD134E"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[86]</w:t>
      </w:r>
      <w:r w:rsidR="00DD134E" w:rsidRPr="00CE0BCE">
        <w:rPr>
          <w:rFonts w:ascii="Times New Roman" w:hAnsi="Times New Roman" w:cs="Times New Roman"/>
          <w:sz w:val="28"/>
          <w:szCs w:val="28"/>
          <w:lang w:val="kk-KZ"/>
        </w:rPr>
        <w:fldChar w:fldCharType="end"/>
      </w:r>
      <w:r w:rsidR="00DD134E" w:rsidRPr="00CE0BCE">
        <w:rPr>
          <w:rFonts w:ascii="Times New Roman" w:hAnsi="Times New Roman" w:cs="Times New Roman"/>
          <w:sz w:val="28"/>
          <w:szCs w:val="28"/>
          <w:lang w:val="kk-KZ"/>
        </w:rPr>
        <w:t xml:space="preserve"> </w:t>
      </w:r>
      <w:r w:rsidRPr="00CE0BCE">
        <w:rPr>
          <w:rFonts w:ascii="Times New Roman" w:hAnsi="Times New Roman" w:cs="Times New Roman"/>
          <w:sz w:val="28"/>
          <w:szCs w:val="28"/>
          <w:lang w:val="kk-KZ"/>
        </w:rPr>
        <w:t>и создание системы контроля</w:t>
      </w:r>
      <w:r w:rsidR="00DD134E" w:rsidRPr="00CE0BCE">
        <w:rPr>
          <w:rFonts w:ascii="Times New Roman" w:hAnsi="Times New Roman" w:cs="Times New Roman"/>
          <w:sz w:val="28"/>
          <w:szCs w:val="28"/>
          <w:lang w:val="kk-KZ"/>
        </w:rPr>
        <w:t xml:space="preserve"> </w:t>
      </w:r>
      <w:r w:rsidR="00DD134E"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{"citationID":"a1f5jgt81id","properties":{"formattedCitation":"[87]","plainCitation":"[87]","noteIndex":0},"citationItems":[{"id":137,"uris":["http://zotero.org/users/16887523/items/2YRZDCBM"],"itemData":{"id":137,"type":"article-journal","abstract":"In the context of crisis situations, making use of the most recent opportunities for future educators’ training is a pertinent issue. The purpose of the suggested article is to evaluate how cutting-edge technologies might help train future preschool education specialists and assess how well they work in emergency scenarios. In order to accomplish this, scientific survey methods were used, and regression correlation and Pearson correlation were used to analyse the results. The findings show that the average score significantly increased as a result of the utilization of innovations in the educational process. The average level of professional reflection and motivation rose once the experiment started. According to Pearson’s correlation, university students were far more motivated to study and utilized this advantage to pass the test. Additionally, the regression analysis showed that even one variable (in the proposed study, motivation) significantly impacts another (in our case, test results). The STEM approach showed the most significant growth results, slightly outperforming the flipped learning opportunities. The conclusions recommend using innovative methods of flipped learning and the STEM approach.\n          , \n            In the context of crisis situations, making use of the most recent opportunities for future educators’ training is a pertinent issue. The purpose of the suggested article is to evaluate how cutting-edge technologies might help train future preschool education specialists and assess how well they work in emergency scenarios. In order to accomplish this, scientific survey methods were used, and regression correlation and Pearson correlation were used to analyse the results. The findings show that the average score significantly increased as a result of the utilization of innovations in the educational process. The average level of professional reflection and motivation rose once the experiment started. According to Pearson’s correlation, university students were far more motivated to study and utilized this advantage to pass the test. Additionally, the regression analysis showed that even one variable (in the proposed study, motivation) significantly impacts another (in our case, test results). The STEM approach showed the most significant growth results, slightly outperforming the flipped learning opportunities. The conclusions recommend using innovative methods of flipped learning and the STEM approach.","container-title":"lnternational Electronic Journal of Elementary Education","DOI":"10.26822/iejee.2025.409","ISSN":"1307-9298","journalAbbreviation":"iejee","language":"en","page":"5","source":"DOI.org (Crossref)","title":"Innovative Approaches to Training Future Specialists in Preschool Education in Crisis Situations","URL":"https://iejee.com/index.php/IEJEE/article/view/2481/738","author":[{"family":"Yepikhina","given":"Maryna"},{"family":"Bader","given":"Svitlana"},{"family":"Makarenko","given":"Svitlana"},{"family":"Zazharska","given":"Hanna"},{"family":"Varianytsia","given":"Liudmyla"}],"accessed":{"date-parts":[["2025",11,22]]},"issued":{"date-parts":[["2025",9,30]]}}}],"schema":"https://github.com/citation-style-language/schema/raw/master/csl-citation.json"} </w:instrText>
      </w:r>
      <w:r w:rsidR="00DD134E"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[87]</w:t>
      </w:r>
      <w:r w:rsidR="00DD134E"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 xml:space="preserve">. Одной из функций проектирования является также стимулирование инновационной активности: когда менеджмент чётко видит целевое состояние потенциала, ему легче сформировать мотивационные механизмы </w:t>
      </w:r>
      <w:r w:rsidR="00DD134E"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{"citationID":"a1ojsgqaeoc","properties":{"formattedCitation":"[88]","plainCitation":"[88]","noteIndex":0},"citationItems":[{"id":136,"uris":["http://zotero.org/users/16887523/items/DZHD98GF"],"itemData":{"id":136,"type":"article-journal","abstract":"Amaç –Bu araştırmanın amacı çalışanların girişimci ve yenilikçi davranışlarının işletmelerin sürdürülebilir ihracat performansına etkisinin belirlenebilmesidir.Yöntem –Araştırma için İstanbul ili Avcılar ilçesindeki ihracat yapan işletmelerin çalışanları ile gönüllülük esasıyla kolayda örnekleme kullanılarak 401 çalışana anket ile ulaşılmıştır. Veri setinin analizinde normal dağılım testi, örneklem yeterlilik testi, farktesti, korelasyon ve regresyon analizleri yapılmıştır.Bulgular–Regresyon  analizi sonucu  çalışanların  girişimci davranışlarının  işletmelerin  ihracat performansının üzerinde (F=7,790; p&lt;0,05; β=0,110) sonucuyla, yenilikçi davranışlarının işletmelerin ihracat performansının üzerine (F=22,483; p&lt;0,05; β=0,188) etkisi olduğu saptanmıştır. İhracat yapan işletme  çalışanlarının  girişimci  ve  yenilikçi  davranışlarının  ortaya  çıkarılmasının  ihracat performansındaki önemli unsurlardan birisi olduğu değerlendirilebilir.Tartışma-Girişimci ve yenilikçi davranışların işletmelerin ihracat performansına etkisini araştıran ilk araştırmalardan birisi olması araştırmanın özgünlüğünü göstermektedir. Çalışanların girişimci ve yenilikçi davranışlarının ihracat performansı üzerindeki etkisi konusundaki araştırmanın literatüre katkı sağlamasının yanında gelecek dönemlerde diğer örgütsel davranış konularında da araştırma yapılabilmesi de mümkündür\n          , \n            Purpose –The purpose of this study is to determine the effect of employees' entrepreneurial and innovative behaviors on the sustainable export performance of enterprises.Design/methodology/approach –The  study  was  conducted  with  the  employees  of  the  exporting enterprises in Avcılar district of Istanbul province by using convenience sampling on a voluntary basis  and  401  employees  were  reached  with  a  questionnaire.  Normal  distribution  test,  sampling adequacy test, difference test, correlation and regression analyses were performed to analyze the data set.Results–As a result of the regression analysis, it was determined that the entrepreneurial behaviors of the employees have an effect on the export performance of the enterprises (F=7,790; p&lt;0,05; β=0,110) and the innovative behaviors have an effect on the export performance of the enterprises (F=22,483; p&lt;0,05; β=0,188). It can be evaluated that revealing the entrepreneurial and innovative behaviors of exporting business employees is one of the important factors in export performance.Discussion –The fact that it is one of the first studies to investigate the effect of entrepreneurial and innovative behaviors on the export performance of enterprises shows the originality of the research. In addition to contributing to the literature on the effect of employees' entrepreneurial and innovative behaviors  on  export  performance,  it  is  also  possible  to  conduct  studies  on  other  organizational behavior issues in the future.","container-title":"Journal of Business Research - Turk","DOI":"10.20491/isarder.2025.2078","ISSN":"1309-0712","journalAbbreviation":"isarder","language":"en","page":"3","source":"DOI.org (Crossref)","title":"Çalışanların Girişimci ve Yenilikçi Davranışlarının İşletmelerin Sürdürülebilir İhracat Performansına Etkisi - The Effect of Employees Entrepreneurial and Innovative Behaviors on Sustainable Export Performance of Businesses","URL":"https://www.isarder.org/index.php/isarder/article/view/2397/2380","author":[{"family":"Yilmaz","given":"Çiğdem"},{"family":"Boz","given":"Dursun"}],"accessed":{"date-parts":[["2025",11,22]]},"issued":{"date-parts":[["2025",9,30]]}}}],"schema":"https://github.com/citation-style-language/schema/raw/master/csl-citation.json"} </w:instrText>
      </w:r>
      <w:r w:rsidR="00DD134E"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[88]</w:t>
      </w:r>
      <w:r w:rsidR="00DD134E" w:rsidRPr="00CE0BCE">
        <w:rPr>
          <w:rFonts w:ascii="Times New Roman" w:hAnsi="Times New Roman" w:cs="Times New Roman"/>
          <w:sz w:val="28"/>
          <w:szCs w:val="28"/>
          <w:lang w:val="kk-KZ"/>
        </w:rPr>
        <w:fldChar w:fldCharType="end"/>
      </w:r>
      <w:r w:rsidR="00DD134E" w:rsidRPr="00CE0BCE">
        <w:rPr>
          <w:rFonts w:ascii="Times New Roman" w:hAnsi="Times New Roman" w:cs="Times New Roman"/>
          <w:sz w:val="28"/>
          <w:szCs w:val="28"/>
          <w:lang w:val="kk-KZ"/>
        </w:rPr>
        <w:t xml:space="preserve"> </w:t>
      </w:r>
      <w:r w:rsidRPr="00CE0BCE">
        <w:rPr>
          <w:rFonts w:ascii="Times New Roman" w:hAnsi="Times New Roman" w:cs="Times New Roman"/>
          <w:sz w:val="28"/>
          <w:szCs w:val="28"/>
          <w:lang w:val="kk-KZ"/>
        </w:rPr>
        <w:t>для сотрудников и подобрать инструменты (финансовые, организационные) для достижения поставленных инновационных целей.</w:t>
      </w:r>
    </w:p>
    <w:p w14:paraId="7A88199E" w14:textId="3FFCC9A2" w:rsidR="000246A1" w:rsidRDefault="000246A1"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Для малых предприятий процесс проектирования инновационного потенциала в условиях цифровой адаптации приобретает особое значение, так как позволяет перейти от реактивных действий к проактивному управлению инновациями. Это не просто цифровизация ради технологий, а осознанное включение цифровых инструментов в стратегию роста</w:t>
      </w:r>
      <w:r w:rsidR="00DD134E" w:rsidRPr="00CE0BCE">
        <w:rPr>
          <w:rFonts w:ascii="Times New Roman" w:hAnsi="Times New Roman" w:cs="Times New Roman"/>
          <w:sz w:val="28"/>
          <w:szCs w:val="28"/>
          <w:lang w:val="kk-KZ"/>
        </w:rPr>
        <w:t xml:space="preserve"> </w:t>
      </w:r>
      <w:r w:rsidR="00DD134E" w:rsidRPr="00CE0BC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{"citationID":"aobbsnednh","properties":{"formattedCitation":"[61]","plainCitation":"[61]","noteIndex":0},"citationItems":[{"id":110,"uris":["http://zotero.org/users/16887523/items/YLH4XTTT"],"itemData":{"id":110,"type":"article-journal","abstract":"This study explores the role of digital transformation in enhancing the resilience and competitive advantage of Small and Medium Enterprises (SMEs) in the post-pandemic era. Through both qualitative and quantitative analyses, the study examines how SMEs have adopted digital technologies, such as e-commerce, cloud computing, and customer relationship management (CRM), to overcome challenges posed by the pandemic and build sustainable advantages. The findings reveal that digital transformation has a significant positive impact on business resilience, operational efficiency, and customer satisfaction. However, challenges such as limited skilled human resources and high initial investment costs remain barriers to full adoption. The study offers practical implications for SME owners and policymakers, emphasizing the need for strategic investments in digital skills and technology, as well as supportive policies to reduce barriers to digital transformation. Despite some limitations, the study contributes to the literature on resilient business models and the role of digital transformation in SMEs.","container-title":"Journal of Economics and Management Scienties","DOI":"10.37034/jems.v8i1.248","ISSN":"2655-6685, 2655-1934","journalAbbreviation":"JEMS","license":"https://creativecommons.org/licenses/by/4.0","page":"1-6","source":"DOI.org (Crossref)","title":"Digital Transformation and Resilient Business Models: Unlocking Competitive Advantage in Post-Pandemic SMEs","title-short":"Digital Transformation and Resilient Business Models","URL":"https://jems.ink/index.php/JEMS/article/view/248","author":[{"family":"Kusuma","given":"Sitta"}],"accessed":{"date-parts":[["2025",11,22]]},"issued":{"date-parts":[["2025",9,29]]}}}],"schema":"https://github.com/citation-style-language/schema/raw/master/csl-citation.json"} </w:instrText>
      </w:r>
      <w:r w:rsidR="00DD134E" w:rsidRPr="00CE0BC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[61]</w:t>
      </w:r>
      <w:r w:rsidR="00DD134E" w:rsidRPr="00CE0BCE">
        <w:rPr>
          <w:rFonts w:ascii="Times New Roman" w:hAnsi="Times New Roman" w:cs="Times New Roman"/>
          <w:sz w:val="28"/>
          <w:szCs w:val="28"/>
          <w:lang w:val="kk-KZ"/>
        </w:rPr>
        <w:fldChar w:fldCharType="end"/>
      </w:r>
      <w:r w:rsidRPr="00CE0BCE">
        <w:rPr>
          <w:rFonts w:ascii="Times New Roman" w:hAnsi="Times New Roman" w:cs="Times New Roman"/>
          <w:sz w:val="28"/>
          <w:szCs w:val="28"/>
          <w:lang w:val="kk-KZ"/>
        </w:rPr>
        <w:t xml:space="preserve"> и повышение инновационной готовности компании</w:t>
      </w:r>
      <w:r w:rsidR="00DD134E" w:rsidRPr="00CE0BCE">
        <w:rPr>
          <w:rFonts w:ascii="Times New Roman" w:hAnsi="Times New Roman" w:cs="Times New Roman"/>
          <w:sz w:val="28"/>
          <w:szCs w:val="28"/>
        </w:rPr>
        <w:t xml:space="preserve"> </w:t>
      </w:r>
      <w:r w:rsidR="00DD134E" w:rsidRPr="00CE0BCE">
        <w:rPr>
          <w:rFonts w:ascii="Times New Roman" w:hAnsi="Times New Roman" w:cs="Times New Roman"/>
          <w:sz w:val="28"/>
          <w:szCs w:val="28"/>
          <w:lang w:val="en-US"/>
        </w:rPr>
        <w:fldChar w:fldCharType="begin"/>
      </w:r>
      <w:r w:rsidR="009C6DCA">
        <w:rPr>
          <w:rFonts w:ascii="Times New Roman" w:hAnsi="Times New Roman" w:cs="Times New Roman"/>
          <w:sz w:val="28"/>
          <w:szCs w:val="28"/>
        </w:rPr>
        <w:instrText xml:space="preserve"> ADDIN ZOTERO_ITEM CSL_CITATION {"citationID":"a1alounr3fg","properties":{"formattedCitation":"[62,78]","plainCitation":"[62,78]","noteIndex":0},"citationItems":[{"id":111,"uris":["http://zotero.org/users/16887523/items/J2BTDRT9"],"itemData":{"id":111,"type":"article-journal","abstract":"This community service activity aimed to improve the capacity of Micro, Small, and Medium Enterprises (MSMEs) in Paropo Village, Panakukang District, Makassar City, to face the challenges of the digital era. Training and education are focused on two main aspects: digital marketing strategies and business financial management. The implementation method included a participatory approach through interactive training sessions, simulations, group discussions, and direct mentoring. The results demonstrated an increase in participants' understanding and skills in using social media and other digital platforms for product promotion and marketing. Furthermore, participants gained practical knowledge in simple financial record keeping, cash flow management, and short- and long-term financial planning. Evaluation of the activity, conducted through pre- and post-tests, demonstrated significant improvements in participants' knowledge and skills. It is hoped that this activity will have a sustainable impact on the development of participants' businesses and strengthen the competitiveness of MSMEs in the region. This activity also opens up opportunities for further collaboration with the local government and related institutions in digital-based MSME development.","container-title":"Journal of Universal Community Empowerment Provision","DOI":"10.55885/jucep.v5i3.713","ISSN":"2776-1142, 2776-1134","issue":"3","journalAbbreviation":"JUCEP","license":"http://creativecommons.org/licenses/by-sa/4.0/","page":"97-104","source":"DOI.org (Crossref)","title":"Training And Education for Umkm Actors Related to Digital Marketing Strategies and Business Financial Management in Paropo Village, Panakukang District, Makassar City","URL":"https://psppjournals.org/index.php/jucep/article/view/713","volume":"5","author":[{"family":"Chaerul","given":"Muhammad"},{"family":"Suyuthi","given":"Nurmadhani Fitri"},{"family":"Riyadi","given":"Syamsul"},{"family":"Djalil","given":"Nur Alim"},{"family":"Yasmi","given":"Yasmi"},{"family":"Rusman","given":"Muh. Khairil"},{"family":"Sepdiansar","given":"Risal"},{"family":"Tamsil","given":"Erni"},{"family":"Alauddin","given":"Alauddin"}],"accessed":{"date-parts":[["2025",11,22]]},"issued":{"date-parts":[["2025",9,29]]}}},{"id":129,"uris":["http://zotero.org/users/16887523/items/L7K3IFV6"],"itemData":{"id":129,"type":"article-journal","abstract":"This study investigates the impact of digital technology adoption on the performance of Micro, Small, and Medium Enterprises (MSMEs) in Champasack Province, Lao PDR. Using survey data from 397 enterprises and applying an Ordinary Least Squares (OLS) regression model, the analysis examines how digital practices, firm characteristics, and institutional factors influence revenue performance.\n\tThe results demonstrate that digital technology adoption, including the use of electronic banking applications, online sales combined with wholesale operations, direct delivery services, and payment card readers, has a positive and statistically significant effect on MSME revenues. Among these, electronic banking showed the strongest association, contributing to substantial revenue increases by improving financial efficiency, customer trust, and market accessibility. Additionally, firms with larger asset bases, more employees, formal registration, and better access to finance consistently reported higher revenues. Entrepreneurial factors, such as prior training and exposure to advice on productivity and innovation, were also found to strengthen firm performance. Conversely, enterprises operating solely as individual firms without formal registration were at a revenue disadvantage compared to those structured as single-member limited companies or partnerships.\n\tThese findings highlight that digital adoption is not an isolated determinant of performance but interacts closely with firm resources, entrepreneurial capacity, and institutional support. For MSMEs in Champasack Province, digitalization provides a pathway to overcome traditional barriers of financing, market reach, and operational inefficiency. The study contributes to the growing body of literature on digital transformation in emerging economies and offers practical insights for policymakers to promote digital finance, business formalization, and capacity building in order to strengthen MSME competitiveness and sustainability in Laos.","container-title":"International Journal For Multidisciplinary Research","DOI":"10.36948/ijfmr.2025.v07i05.56600","ISSN":"2582-2160","issue":"5","journalAbbreviation":"IJFMR","page":"56600","source":"DOI.org (Crossref)","title":"The Impact of Digital Technology on the Performance of Micro, Small, and Medium Enterprises in Champasack Province","URL":"https://www.ijfmr.com/research-paper.php?id=56600","volume":"7","author":[{"family":"Khamphouvan","given":"Sovat"},{"family":"Dalasy","given":"Chansouk"},{"family":"Phengphachanh","given":"Vatsana"},{"family":"Sengsuly","given":"Xaiyasith"},{"family":"Phonesavanh","given":"Thipphaphone"}],"accessed":{"date-parts":[["2025",11,22]]},"issued":{"date-parts":[["2025",9,26]]}}}],"schema":"https://github.com/citation-style-language/schema/raw/master/csl-citation.json"} </w:instrText>
      </w:r>
      <w:r w:rsidR="00DD134E" w:rsidRPr="00CE0BCE">
        <w:rPr>
          <w:rFonts w:ascii="Times New Roman" w:hAnsi="Times New Roman" w:cs="Times New Roman"/>
          <w:sz w:val="28"/>
          <w:szCs w:val="28"/>
          <w:lang w:val="en-US"/>
        </w:rPr>
        <w:fldChar w:fldCharType="separate"/>
      </w:r>
      <w:r w:rsidR="009C6DCA" w:rsidRPr="009C6DCA">
        <w:rPr>
          <w:rFonts w:ascii="Times New Roman" w:hAnsi="Times New Roman" w:cs="Times New Roman"/>
          <w:sz w:val="28"/>
        </w:rPr>
        <w:t>[62,78]</w:t>
      </w:r>
      <w:r w:rsidR="00DD134E" w:rsidRPr="00CE0BCE">
        <w:rPr>
          <w:rFonts w:ascii="Times New Roman" w:hAnsi="Times New Roman" w:cs="Times New Roman"/>
          <w:sz w:val="28"/>
          <w:szCs w:val="28"/>
          <w:lang w:val="en-US"/>
        </w:rPr>
        <w:fldChar w:fldCharType="end"/>
      </w:r>
      <w:r w:rsidRPr="00CE0BCE">
        <w:rPr>
          <w:rFonts w:ascii="Times New Roman" w:hAnsi="Times New Roman" w:cs="Times New Roman"/>
          <w:sz w:val="28"/>
          <w:szCs w:val="28"/>
          <w:lang w:val="kk-KZ"/>
        </w:rPr>
        <w:t>.</w:t>
      </w:r>
    </w:p>
    <w:p w14:paraId="1C67F294" w14:textId="57636399" w:rsidR="00572A3A" w:rsidRPr="004319BF" w:rsidRDefault="00572A3A" w:rsidP="002F33D0">
      <w:pPr>
        <w:tabs>
          <w:tab w:val="left" w:pos="851"/>
        </w:tabs>
        <w:spacing w:after="0" w:line="240" w:lineRule="auto"/>
        <w:ind w:firstLine="567"/>
        <w:jc w:val="both"/>
        <w:rPr>
          <w:rFonts w:ascii="Times New Roman" w:hAnsi="Times New Roman" w:cs="Times New Roman"/>
          <w:sz w:val="28"/>
          <w:szCs w:val="28"/>
          <w:lang w:val="kk-KZ"/>
        </w:rPr>
      </w:pPr>
      <w:r w:rsidRPr="004319BF">
        <w:rPr>
          <w:rFonts w:ascii="Times New Roman" w:hAnsi="Times New Roman" w:cs="Times New Roman"/>
          <w:sz w:val="28"/>
          <w:szCs w:val="28"/>
          <w:lang w:val="kk-KZ"/>
        </w:rPr>
        <w:t xml:space="preserve">В рамках настоящего исследования проектирование инновационного потенциала предпринимательских структур понимается как целенаправленный управленческий процесс моделирования, планирования и развития совокупности внутренних ресурсов, компетенций и организационных условий предприятия с учётом внешней институциональной среды и уровня цифровой адаптации, </w:t>
      </w:r>
      <w:r w:rsidRPr="004319BF">
        <w:rPr>
          <w:rFonts w:ascii="Times New Roman" w:hAnsi="Times New Roman" w:cs="Times New Roman"/>
          <w:sz w:val="28"/>
          <w:szCs w:val="28"/>
          <w:lang w:val="kk-KZ"/>
        </w:rPr>
        <w:lastRenderedPageBreak/>
        <w:t>направленный на формирование заданного целевого состояния инновационной готовности и стимулирование инновационной активности в перспективе.</w:t>
      </w:r>
    </w:p>
    <w:p w14:paraId="57242DE4" w14:textId="49D92102" w:rsidR="000246A1" w:rsidRPr="004319BF" w:rsidRDefault="00572A3A" w:rsidP="002F33D0">
      <w:pPr>
        <w:tabs>
          <w:tab w:val="left" w:pos="851"/>
        </w:tabs>
        <w:spacing w:after="0" w:line="240" w:lineRule="auto"/>
        <w:ind w:firstLine="567"/>
        <w:jc w:val="both"/>
        <w:rPr>
          <w:rFonts w:ascii="Times New Roman" w:hAnsi="Times New Roman" w:cs="Times New Roman"/>
          <w:sz w:val="28"/>
          <w:szCs w:val="28"/>
          <w:lang w:val="kk-KZ"/>
        </w:rPr>
      </w:pPr>
      <w:r w:rsidRPr="004319BF">
        <w:rPr>
          <w:rFonts w:ascii="Times New Roman" w:hAnsi="Times New Roman" w:cs="Times New Roman"/>
          <w:sz w:val="28"/>
          <w:szCs w:val="28"/>
          <w:lang w:val="kk-KZ"/>
        </w:rPr>
        <w:t>Таким образом, в условиях ограниченных ресурсов малых и средних предприятий цифровая адаптация выступает не самостоятельной целью, а ключевым процессным механизмом в системе проектирования инновационного потенциала, обеспечивающим поэтапную трансформацию внутренних ресурсов и согласование управленческих решений с требованиями внешней институциональной среды. Именно через цифровую адаптацию проектирование инновационного потенциала приобретает практическую реализуемость и обеспечивает переход от локальных улучшений к системным инновациям.</w:t>
      </w:r>
    </w:p>
    <w:p w14:paraId="7942D87C" w14:textId="31F55792" w:rsidR="001922DD" w:rsidRPr="00CE0BCE" w:rsidRDefault="001922DD"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 xml:space="preserve">Для исследования и развития инновационного потенциала предпринимательских структур, особенно в условиях цифровой адаптации малого и среднего бизнеса, целесообразно использовать интегративный ресурсно-процессный подход, дополненный институциональной и системно-управленческой перспективами. Такое сочетание позволяет комплексно рассматривать инновационный потенциал </w:t>
      </w:r>
      <w:r w:rsidR="009D20AE">
        <w:rPr>
          <w:rFonts w:ascii="Times New Roman" w:hAnsi="Times New Roman" w:cs="Times New Roman"/>
          <w:sz w:val="28"/>
          <w:szCs w:val="28"/>
          <w:lang w:val="kk-KZ"/>
        </w:rPr>
        <w:t>–</w:t>
      </w:r>
      <w:r w:rsidRPr="00CE0BCE">
        <w:rPr>
          <w:rFonts w:ascii="Times New Roman" w:hAnsi="Times New Roman" w:cs="Times New Roman"/>
          <w:sz w:val="28"/>
          <w:szCs w:val="28"/>
          <w:lang w:val="kk-KZ"/>
        </w:rPr>
        <w:t xml:space="preserve"> как совокупность ресурсов, процессов их преобразования и механизмов управления в контексте цифровой экономики.</w:t>
      </w:r>
    </w:p>
    <w:p w14:paraId="5B25B311" w14:textId="77777777" w:rsidR="001922DD" w:rsidRPr="00CE0BCE" w:rsidRDefault="001922DD"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Ресурсный подход рассматривает инновационный потенциал как совокупность кадровых, финансовых, технологических и материально-технических ресурсов, определяющих возможности предприятия к инновационной деятельности. В условиях цифровой адаптации он акцентирует внимание на способности предприятия эффективно использовать цифровые инструменты для управления ресурсами и их трансформации в инновационные результаты.</w:t>
      </w:r>
    </w:p>
    <w:p w14:paraId="2D8C8CFA" w14:textId="6113B81E" w:rsidR="001922DD" w:rsidRPr="00CE0BCE" w:rsidRDefault="001922DD"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 xml:space="preserve">Процессный подход фокусируется на управлении инновационными процессами и их взаимосвязях. Он рассматривает инновационный потенциал не только как состояние, но и как динамику его воспроизводства </w:t>
      </w:r>
      <w:r w:rsidR="009D20AE">
        <w:rPr>
          <w:rFonts w:ascii="Times New Roman" w:hAnsi="Times New Roman" w:cs="Times New Roman"/>
          <w:sz w:val="28"/>
          <w:szCs w:val="28"/>
          <w:lang w:val="kk-KZ"/>
        </w:rPr>
        <w:t>–</w:t>
      </w:r>
      <w:r w:rsidRPr="00CE0BCE">
        <w:rPr>
          <w:rFonts w:ascii="Times New Roman" w:hAnsi="Times New Roman" w:cs="Times New Roman"/>
          <w:sz w:val="28"/>
          <w:szCs w:val="28"/>
          <w:lang w:val="kk-KZ"/>
        </w:rPr>
        <w:t xml:space="preserve"> через организацию, планирование, реализацию и контроль инновационной деятельности. Этот подход позволяет рассматривать проектирование потенциала как непрерывный управляемый процесс, интегрирующий инновационные, цифровые и стратегические решения.</w:t>
      </w:r>
    </w:p>
    <w:p w14:paraId="6DA190F9" w14:textId="15017B81" w:rsidR="001922DD" w:rsidRPr="00CE0BCE" w:rsidRDefault="001922DD"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 xml:space="preserve">Институциональный подход подчеркивает роль нормативно-правовых, культурных и инфраструктурных факторов, определяющих границы и стимулы инновационного развития. В контексте цифровой адаптации он позволяет учитывать влияние внешних условий </w:t>
      </w:r>
      <w:r w:rsidR="009D20AE">
        <w:rPr>
          <w:rFonts w:ascii="Times New Roman" w:hAnsi="Times New Roman" w:cs="Times New Roman"/>
          <w:sz w:val="28"/>
          <w:szCs w:val="28"/>
          <w:lang w:val="kk-KZ"/>
        </w:rPr>
        <w:t>–</w:t>
      </w:r>
      <w:r w:rsidRPr="00CE0BCE">
        <w:rPr>
          <w:rFonts w:ascii="Times New Roman" w:hAnsi="Times New Roman" w:cs="Times New Roman"/>
          <w:sz w:val="28"/>
          <w:szCs w:val="28"/>
          <w:lang w:val="kk-KZ"/>
        </w:rPr>
        <w:t xml:space="preserve"> государственной поддержки, программ цифровизации, уровня цифровой грамотности и взаимодействия с инновационными экосистемами.</w:t>
      </w:r>
    </w:p>
    <w:p w14:paraId="3ADF9A1C" w14:textId="796455E4" w:rsidR="001922DD" w:rsidRDefault="001922DD"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Системно-управленческий подход объединяет все перечисленные перспективы, рассматривая инновационный потенциал как открытую систему, где внутренние ресурсы и процессы находятся во взаимодействии с внешней средой. Он обеспечивает методологическую основу для проектирования инновационного потенциала как управляемой системы, способной к адаптации и саморазвитию в условиях цифровой экономики.</w:t>
      </w:r>
    </w:p>
    <w:p w14:paraId="193FF8A0" w14:textId="527975D9" w:rsidR="00AC1907" w:rsidRDefault="002C00C5" w:rsidP="002F33D0">
      <w:pPr>
        <w:tabs>
          <w:tab w:val="left" w:pos="851"/>
        </w:tabs>
        <w:spacing w:after="0" w:line="240" w:lineRule="auto"/>
        <w:ind w:firstLine="567"/>
        <w:jc w:val="both"/>
        <w:rPr>
          <w:rFonts w:ascii="Times New Roman" w:hAnsi="Times New Roman" w:cs="Times New Roman"/>
          <w:sz w:val="28"/>
          <w:szCs w:val="28"/>
          <w:lang w:val="kk-KZ"/>
        </w:rPr>
      </w:pPr>
      <w:r w:rsidRPr="002C00C5">
        <w:rPr>
          <w:rFonts w:ascii="Times New Roman" w:hAnsi="Times New Roman" w:cs="Times New Roman"/>
          <w:sz w:val="28"/>
          <w:szCs w:val="28"/>
          <w:lang w:val="kk-KZ"/>
        </w:rPr>
        <w:lastRenderedPageBreak/>
        <w:t xml:space="preserve">Методологическая логика проектирования инновационного потенциала предпринимательских структур в условиях цифровой адаптации представлена на рисунке </w:t>
      </w:r>
      <w:r>
        <w:rPr>
          <w:rFonts w:ascii="Times New Roman" w:hAnsi="Times New Roman" w:cs="Times New Roman"/>
          <w:sz w:val="28"/>
          <w:szCs w:val="28"/>
          <w:lang w:val="kk-KZ"/>
        </w:rPr>
        <w:t>2</w:t>
      </w:r>
      <w:r w:rsidRPr="002C00C5">
        <w:rPr>
          <w:rFonts w:ascii="Times New Roman" w:hAnsi="Times New Roman" w:cs="Times New Roman"/>
          <w:sz w:val="28"/>
          <w:szCs w:val="28"/>
          <w:lang w:val="kk-KZ"/>
        </w:rPr>
        <w:t>, отражающем интеграцию ресурсного, процессного, институционального и системно-управленческого подходов</w:t>
      </w:r>
      <w:r w:rsidR="00AC1907" w:rsidRPr="00AC1907">
        <w:rPr>
          <w:rFonts w:ascii="Times New Roman" w:hAnsi="Times New Roman" w:cs="Times New Roman"/>
          <w:sz w:val="28"/>
          <w:szCs w:val="28"/>
          <w:lang w:val="kk-KZ"/>
        </w:rPr>
        <w:t>.</w:t>
      </w:r>
    </w:p>
    <w:p w14:paraId="73EED867" w14:textId="69ECA0EB" w:rsidR="00AC1907" w:rsidRDefault="00AC1907" w:rsidP="002F33D0">
      <w:pPr>
        <w:tabs>
          <w:tab w:val="left" w:pos="851"/>
        </w:tabs>
        <w:spacing w:after="0" w:line="240" w:lineRule="auto"/>
        <w:ind w:firstLine="567"/>
        <w:jc w:val="both"/>
        <w:rPr>
          <w:rFonts w:ascii="Times New Roman" w:hAnsi="Times New Roman" w:cs="Times New Roman"/>
          <w:sz w:val="28"/>
          <w:szCs w:val="28"/>
          <w:lang w:val="kk-KZ"/>
        </w:rPr>
      </w:pPr>
    </w:p>
    <w:p w14:paraId="35E6527B" w14:textId="0DB2231A" w:rsidR="00AC1907" w:rsidRDefault="002C00C5" w:rsidP="002F33D0">
      <w:pPr>
        <w:tabs>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6E70D3BB" wp14:editId="14BF610D">
                <wp:simplePos x="0" y="0"/>
                <wp:positionH relativeFrom="column">
                  <wp:posOffset>2175510</wp:posOffset>
                </wp:positionH>
                <wp:positionV relativeFrom="paragraph">
                  <wp:posOffset>1043247</wp:posOffset>
                </wp:positionV>
                <wp:extent cx="1856509" cy="2556164"/>
                <wp:effectExtent l="0" t="0" r="10795" b="15875"/>
                <wp:wrapNone/>
                <wp:docPr id="136" name="Скругленный прямоугольник 136"/>
                <wp:cNvGraphicFramePr/>
                <a:graphic xmlns:a="http://schemas.openxmlformats.org/drawingml/2006/main">
                  <a:graphicData uri="http://schemas.microsoft.com/office/word/2010/wordprocessingShape">
                    <wps:wsp>
                      <wps:cNvSpPr/>
                      <wps:spPr>
                        <a:xfrm>
                          <a:off x="0" y="0"/>
                          <a:ext cx="1856509" cy="2556164"/>
                        </a:xfrm>
                        <a:prstGeom prst="roundRect">
                          <a:avLst/>
                        </a:prstGeom>
                        <a:noFill/>
                        <a:ln w="19050" cap="flat" cmpd="sng" algn="ctr">
                          <a:solidFill>
                            <a:schemeClr val="accent2">
                              <a:lumMod val="60000"/>
                              <a:lumOff val="40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C10B51D" id="Скругленный прямоугольник 136" o:spid="_x0000_s1026" style="position:absolute;margin-left:171.3pt;margin-top:82.15pt;width:146.2pt;height:201.25pt;z-index:251684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C5AIQMAAHwGAAAOAAAAZHJzL2Uyb0RvYy54bWysVctuEzEU3SPxD9bsaR4koY2aVFFLEVJp&#10;q7aoa8fjSUZ4bGM7TcIKiSVIfAPfgJCgpeUXJn/EsT1JSmFBEVk41/fpe+5jtndmhSAX3NhcyV7S&#10;2KgnhEum0lyOesnLs/1HmwmxjsqUCiV5L5lzm+z0Hz7Ynuoub6qxEik3BE6k7U51Lxk7p7u1mmVj&#10;XlC7oTSXEGbKFNThaka11NApvBei1qzXO7WpMqk2inFrwd2LwqQf/GcZZ+4oyyx3RPQSvM2F04Rz&#10;6M9af5t2R4bqcc6qZ9B/eEVBc4mgK1d71FEyMflvroqcGWVV5jaYKmoqy3LGQw7IplG/k83pmGoe&#10;cgE4Vq9gsv/PLTu8ODYkT1G7x52ESFqgSOWn8nLxdvGu/FxelV/K6/J68b78RsofYH4sv5c3QXRT&#10;Xi0+QPi1vCTeGFBOte3C46k+NtXNgvS4zDJT+H9kTGYB/vkKfj5zhIHZ2Gx32vWthDDImu12p9Fp&#10;ea+1tbk21j3jqiCe6CVGTWR6giIH7OnFgXVRf6nnQ0q1nwsBPu0KSaaIs1VvoxcYRb9lgjqQhQYC&#10;Vo4SQsUIjcycCS6tEnnqzb11aEq+Kwy5oGgnyhiXrhn0xKR4odLI79Txi40FNtovsltLNtJZeQrJ&#10;/RLEv3yP2nE0SkFFVyHVkMSY0/SpTImba9RKYqwSn1XB04QIjsd7Kmg6mou/0cSLhMRTfPliwQLl&#10;5oJH1E54hh4JdYtAmNHQ4xAHCZMOOJfjFJzBwCtmQO6etpWJt+Zhfu9pvzIK8ZV0K/sil6qqqt8u&#10;60KmrxpVm2VRfwlFBMBjMVTpHHNiVFwgVrP9HIU6oNYdU4ONAQCwBd0RjkwolENVVELGyrz5E9/r&#10;Y5AhRf2wgdCAryfUoJriucSIbzVaLb+ywqXVftLExdyWDG9L5KTYVejKBvatZoH0+k4sycyo4hzL&#10;cuCjQkQlQ+zY6tVl18WCYt0yPhgENawpTd2BPNXMO/eo+hY9m51To6sxdJjgQ7XcVrR7ZxCjrreU&#10;ajBxKsvDlK5xrfDGigvzUK1jv0Nv34PW+qPR/wkAAP//AwBQSwMEFAAGAAgAAAAhAHfdJqfgAAAA&#10;CwEAAA8AAABkcnMvZG93bnJldi54bWxMj8tOwzAQRfdI/IM1SOyoQ9JabYhTAaIrhAqh6tqJp0lE&#10;bEex8+DvGVawHN2jO+dm+8V0bMLBt85KuF9FwNBWTre2lnD6PNxtgfmgrFadsyjhGz3s8+urTKXa&#10;zfYDpyLUjEqsT5WEJoQ+5dxXDRrlV65HS9nFDUYFOoea60HNVG46HkeR4Ea1lj40qsfnBquvYjQS&#10;jtHLWzy+TvO5Oxe7g3iqsby8S3l7szw+AAu4hD8YfvVJHXJyKt1otWedhGQdC0IpEOsEGBEi2dC6&#10;UsJGiC3wPOP/N+Q/AAAA//8DAFBLAQItABQABgAIAAAAIQC2gziS/gAAAOEBAAATAAAAAAAAAAAA&#10;AAAAAAAAAABbQ29udGVudF9UeXBlc10ueG1sUEsBAi0AFAAGAAgAAAAhADj9If/WAAAAlAEAAAsA&#10;AAAAAAAAAAAAAAAALwEAAF9yZWxzLy5yZWxzUEsBAi0AFAAGAAgAAAAhAA1MLkAhAwAAfAYAAA4A&#10;AAAAAAAAAAAAAAAALgIAAGRycy9lMm9Eb2MueG1sUEsBAi0AFAAGAAgAAAAhAHfdJqfgAAAACwEA&#10;AA8AAAAAAAAAAAAAAAAAewUAAGRycy9kb3ducmV2LnhtbFBLBQYAAAAABAAEAPMAAACIBgAAAAA=&#10;" filled="f" strokecolor="#f4b083 [1941]" strokeweight="1.5pt">
                <v:stroke dashstyle="dash"/>
              </v:roundrect>
            </w:pict>
          </mc:Fallback>
        </mc:AlternateContent>
      </w:r>
      <w:r w:rsidR="00D42636">
        <w:rPr>
          <w:rFonts w:ascii="Times New Roman" w:hAnsi="Times New Roman" w:cs="Times New Roman"/>
          <w:noProof/>
          <w:sz w:val="28"/>
          <w:szCs w:val="28"/>
          <w:lang w:eastAsia="ru-RU"/>
        </w:rPr>
        <w:drawing>
          <wp:inline distT="0" distB="0" distL="0" distR="0" wp14:anchorId="2CB47097" wp14:editId="7CE905E5">
            <wp:extent cx="5486400" cy="3200400"/>
            <wp:effectExtent l="0" t="0" r="38100" b="19050"/>
            <wp:docPr id="127" name="Схема 1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41E74142" w14:textId="05F963C8" w:rsidR="00AC1907" w:rsidRDefault="002C00C5" w:rsidP="002F33D0">
      <w:pPr>
        <w:tabs>
          <w:tab w:val="left" w:pos="851"/>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14:anchorId="331250B0" wp14:editId="5EB9AC0E">
                <wp:simplePos x="0" y="0"/>
                <wp:positionH relativeFrom="column">
                  <wp:posOffset>1135380</wp:posOffset>
                </wp:positionH>
                <wp:positionV relativeFrom="paragraph">
                  <wp:posOffset>41217</wp:posOffset>
                </wp:positionV>
                <wp:extent cx="3941271" cy="353290"/>
                <wp:effectExtent l="0" t="0" r="21590" b="27940"/>
                <wp:wrapNone/>
                <wp:docPr id="129" name="Надпись 129"/>
                <wp:cNvGraphicFramePr/>
                <a:graphic xmlns:a="http://schemas.openxmlformats.org/drawingml/2006/main">
                  <a:graphicData uri="http://schemas.microsoft.com/office/word/2010/wordprocessingShape">
                    <wps:wsp>
                      <wps:cNvSpPr txBox="1"/>
                      <wps:spPr>
                        <a:xfrm>
                          <a:off x="0" y="0"/>
                          <a:ext cx="3941271" cy="353290"/>
                        </a:xfrm>
                        <a:prstGeom prst="roundRect">
                          <a:avLst/>
                        </a:prstGeom>
                        <a:solidFill>
                          <a:schemeClr val="accent2">
                            <a:lumMod val="40000"/>
                            <a:lumOff val="60000"/>
                          </a:schemeClr>
                        </a:solidFill>
                        <a:ln w="6350">
                          <a:solidFill>
                            <a:prstClr val="black"/>
                          </a:solidFill>
                        </a:ln>
                      </wps:spPr>
                      <wps:txbx>
                        <w:txbxContent>
                          <w:p w14:paraId="49FE3788" w14:textId="28B388B7" w:rsidR="001D4931" w:rsidRPr="002C00C5" w:rsidRDefault="001D4931" w:rsidP="002C00C5">
                            <w:pPr>
                              <w:jc w:val="center"/>
                              <w:rPr>
                                <w:rFonts w:ascii="Times New Roman" w:hAnsi="Times New Roman" w:cs="Times New Roman"/>
                              </w:rPr>
                            </w:pPr>
                            <w:r w:rsidRPr="002C00C5">
                              <w:rPr>
                                <w:rFonts w:ascii="Times New Roman" w:hAnsi="Times New Roman" w:cs="Times New Roman"/>
                              </w:rPr>
                              <w:t>Цифровая ад</w:t>
                            </w:r>
                            <w:r>
                              <w:rPr>
                                <w:rFonts w:ascii="Times New Roman" w:hAnsi="Times New Roman" w:cs="Times New Roman"/>
                              </w:rPr>
                              <w:t xml:space="preserve">аптация </w:t>
                            </w:r>
                            <w:r>
                              <w:rPr>
                                <w:rFonts w:ascii="Times New Roman" w:hAnsi="Times New Roman" w:cs="Times New Roman"/>
                                <w:lang w:val="kk-KZ"/>
                              </w:rPr>
                              <w:t>–</w:t>
                            </w:r>
                            <w:r w:rsidRPr="002C00C5">
                              <w:rPr>
                                <w:rFonts w:ascii="Times New Roman" w:hAnsi="Times New Roman" w:cs="Times New Roman"/>
                              </w:rPr>
                              <w:t xml:space="preserve"> сквозной процессный механизм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1250B0" id="Надпись 129" o:spid="_x0000_s1028" style="position:absolute;left:0;text-align:left;margin-left:89.4pt;margin-top:3.25pt;width:310.35pt;height:27.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1rjAIAAPYEAAAOAAAAZHJzL2Uyb0RvYy54bWysVMtuEzEU3SPxD5b3dJJJWkjUSRVaFSGV&#10;tqJFXTseTzPC42tsp5myY88v8A8sWLDjF9I/4tiTpA9YIbJwfB++j3PPnf2DttHsRjlfkyl4f6fH&#10;mTKSytpcF/zD5fGLV5z5IEwpNBlV8Fvl+cHk+bP9pR2rnOakS+UYghg/XtqCz0Ow4yzzcq4a4XfI&#10;KgNjRa4RAaK7zkonloje6Czv9fayJbnSOpLKe2iPOiOfpPhVpWQ4qyqvAtMFR20hnS6ds3hmk30x&#10;vnbCzmu5LkP8QxWNqA2SbkMdiSDYwtV/hGpq6chTFXYkNRlVVS1V6gHd9HtPurmYC6tSLwDH2y1M&#10;/v+Flac3547VJWaXjzgzosGQVt9W31c/Vr9WP+++3H1l0QKcltaP4X5h8SC0r6nFm43eQxnbbyvX&#10;xH80xmAH4rdblFUbmIRyMBr285d9ziRsg91BPkpjyO5fW+fDG0UNi5eCO1qY8j1GmRAWNyc+oBz4&#10;b/xiRk+6Lo9rrZMQ6aMOtWM3AoMXUioT8vRcL5p3VHb6YQ+/jgJQgyidem+jRopExBgpJXyURBu2&#10;LPjeYLeXAj+yxcq26WdayI8xTYx3XyYkbaCMuHb4xVtoZ22aR77BdkblLSB31JHXW3lcI/yJ8OFc&#10;OLAVKGMDwxmOShNqovWNszm5z3/TR3+QCFbOlmB/wf2nhXCKM/3WgF6j/nAY1yUJw92XOQT30DJ7&#10;aDGL5pCAM2aK6tI1+ge9uVaOmiss6jRmhUkYidwFD5vrYeh2Eosu1XSanLAgVoQTc2FlDB3nGmG9&#10;bK+Es2tqBJDqlDZ7IsZPyNH5xpeGpotAVZ2YE3HuUF3Dj+VK01l/COL2PpST1/3navIbAAD//wMA&#10;UEsDBBQABgAIAAAAIQCplQ5u3QAAAAgBAAAPAAAAZHJzL2Rvd25yZXYueG1sTI/BasMwDIbvg72D&#10;UWG31WlgbZrFKWVjsFOh6Rjs5sZqEhLLJnba7O2nnbabPn7x61Oxm+0grjiGzpGC1TIBgVQ701Gj&#10;4OP09piBCFGT0YMjVPCNAXbl/V2hc+NudMRrFRvBJRRyraCN0edShrpFq8PSeSTOLm60OjKOjTSj&#10;vnG5HWSaJGtpdUd8odUeX1qs+2qyCk7N4TDtq+zr+Oo+/XuW9j7pE6UeFvP+GUTEOf4tw68+q0PJ&#10;Tmc3kQliYN5krB4VrJ9AcL7Zbnk4M6crkGUh/z9Q/gAAAP//AwBQSwECLQAUAAYACAAAACEAtoM4&#10;kv4AAADhAQAAEwAAAAAAAAAAAAAAAAAAAAAAW0NvbnRlbnRfVHlwZXNdLnhtbFBLAQItABQABgAI&#10;AAAAIQA4/SH/1gAAAJQBAAALAAAAAAAAAAAAAAAAAC8BAABfcmVscy8ucmVsc1BLAQItABQABgAI&#10;AAAAIQBr/W1rjAIAAPYEAAAOAAAAAAAAAAAAAAAAAC4CAABkcnMvZTJvRG9jLnhtbFBLAQItABQA&#10;BgAIAAAAIQCplQ5u3QAAAAgBAAAPAAAAAAAAAAAAAAAAAOYEAABkcnMvZG93bnJldi54bWxQSwUG&#10;AAAAAAQABADzAAAA8AUAAAAA&#10;" fillcolor="#f7caac [1301]" strokeweight=".5pt">
                <v:textbox>
                  <w:txbxContent>
                    <w:p w14:paraId="49FE3788" w14:textId="28B388B7" w:rsidR="001D4931" w:rsidRPr="002C00C5" w:rsidRDefault="001D4931" w:rsidP="002C00C5">
                      <w:pPr>
                        <w:jc w:val="center"/>
                        <w:rPr>
                          <w:rFonts w:ascii="Times New Roman" w:hAnsi="Times New Roman" w:cs="Times New Roman"/>
                        </w:rPr>
                      </w:pPr>
                      <w:r w:rsidRPr="002C00C5">
                        <w:rPr>
                          <w:rFonts w:ascii="Times New Roman" w:hAnsi="Times New Roman" w:cs="Times New Roman"/>
                        </w:rPr>
                        <w:t>Цифровая ад</w:t>
                      </w:r>
                      <w:r>
                        <w:rPr>
                          <w:rFonts w:ascii="Times New Roman" w:hAnsi="Times New Roman" w:cs="Times New Roman"/>
                        </w:rPr>
                        <w:t xml:space="preserve">аптация </w:t>
                      </w:r>
                      <w:r>
                        <w:rPr>
                          <w:rFonts w:ascii="Times New Roman" w:hAnsi="Times New Roman" w:cs="Times New Roman"/>
                          <w:lang w:val="kk-KZ"/>
                        </w:rPr>
                        <w:t>–</w:t>
                      </w:r>
                      <w:r w:rsidRPr="002C00C5">
                        <w:rPr>
                          <w:rFonts w:ascii="Times New Roman" w:hAnsi="Times New Roman" w:cs="Times New Roman"/>
                        </w:rPr>
                        <w:t xml:space="preserve"> сквозной процессный механизм</w:t>
                      </w:r>
                    </w:p>
                  </w:txbxContent>
                </v:textbox>
              </v:roundrect>
            </w:pict>
          </mc:Fallback>
        </mc:AlternateContent>
      </w:r>
    </w:p>
    <w:p w14:paraId="206B7553" w14:textId="0815C53D" w:rsidR="00AC1907" w:rsidRDefault="00AC1907" w:rsidP="002F33D0">
      <w:pPr>
        <w:tabs>
          <w:tab w:val="left" w:pos="851"/>
        </w:tabs>
        <w:spacing w:after="0" w:line="240" w:lineRule="auto"/>
        <w:ind w:firstLine="567"/>
        <w:jc w:val="both"/>
        <w:rPr>
          <w:rFonts w:ascii="Times New Roman" w:hAnsi="Times New Roman" w:cs="Times New Roman"/>
          <w:sz w:val="28"/>
          <w:szCs w:val="28"/>
          <w:lang w:val="kk-KZ"/>
        </w:rPr>
      </w:pPr>
    </w:p>
    <w:p w14:paraId="463C5874" w14:textId="7A44E208" w:rsidR="00AC1907" w:rsidRDefault="00AC1907" w:rsidP="002F33D0">
      <w:pPr>
        <w:tabs>
          <w:tab w:val="left" w:pos="851"/>
        </w:tabs>
        <w:spacing w:after="0" w:line="240" w:lineRule="auto"/>
        <w:ind w:firstLine="567"/>
        <w:jc w:val="both"/>
        <w:rPr>
          <w:rFonts w:ascii="Times New Roman" w:hAnsi="Times New Roman" w:cs="Times New Roman"/>
          <w:sz w:val="28"/>
          <w:szCs w:val="28"/>
          <w:lang w:val="kk-KZ"/>
        </w:rPr>
      </w:pPr>
    </w:p>
    <w:p w14:paraId="51763DB4" w14:textId="0B57F445" w:rsidR="002C00C5" w:rsidRDefault="002C00C5" w:rsidP="002C00C5">
      <w:pPr>
        <w:tabs>
          <w:tab w:val="left" w:pos="851"/>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Рисунок 2 – </w:t>
      </w:r>
      <w:r w:rsidRPr="002C00C5">
        <w:rPr>
          <w:rFonts w:ascii="Times New Roman" w:hAnsi="Times New Roman" w:cs="Times New Roman"/>
          <w:sz w:val="28"/>
          <w:szCs w:val="28"/>
          <w:lang w:val="kk-KZ"/>
        </w:rPr>
        <w:t>Интегративная методологическая схема проектирования инновационного потенциала</w:t>
      </w:r>
    </w:p>
    <w:p w14:paraId="380FEAA6" w14:textId="77777777" w:rsidR="00A40C4F" w:rsidRDefault="00A40C4F" w:rsidP="002F33D0">
      <w:pPr>
        <w:tabs>
          <w:tab w:val="left" w:pos="851"/>
        </w:tabs>
        <w:spacing w:after="0" w:line="240" w:lineRule="auto"/>
        <w:ind w:firstLine="567"/>
        <w:jc w:val="both"/>
        <w:rPr>
          <w:rFonts w:ascii="Times New Roman" w:hAnsi="Times New Roman" w:cs="Times New Roman"/>
          <w:sz w:val="24"/>
          <w:szCs w:val="28"/>
          <w:lang w:val="kk-KZ"/>
        </w:rPr>
      </w:pPr>
    </w:p>
    <w:p w14:paraId="3FA05580" w14:textId="19930412" w:rsidR="00AC1907" w:rsidRPr="00A40C4F" w:rsidRDefault="00A40C4F" w:rsidP="002F33D0">
      <w:pPr>
        <w:tabs>
          <w:tab w:val="left" w:pos="851"/>
        </w:tabs>
        <w:spacing w:after="0" w:line="240" w:lineRule="auto"/>
        <w:ind w:firstLine="567"/>
        <w:jc w:val="both"/>
        <w:rPr>
          <w:rFonts w:ascii="Times New Roman" w:hAnsi="Times New Roman" w:cs="Times New Roman"/>
          <w:sz w:val="24"/>
          <w:szCs w:val="28"/>
          <w:lang w:val="kk-KZ"/>
        </w:rPr>
      </w:pPr>
      <w:r w:rsidRPr="00A40C4F">
        <w:rPr>
          <w:rFonts w:ascii="Times New Roman" w:hAnsi="Times New Roman" w:cs="Times New Roman"/>
          <w:sz w:val="24"/>
          <w:szCs w:val="28"/>
          <w:lang w:val="kk-KZ"/>
        </w:rPr>
        <w:t>Примечание – Составлено автором</w:t>
      </w:r>
    </w:p>
    <w:p w14:paraId="7C6ED353" w14:textId="77777777" w:rsidR="00A40C4F" w:rsidRDefault="00A40C4F" w:rsidP="002F33D0">
      <w:pPr>
        <w:tabs>
          <w:tab w:val="left" w:pos="851"/>
        </w:tabs>
        <w:spacing w:after="0" w:line="240" w:lineRule="auto"/>
        <w:ind w:firstLine="567"/>
        <w:jc w:val="both"/>
        <w:rPr>
          <w:rFonts w:ascii="Times New Roman" w:hAnsi="Times New Roman" w:cs="Times New Roman"/>
          <w:sz w:val="28"/>
          <w:szCs w:val="28"/>
          <w:lang w:val="kk-KZ"/>
        </w:rPr>
      </w:pPr>
    </w:p>
    <w:p w14:paraId="34E8DE9D" w14:textId="30D87E37" w:rsidR="000246A1" w:rsidRPr="00CE0BCE" w:rsidRDefault="001922DD"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 xml:space="preserve">Таким образом, предложенная методологическая рамка </w:t>
      </w:r>
      <w:r w:rsidR="009D20AE">
        <w:rPr>
          <w:rFonts w:ascii="Times New Roman" w:hAnsi="Times New Roman" w:cs="Times New Roman"/>
          <w:sz w:val="28"/>
          <w:szCs w:val="28"/>
          <w:lang w:val="kk-KZ"/>
        </w:rPr>
        <w:t>–</w:t>
      </w:r>
      <w:r w:rsidRPr="00CE0BCE">
        <w:rPr>
          <w:rFonts w:ascii="Times New Roman" w:hAnsi="Times New Roman" w:cs="Times New Roman"/>
          <w:sz w:val="28"/>
          <w:szCs w:val="28"/>
          <w:lang w:val="kk-KZ"/>
        </w:rPr>
        <w:t xml:space="preserve"> ресурсно-процессная с институциональным и системно-управленческим дополнением </w:t>
      </w:r>
      <w:r w:rsidR="009D20AE">
        <w:rPr>
          <w:rFonts w:ascii="Times New Roman" w:hAnsi="Times New Roman" w:cs="Times New Roman"/>
          <w:sz w:val="28"/>
          <w:szCs w:val="28"/>
          <w:lang w:val="kk-KZ"/>
        </w:rPr>
        <w:t>–</w:t>
      </w:r>
      <w:r w:rsidRPr="00CE0BCE">
        <w:rPr>
          <w:rFonts w:ascii="Times New Roman" w:hAnsi="Times New Roman" w:cs="Times New Roman"/>
          <w:sz w:val="28"/>
          <w:szCs w:val="28"/>
          <w:lang w:val="kk-KZ"/>
        </w:rPr>
        <w:t xml:space="preserve"> обеспечивает научную преемственность между теоретическим осмыслением, аналитическим исследованием и проектными решениями.</w:t>
      </w:r>
    </w:p>
    <w:p w14:paraId="25018D0E" w14:textId="3D1627C0" w:rsidR="001922DD" w:rsidRPr="00CE0BCE" w:rsidRDefault="001922DD" w:rsidP="002F33D0">
      <w:pPr>
        <w:tabs>
          <w:tab w:val="left" w:pos="851"/>
        </w:tabs>
        <w:spacing w:after="0" w:line="240" w:lineRule="auto"/>
        <w:ind w:firstLine="567"/>
        <w:jc w:val="both"/>
        <w:rPr>
          <w:rFonts w:ascii="Times New Roman" w:hAnsi="Times New Roman" w:cs="Times New Roman"/>
          <w:b/>
          <w:sz w:val="28"/>
          <w:szCs w:val="28"/>
          <w:lang w:val="kk-KZ"/>
        </w:rPr>
      </w:pPr>
      <w:r w:rsidRPr="00CE0BCE">
        <w:rPr>
          <w:rFonts w:ascii="Times New Roman" w:hAnsi="Times New Roman" w:cs="Times New Roman"/>
          <w:b/>
          <w:sz w:val="28"/>
          <w:szCs w:val="28"/>
          <w:lang w:val="kk-KZ"/>
        </w:rPr>
        <w:t>Выводы по разделу 1.1</w:t>
      </w:r>
    </w:p>
    <w:p w14:paraId="0882B255" w14:textId="77777777" w:rsidR="001922DD" w:rsidRPr="00CE0BCE" w:rsidRDefault="001922DD"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Проведённый теоретико-методологический анализ позволил концептуально уточнить предмет исследования и задать рамку для дальнейшей эмпирики и проектных решений. Во-первых, уточнена трактовка предпринимательских структур как экономических единиц, обладающих автономией, институциональной легитимностью и способностью к стратегической адаптации за счёт использования и проектирования инновационного потенциала. Во-вторых, разведены категории «инновационный потенциал» (как совокупность внутренних возможностей и условий) и «инновационная активность» (как их динамическая реализация в действиях и результатах), что снимает терминологическую неопределённость и снижает риск методологических подмен на последующих этапах анализа.</w:t>
      </w:r>
    </w:p>
    <w:p w14:paraId="34B21EB7" w14:textId="04A73126" w:rsidR="001922DD" w:rsidRPr="00CE0BCE" w:rsidRDefault="001922DD"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lastRenderedPageBreak/>
        <w:t xml:space="preserve">Авторски обновлена структурно-компонентная модель инновационного потенциала: выделены шесть согласованных составляющих </w:t>
      </w:r>
      <w:r w:rsidR="009D20AE">
        <w:rPr>
          <w:rFonts w:ascii="Times New Roman" w:hAnsi="Times New Roman" w:cs="Times New Roman"/>
          <w:sz w:val="28"/>
          <w:szCs w:val="28"/>
          <w:lang w:val="kk-KZ"/>
        </w:rPr>
        <w:t>–</w:t>
      </w:r>
      <w:r w:rsidRPr="00CE0BCE">
        <w:rPr>
          <w:rFonts w:ascii="Times New Roman" w:hAnsi="Times New Roman" w:cs="Times New Roman"/>
          <w:sz w:val="28"/>
          <w:szCs w:val="28"/>
          <w:lang w:val="kk-KZ"/>
        </w:rPr>
        <w:t xml:space="preserve"> управленческо-инновационные ресурсы; технологические и материально-сырьевые ресурсы; финансовые ресурсы и инструменты; человеческий капитал и компетенции; инновационная культура; институциональная среда и цифровая адаптация. Предложено принципиальное разграничение внутренних элементов (ресурсы, компетенции, культура) и внешних условий (институты и цифровая среда), а также показаны их функциональные взаимосвязи. </w:t>
      </w:r>
    </w:p>
    <w:p w14:paraId="314143F3" w14:textId="3D140261" w:rsidR="001922DD" w:rsidRPr="00CE0BCE" w:rsidRDefault="001922DD"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 xml:space="preserve">Ключевым методологическим результатом параграфа является введение и обоснование категории «цифровая адаптация» как сквозного фактора и медиатора для </w:t>
      </w:r>
      <w:r w:rsidR="00C808CB">
        <w:rPr>
          <w:rFonts w:ascii="Times New Roman" w:hAnsi="Times New Roman" w:cs="Times New Roman"/>
          <w:sz w:val="28"/>
          <w:szCs w:val="28"/>
          <w:lang w:val="kk-KZ"/>
        </w:rPr>
        <w:t>МСП</w:t>
      </w:r>
      <w:r w:rsidRPr="00CE0BCE">
        <w:rPr>
          <w:rFonts w:ascii="Times New Roman" w:hAnsi="Times New Roman" w:cs="Times New Roman"/>
          <w:sz w:val="28"/>
          <w:szCs w:val="28"/>
          <w:lang w:val="kk-KZ"/>
        </w:rPr>
        <w:t>: она связывает внутренние компоненты потенциала с внешней институционально-цифровой средой и задаёт реалистичную траекторию «поэтапного» обновления бизнес-процессов. Показано, что для малых предприятий цифровая адаптация выступает механизмом трансформации ресурсной базы в инновационные результаты при ограничениях по финансам и кадрам.</w:t>
      </w:r>
    </w:p>
    <w:p w14:paraId="236D6374" w14:textId="462BECF0" w:rsidR="001922DD" w:rsidRPr="00CE0BCE" w:rsidRDefault="001922DD"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 xml:space="preserve">В качестве методологической основы обоснована интегративная ресурсно-процессная рамка, дополненная институциональной и системно-управленческой перспективами: ресурсный подход отвечает на вопрос «чем располагает предприятие», процессный </w:t>
      </w:r>
      <w:r w:rsidR="009D20AE">
        <w:rPr>
          <w:rFonts w:ascii="Times New Roman" w:hAnsi="Times New Roman" w:cs="Times New Roman"/>
          <w:sz w:val="28"/>
          <w:szCs w:val="28"/>
          <w:lang w:val="kk-KZ"/>
        </w:rPr>
        <w:t>–</w:t>
      </w:r>
      <w:r w:rsidRPr="00CE0BCE">
        <w:rPr>
          <w:rFonts w:ascii="Times New Roman" w:hAnsi="Times New Roman" w:cs="Times New Roman"/>
          <w:sz w:val="28"/>
          <w:szCs w:val="28"/>
          <w:lang w:val="kk-KZ"/>
        </w:rPr>
        <w:t xml:space="preserve"> «как это преобразуется в инновации», институциональный </w:t>
      </w:r>
      <w:r w:rsidR="009D20AE">
        <w:rPr>
          <w:rFonts w:ascii="Times New Roman" w:hAnsi="Times New Roman" w:cs="Times New Roman"/>
          <w:sz w:val="28"/>
          <w:szCs w:val="28"/>
          <w:lang w:val="kk-KZ"/>
        </w:rPr>
        <w:t>–</w:t>
      </w:r>
      <w:r w:rsidRPr="00CE0BCE">
        <w:rPr>
          <w:rFonts w:ascii="Times New Roman" w:hAnsi="Times New Roman" w:cs="Times New Roman"/>
          <w:sz w:val="28"/>
          <w:szCs w:val="28"/>
          <w:lang w:val="kk-KZ"/>
        </w:rPr>
        <w:t xml:space="preserve"> «в каких условиях это возможно», системно-управленческий </w:t>
      </w:r>
      <w:r w:rsidR="009D20AE">
        <w:rPr>
          <w:rFonts w:ascii="Times New Roman" w:hAnsi="Times New Roman" w:cs="Times New Roman"/>
          <w:sz w:val="28"/>
          <w:szCs w:val="28"/>
          <w:lang w:val="kk-KZ"/>
        </w:rPr>
        <w:t>–</w:t>
      </w:r>
      <w:r w:rsidRPr="00CE0BCE">
        <w:rPr>
          <w:rFonts w:ascii="Times New Roman" w:hAnsi="Times New Roman" w:cs="Times New Roman"/>
          <w:sz w:val="28"/>
          <w:szCs w:val="28"/>
          <w:lang w:val="kk-KZ"/>
        </w:rPr>
        <w:t xml:space="preserve"> «как организовать взаимодействие элементов». Такая рамка обеспечивает преемственность между теорией, эмпирической проверкой и проектными решениями.</w:t>
      </w:r>
    </w:p>
    <w:p w14:paraId="527AC71F" w14:textId="2A62EBE4" w:rsidR="001922DD" w:rsidRPr="001922DD" w:rsidRDefault="001922DD" w:rsidP="002F33D0">
      <w:pPr>
        <w:tabs>
          <w:tab w:val="left" w:pos="851"/>
        </w:tabs>
        <w:spacing w:after="0" w:line="240" w:lineRule="auto"/>
        <w:ind w:firstLine="567"/>
        <w:jc w:val="both"/>
        <w:rPr>
          <w:rFonts w:ascii="Times New Roman" w:hAnsi="Times New Roman" w:cs="Times New Roman"/>
          <w:sz w:val="28"/>
          <w:szCs w:val="28"/>
          <w:lang w:val="kk-KZ"/>
        </w:rPr>
      </w:pPr>
      <w:r w:rsidRPr="00CE0BCE">
        <w:rPr>
          <w:rFonts w:ascii="Times New Roman" w:hAnsi="Times New Roman" w:cs="Times New Roman"/>
          <w:sz w:val="28"/>
          <w:szCs w:val="28"/>
          <w:lang w:val="kk-KZ"/>
        </w:rPr>
        <w:t>Сформулированы операциональные ориен</w:t>
      </w:r>
      <w:r w:rsidR="00460483">
        <w:rPr>
          <w:rFonts w:ascii="Times New Roman" w:hAnsi="Times New Roman" w:cs="Times New Roman"/>
          <w:sz w:val="28"/>
          <w:szCs w:val="28"/>
          <w:lang w:val="kk-KZ"/>
        </w:rPr>
        <w:t xml:space="preserve">тиры для последующего анализа: </w:t>
      </w:r>
      <w:r w:rsidRPr="00CE0BCE">
        <w:rPr>
          <w:rFonts w:ascii="Times New Roman" w:hAnsi="Times New Roman" w:cs="Times New Roman"/>
          <w:sz w:val="28"/>
          <w:szCs w:val="28"/>
          <w:lang w:val="kk-KZ"/>
        </w:rPr>
        <w:t>внутренние составляющие (управление, технологии/материалы, финансы, человеческий капитал, культура) выступают детерминантами уро</w:t>
      </w:r>
      <w:r w:rsidR="00460483">
        <w:rPr>
          <w:rFonts w:ascii="Times New Roman" w:hAnsi="Times New Roman" w:cs="Times New Roman"/>
          <w:sz w:val="28"/>
          <w:szCs w:val="28"/>
          <w:lang w:val="kk-KZ"/>
        </w:rPr>
        <w:t>вня инновационного потенциала;</w:t>
      </w:r>
      <w:r w:rsidR="00460483" w:rsidRPr="00460483">
        <w:rPr>
          <w:rFonts w:ascii="Times New Roman" w:hAnsi="Times New Roman" w:cs="Times New Roman"/>
          <w:sz w:val="28"/>
          <w:szCs w:val="28"/>
        </w:rPr>
        <w:t xml:space="preserve"> </w:t>
      </w:r>
      <w:r w:rsidRPr="00CE0BCE">
        <w:rPr>
          <w:rFonts w:ascii="Times New Roman" w:hAnsi="Times New Roman" w:cs="Times New Roman"/>
          <w:sz w:val="28"/>
          <w:szCs w:val="28"/>
          <w:lang w:val="kk-KZ"/>
        </w:rPr>
        <w:t>цифровая адаптация медиирует влияние внутренних компонент</w:t>
      </w:r>
      <w:r w:rsidR="00460483">
        <w:rPr>
          <w:rFonts w:ascii="Times New Roman" w:hAnsi="Times New Roman" w:cs="Times New Roman"/>
          <w:sz w:val="28"/>
          <w:szCs w:val="28"/>
          <w:lang w:val="kk-KZ"/>
        </w:rPr>
        <w:t xml:space="preserve">ов на инновационный потенциал; </w:t>
      </w:r>
      <w:r w:rsidRPr="00CE0BCE">
        <w:rPr>
          <w:rFonts w:ascii="Times New Roman" w:hAnsi="Times New Roman" w:cs="Times New Roman"/>
          <w:sz w:val="28"/>
          <w:szCs w:val="28"/>
          <w:lang w:val="kk-KZ"/>
        </w:rPr>
        <w:t xml:space="preserve">институциональные условия (нормативная среда, доступ к программам поддержки и цифровой инфраструктуре) модераторски усиливают/ослабляют указанные связи. Эти положения задают эмпирически проверяемую основу для построения и интерпретации моделей во </w:t>
      </w:r>
      <w:r w:rsidR="0037490C" w:rsidRPr="00CE0BCE">
        <w:rPr>
          <w:rFonts w:ascii="Times New Roman" w:hAnsi="Times New Roman" w:cs="Times New Roman"/>
          <w:sz w:val="28"/>
          <w:szCs w:val="28"/>
          <w:lang w:val="kk-KZ"/>
        </w:rPr>
        <w:t>аналитической</w:t>
      </w:r>
      <w:r w:rsidRPr="00CE0BCE">
        <w:rPr>
          <w:rFonts w:ascii="Times New Roman" w:hAnsi="Times New Roman" w:cs="Times New Roman"/>
          <w:sz w:val="28"/>
          <w:szCs w:val="28"/>
          <w:lang w:val="kk-KZ"/>
        </w:rPr>
        <w:t xml:space="preserve"> главе и для разработки механизма проектирования и управления инновационным </w:t>
      </w:r>
      <w:r>
        <w:rPr>
          <w:rFonts w:ascii="Times New Roman" w:hAnsi="Times New Roman" w:cs="Times New Roman"/>
          <w:sz w:val="28"/>
          <w:szCs w:val="28"/>
          <w:lang w:val="kk-KZ"/>
        </w:rPr>
        <w:t>потенциалом в третьей главе.</w:t>
      </w:r>
    </w:p>
    <w:p w14:paraId="52489D7F" w14:textId="2CC22A55" w:rsidR="009D5B89" w:rsidRDefault="009D5B89" w:rsidP="002F33D0">
      <w:pPr>
        <w:tabs>
          <w:tab w:val="left" w:pos="851"/>
        </w:tabs>
        <w:spacing w:after="0" w:line="240" w:lineRule="auto"/>
        <w:jc w:val="both"/>
        <w:rPr>
          <w:rFonts w:ascii="Times New Roman" w:hAnsi="Times New Roman" w:cs="Times New Roman"/>
          <w:sz w:val="28"/>
          <w:szCs w:val="28"/>
          <w:lang w:val="kk-KZ"/>
        </w:rPr>
      </w:pPr>
    </w:p>
    <w:p w14:paraId="23CF44CD" w14:textId="77777777" w:rsidR="00221339" w:rsidRPr="00626071" w:rsidRDefault="00221339" w:rsidP="002F33D0">
      <w:pPr>
        <w:spacing w:after="0" w:line="240" w:lineRule="auto"/>
        <w:ind w:firstLine="567"/>
        <w:jc w:val="both"/>
        <w:rPr>
          <w:rFonts w:ascii="Times New Roman" w:hAnsi="Times New Roman" w:cs="Times New Roman"/>
          <w:b/>
          <w:sz w:val="28"/>
          <w:szCs w:val="28"/>
        </w:rPr>
      </w:pPr>
      <w:r w:rsidRPr="00626071">
        <w:rPr>
          <w:rFonts w:ascii="Times New Roman" w:hAnsi="Times New Roman" w:cs="Times New Roman"/>
          <w:b/>
          <w:sz w:val="28"/>
          <w:szCs w:val="28"/>
        </w:rPr>
        <w:t>1.2 Факторы влияния на инновационный потенциал предпринимательских структур</w:t>
      </w:r>
    </w:p>
    <w:p w14:paraId="563AF85E" w14:textId="538562DA" w:rsidR="008C5F96" w:rsidRPr="008C5F96" w:rsidRDefault="008C5F96" w:rsidP="002F33D0">
      <w:pPr>
        <w:spacing w:after="0" w:line="240" w:lineRule="auto"/>
        <w:ind w:firstLine="567"/>
        <w:jc w:val="both"/>
        <w:rPr>
          <w:rFonts w:ascii="Times New Roman" w:hAnsi="Times New Roman" w:cs="Times New Roman"/>
          <w:sz w:val="28"/>
          <w:szCs w:val="28"/>
        </w:rPr>
      </w:pPr>
      <w:r w:rsidRPr="008C5F96">
        <w:rPr>
          <w:rFonts w:ascii="Times New Roman" w:hAnsi="Times New Roman" w:cs="Times New Roman"/>
          <w:sz w:val="28"/>
          <w:szCs w:val="28"/>
        </w:rPr>
        <w:t xml:space="preserve">Формирование и реализация инновационного потенциала предпринимательских структур происходит не в вакууме, а в условиях сложного взаимодействия внутренних и внешних факторов. Систематизация этих факторов позволяет глубже понять, какие условия способствуют раскрытию потенциала, а какие, напротив, его ограничивают. Настоящий подраздел опирается на теоретическую модель инновационного потенциала и рассматривает факторы как элементы институциональной и рыночной среды, </w:t>
      </w:r>
      <w:r w:rsidRPr="008C5F96">
        <w:rPr>
          <w:rFonts w:ascii="Times New Roman" w:hAnsi="Times New Roman" w:cs="Times New Roman"/>
          <w:sz w:val="28"/>
          <w:szCs w:val="28"/>
        </w:rPr>
        <w:lastRenderedPageBreak/>
        <w:t xml:space="preserve">оказывающие непосредственное влияние на отдельные компоненты потенциала. Особое внимание уделяется двойственной роли государственной поддержки и влиянию цифровых процессов различного уровня зрелости предприятий </w:t>
      </w:r>
      <w:r w:rsidR="009D20AE">
        <w:rPr>
          <w:rFonts w:ascii="Times New Roman" w:hAnsi="Times New Roman" w:cs="Times New Roman"/>
          <w:sz w:val="28"/>
          <w:szCs w:val="28"/>
        </w:rPr>
        <w:t>–</w:t>
      </w:r>
      <w:r w:rsidRPr="008C5F96">
        <w:rPr>
          <w:rFonts w:ascii="Times New Roman" w:hAnsi="Times New Roman" w:cs="Times New Roman"/>
          <w:sz w:val="28"/>
          <w:szCs w:val="28"/>
        </w:rPr>
        <w:t xml:space="preserve"> от цифровой адаптации до цифровой трансформации, что отражает современные вызовы и возможности развития предпринимательских структур в Казахстане и других странах с формирующейся инновационной системой.</w:t>
      </w:r>
    </w:p>
    <w:p w14:paraId="39530127" w14:textId="37E71814" w:rsidR="008C5F96" w:rsidRPr="008C5F96" w:rsidRDefault="008C5F96" w:rsidP="002F33D0">
      <w:pPr>
        <w:spacing w:after="0" w:line="240" w:lineRule="auto"/>
        <w:ind w:firstLine="567"/>
        <w:jc w:val="both"/>
        <w:rPr>
          <w:rFonts w:ascii="Times New Roman" w:hAnsi="Times New Roman" w:cs="Times New Roman"/>
          <w:sz w:val="28"/>
          <w:szCs w:val="28"/>
        </w:rPr>
      </w:pPr>
      <w:r w:rsidRPr="008C5F96">
        <w:rPr>
          <w:rFonts w:ascii="Times New Roman" w:hAnsi="Times New Roman" w:cs="Times New Roman"/>
          <w:sz w:val="28"/>
          <w:szCs w:val="28"/>
        </w:rPr>
        <w:t>Каждая предпринимательская структура обладает определённым уровнем инновационного потенциала, сформированного за счёт ресурсов, компетенций и организационных возможностей. Однако сам по себе потенциал не гарантирует инновационных результатов. Исследования показывают, что развитие инновационной способности предпринимательских структур зависит от целого ряда факторов – как внутренних, так и внешних</w:t>
      </w:r>
      <w:r w:rsidR="00223CC5">
        <w:rPr>
          <w:rFonts w:ascii="Times New Roman" w:hAnsi="Times New Roman" w:cs="Times New Roman"/>
          <w:sz w:val="28"/>
          <w:szCs w:val="28"/>
          <w:lang w:val="kk-KZ"/>
        </w:rPr>
        <w:t xml:space="preserve"> </w:t>
      </w:r>
      <w:r w:rsidR="00223CC5">
        <w:rPr>
          <w:rFonts w:ascii="Times New Roman" w:hAnsi="Times New Roman" w:cs="Times New Roman"/>
          <w:sz w:val="28"/>
          <w:szCs w:val="28"/>
          <w:lang w:val="kk-KZ"/>
        </w:rPr>
        <w:fldChar w:fldCharType="begin"/>
      </w:r>
      <w:r w:rsidR="00A5770E">
        <w:rPr>
          <w:rFonts w:ascii="Times New Roman" w:hAnsi="Times New Roman" w:cs="Times New Roman"/>
          <w:sz w:val="28"/>
          <w:szCs w:val="28"/>
          <w:lang w:val="kk-KZ"/>
        </w:rPr>
        <w:instrText xml:space="preserve"> ADDIN ZOTERO_ITEM CSL_CITATION {"citationID":"a2c964nqioq","properties":{"formattedCitation":"[89]","plainCitation":"[89]","noteIndex":0},"citationItems":[{"id":138,"uris":["http://zotero.org/users/16887523/items/57L8N6J5"],"itemData":{"id":138,"type":"article-journal","abstract":"Background: Small, medium and micro-enterprises (SMMEs) are vital to South Africa’s economy, creating jobs and providing livelihoods. However, South Africa has the world’s highest SMME failure rate, with 70% – 80% failing within 5 years. Addressing growth barriers is crucial. \nAim: This study explored the internal and external factors affecting SMME growth in Overstrand. \nSetting: The study setting involves Overstrand Local Municipality, Western Cape, South Africa. \nMethods: To capture the experiences of 12 owners, an interpretivist, qualitative approach using semi-structured interviews was employed. Purposive sampling ensured participants met the National Small Business Act criteria for SMME classification. The thematic analysis examined perspectives on motivation, skills, infrastructure, finance access and government backing. \nResults: Growth was limited by business expertise gaps, poor infrastructure and lack of external funding. Despite national promotion efforts, SMME support was seen as inadequate and misaligned with entrepreneurs’ needs. Key internal barriers were financial illiteracy and human capital shortages, partly addressed through training. Externally, poor utilities, premises and transport severely hindered development. The location also limited market access. \nConclusion: Targeted skills programmes and infrastructure improvements can boost small businesses. However, better access to finance and coordinated policies is needed to support SMME growth fully. \nContribution: Understanding growth obstacles can inform policies to assist South African SMME advancement, economic participation and unemployment reduction.","container-title":"The Southern African Journal of Entrepreneurship and Small Business Management","DOI":"10.4102/sajesbm.v17i1.919","ISSN":"2071-3185, 2522-7343","issue":"1","journalAbbreviation":"SAJESBM","license":"https://creativecommons.org/licenses/by/4.0","source":"DOI.org (Crossref)","title":"Internal and external factors affecting the growth of SMMEs: A qualitative study","title-short":"Internal and external factors affecting the growth of SMMEs","URL":"https://sajesbm.co.za/index.php/sajesbm/article/view/919","volume":"17","author":[{"family":"Basson","given":"Nicolene"},{"family":"Omoruyi","given":"Osayuwamen"}],"accessed":{"date-parts":[["2025",11,22]]},"issued":{"date-parts":[["2025",8,22]]}}}],"schema":"https://github.com/citation-style-language/schema/raw/master/csl-citation.json"} </w:instrText>
      </w:r>
      <w:r w:rsidR="00223CC5">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[89]</w:t>
      </w:r>
      <w:r w:rsidR="00223CC5">
        <w:rPr>
          <w:rFonts w:ascii="Times New Roman" w:hAnsi="Times New Roman" w:cs="Times New Roman"/>
          <w:sz w:val="28"/>
          <w:szCs w:val="28"/>
          <w:lang w:val="kk-KZ"/>
        </w:rPr>
        <w:fldChar w:fldCharType="end"/>
      </w:r>
      <w:r w:rsidRPr="008C5F96">
        <w:rPr>
          <w:rFonts w:ascii="Times New Roman" w:hAnsi="Times New Roman" w:cs="Times New Roman"/>
          <w:sz w:val="28"/>
          <w:szCs w:val="28"/>
        </w:rPr>
        <w:t>, а также сталкивается с типичными барьерами. Эти факторы могут как стимулировать, так и ограничивать его развитие. При неблагоприятном воздействии барьеров инновационная активность замедляется, а ресурсы остаются неиспользованными</w:t>
      </w:r>
      <w:r w:rsidR="00223CC5">
        <w:rPr>
          <w:rFonts w:ascii="Times New Roman" w:hAnsi="Times New Roman" w:cs="Times New Roman"/>
          <w:sz w:val="28"/>
          <w:szCs w:val="28"/>
          <w:lang w:val="kk-KZ"/>
        </w:rPr>
        <w:t xml:space="preserve"> </w:t>
      </w:r>
      <w:r w:rsidR="00223CC5">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{"citationID":"a21hr762kf3","properties":{"formattedCitation":"[51]","plainCitation":"[51]","noteIndex":0},"citationItems":[{"id":102,"uris":["http://zotero.org/users/16887523/items/5JRGXQZ6"],"itemData":{"id":102,"type":"article-journal","abstract":"Aim.\n              The work aimed to study approaches to the implementation of innovative technologies based on automation and robotization in the production processes of industrial enterprises.\n              Objectives.\n              The work seeks to analyze the key factors influencing the efficiency of automation and robotization, including the use of digital technologies (artificial intelligence, the Internet of things); to discuss the results of implementation of industrial robots in the economies of leading regions; to propose practical recommendations for the integration of robotic systems.\n              Methods.\n              The authors used system analysis and generalization to study the approaches and practical experience of implementing automation and robotization in industrial production processes.\n              Results.\n              It was established that the key results of the implementation of automation and robotization include optimization of business processes, increased productivity, cost reduction, and ensuring the competitiveness of industrial structures. Based on the analysis, practical recommendations are proposed for the integration of robotic systems into the existing infrastructure, personnel training, and adaptation of management decisions.\n              Conclusions.\n              A comprehensive study of approaches to automation, analysis of key factors and experience of leading regions enable to form a systemic view of the process of implementing innovative technologies. This will create the basis for developing practical recommendations aimed at increasing the efficiency and competitiveness of industrial enterprises in modern conditions.","container-title":"Экономика и управление","DOI":"10.35854/1998-1627-2025-8-1079-1090","ISSN":"1998-1627","issue":"8","journalAbbreviation":"Èkonomika i upravlenie","license":"https://emjume.elpub.ru/jour/about/editorialPolicies#openAccessPolicy","page":"1079-1090","source":"DOI.org (Crossref)","title":"Внедрение инновационных технологий на основе автоматизации и роботизации производства предпринимательских структур промышленности","URL":"https://emjume.elpub.ru/jour/article/view/2603","volume":"31","author":[{"family":"Лясников","given":"Н.В."},{"family":"Лясникова","given":"Ю.В."},{"family":"Серебренников","given":"С.С."},{"family":"Харитонов","given":"С.С."}],"accessed":{"date-parts":[["2025",11,22]]},"issued":{"date-parts":[["2025"]]}}}],"schema":"https://github.com/citation-style-language/schema/raw/master/csl-citation.json"} </w:instrText>
      </w:r>
      <w:r w:rsidR="00223CC5">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[51]</w:t>
      </w:r>
      <w:r w:rsidR="00223CC5">
        <w:rPr>
          <w:rFonts w:ascii="Times New Roman" w:hAnsi="Times New Roman" w:cs="Times New Roman"/>
          <w:sz w:val="28"/>
          <w:szCs w:val="28"/>
          <w:lang w:val="kk-KZ"/>
        </w:rPr>
        <w:fldChar w:fldCharType="end"/>
      </w:r>
      <w:r w:rsidRPr="008C5F96">
        <w:rPr>
          <w:rFonts w:ascii="Times New Roman" w:hAnsi="Times New Roman" w:cs="Times New Roman"/>
          <w:sz w:val="28"/>
          <w:szCs w:val="28"/>
        </w:rPr>
        <w:t>. В развивающихся экономиках эти факторы проявляются особенно остро вследствие ограниченности ресурсов и институциональных особенностей</w:t>
      </w:r>
      <w:r w:rsidR="00671E26">
        <w:rPr>
          <w:rFonts w:ascii="Times New Roman" w:hAnsi="Times New Roman" w:cs="Times New Roman"/>
          <w:sz w:val="28"/>
          <w:szCs w:val="28"/>
          <w:lang w:val="kk-KZ"/>
        </w:rPr>
        <w:t xml:space="preserve"> </w:t>
      </w:r>
      <w:r w:rsidR="00671E26">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{"citationID":"a7806amqnj","properties":{"formattedCitation":"[90]","plainCitation":"[90]","noteIndex":0},"citationItems":[{"id":140,"uris":["http://zotero.org/users/16887523/items/5SNZ59PW"],"itemData":{"id":140,"type":"article-journal","abstract":"This study investigates how internal and external factors shape pricing decisions among Small and Medium-sized Enterprises (SMEs) in Nigeria, aiming to enhance strategic competitiveness. Conducted in Lagos, the research employed a mixed-methods approach, surveying 175 SMEs across manufacturing, retail, services, technology, and healthcare sectors, and interviewing 15 SME owners. The scope covered external factors (market conditions, competition, consumer demand, regulatory changes) and internal factors (innovation capabilities, brand reputation, cost structure, employee expertise), alongside strategies for balancing these influences. Results show consumer demand (mean rating 4.3) and market conditions (4.2) as dominant external factors, influencing 75% and 70% of SMEs, respectively, while competition (4.0) affected 65%. Internally, innovation capabilities (4.1, 45% of SMEs) and brand reputation (3.9, 30%) were key drivers. A balanced approach, integrating both factors, was adopted by 60% of SMEs, correlating strongly with adaptive pricing strategies (p&lt;0.01). Interviews highlighted that innovation-driven SMEs use premium pricing, while market-responsive SMEs adjust prices frequently. The study concludes that balancing internal strengths, like innovation, with external dynamics, such as consumer demand, fosters adaptive pricing, enhancing SME competitiveness in Nigeria’s volatile market. These findings guide SME owners to leverage market data and internal capabilities for effective pricing and urge policymakers to support training programs, contributing to SME sustainability and economic growth in Nigeria.","container-title":"World Journal of Advanced Research and Reviews","DOI":"10.30574/wjarr.2025.27.2.2921","ISSN":"25819615","issue":"2","journalAbbreviation":"World J. Adv. Res. Rev.","page":"1275-1280","source":"DOI.org (Crossref)","title":"The influence of internal and external factors on pricing decision-making in Nigerian SMEs","URL":"https://journalwjarr.com/node/2599","volume":"27","author":[{"family":"Obiajulu","given":"Chinonso Benjamin"},{"family":"Azubuko","given":"Chidimma Francisca"},{"family":"Okpanachi","given":"Joshua"}],"accessed":{"date-parts":[["2025",11,22]]},"issued":{"date-parts":[["2025"]]}}}],"schema":"https://github.com/citation-style-language/schema/raw/master/csl-citation.json"} </w:instrText>
      </w:r>
      <w:r w:rsidR="00671E26">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[90]</w:t>
      </w:r>
      <w:r w:rsidR="00671E26">
        <w:rPr>
          <w:rFonts w:ascii="Times New Roman" w:hAnsi="Times New Roman" w:cs="Times New Roman"/>
          <w:sz w:val="28"/>
          <w:szCs w:val="28"/>
          <w:lang w:val="kk-KZ"/>
        </w:rPr>
        <w:fldChar w:fldCharType="end"/>
      </w:r>
      <w:r w:rsidRPr="008C5F96">
        <w:rPr>
          <w:rFonts w:ascii="Times New Roman" w:hAnsi="Times New Roman" w:cs="Times New Roman"/>
          <w:sz w:val="28"/>
          <w:szCs w:val="28"/>
        </w:rPr>
        <w:t>. В связи с этим особую значимость приобретает систематизация факторов, определяющих условия формирования и реализации инновационного потенциала.</w:t>
      </w:r>
    </w:p>
    <w:p w14:paraId="44FF9781" w14:textId="7372BDAB" w:rsidR="00221339" w:rsidRPr="008D092F" w:rsidRDefault="004319BF" w:rsidP="004319BF">
      <w:pPr>
        <w:spacing w:after="0" w:line="240" w:lineRule="auto"/>
        <w:ind w:firstLine="567"/>
        <w:jc w:val="both"/>
        <w:rPr>
          <w:rFonts w:ascii="Times New Roman" w:hAnsi="Times New Roman" w:cs="Times New Roman"/>
          <w:sz w:val="28"/>
          <w:szCs w:val="28"/>
          <w:lang w:val="kk-KZ"/>
        </w:rPr>
      </w:pPr>
      <w:r w:rsidRPr="004319BF">
        <w:rPr>
          <w:rFonts w:ascii="Times New Roman" w:hAnsi="Times New Roman" w:cs="Times New Roman"/>
          <w:sz w:val="28"/>
          <w:szCs w:val="28"/>
        </w:rPr>
        <w:t xml:space="preserve">Факторы, формирующие инновационный потенциал предприятия, целесообразно рассматривать в разрезе стимулирующих </w:t>
      </w:r>
      <w:r w:rsidR="009E3DF4">
        <w:rPr>
          <w:rFonts w:ascii="Times New Roman" w:hAnsi="Times New Roman" w:cs="Times New Roman"/>
          <w:sz w:val="28"/>
          <w:szCs w:val="28"/>
        </w:rPr>
        <w:t>и сдерживающих компонентов</w:t>
      </w:r>
      <w:r w:rsidR="009E3DF4" w:rsidRPr="009E3DF4">
        <w:rPr>
          <w:rFonts w:ascii="Times New Roman" w:hAnsi="Times New Roman" w:cs="Times New Roman"/>
          <w:sz w:val="28"/>
          <w:szCs w:val="28"/>
        </w:rPr>
        <w:t xml:space="preserve"> </w:t>
      </w:r>
      <w:r w:rsidR="009E3DF4">
        <w:rPr>
          <w:rFonts w:ascii="Times New Roman" w:hAnsi="Times New Roman" w:cs="Times New Roman"/>
          <w:sz w:val="28"/>
          <w:szCs w:val="28"/>
        </w:rPr>
        <w:t>–</w:t>
      </w:r>
      <w:r w:rsidRPr="004319BF">
        <w:rPr>
          <w:rFonts w:ascii="Times New Roman" w:hAnsi="Times New Roman" w:cs="Times New Roman"/>
          <w:sz w:val="28"/>
          <w:szCs w:val="28"/>
        </w:rPr>
        <w:t xml:space="preserve"> драйверов и барьеров. К драйверам относятся внутренние и внешние условия, повышающие способность предприятий к генерации и внедрению инноваций, включая управленческую поддержку, кадровый потенциал</w:t>
      </w:r>
      <w:r w:rsidR="00671E26">
        <w:rPr>
          <w:rFonts w:ascii="Times New Roman" w:hAnsi="Times New Roman" w:cs="Times New Roman"/>
          <w:sz w:val="28"/>
          <w:szCs w:val="28"/>
          <w:lang w:val="kk-KZ"/>
        </w:rPr>
        <w:t xml:space="preserve"> </w:t>
      </w:r>
      <w:r w:rsidR="00671E26">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{"citationID":"a1mgmifn6id","properties":{"formattedCitation":"[91]","plainCitation":"[91]","noteIndex":0},"citationItems":[{"id":141,"uris":["http://zotero.org/users/16887523/items/WUWJ7YA8"],"itemData":{"id":141,"type":"article-journal","abstract":"As enterprise operation management faces increasingly complex multi-source heterogeneous data, dynamic resource scheduling and decision support problems, traditional optimization methods and decision-making systems can no longer meet the needs of efficient and intelligent management. In order to improve the efficiency of enterprise operation management and the performance of the decision support system, a hybrid intelligent algorithm based on FA-BP and AGA is proposed. Innovative technologies such as deep reinforcement learning, quantum evolution strategy, and microservice architecture are combined to build an enterprise management system with efficient decision support and powerful computing capabilities. The proposed system has been validated in a manufacturing enterprise, demonstrating a 25% increase in production efficiency and 18% reduction in raw material waste. Its microservice architecture enables seamless integration with existing enterprise resource planning (ERP) systems, facilitating real-time data-driven decisions. Furthermore, through multi-modal data fusion and spatiotemporal feature embedding algorithms, efficient data integration is achieved under the federated learning framework of enterprise multi-source heterogeneous data, providing comprehensive and accurate information support for enterprise decision-making. Different performances of enterprise production efficiency, raw material utilization rate, labor cost, and team task completion rate. In 87 business cycles, the highest production efficiency reached 98.76%, and the lowest was 34.56%. This shows that the enterprise has large efficiency fluctuations in some cycles, which may be affected by factors such as the external environment, production process, or equipment maintenance. Businesses need to conduct an in-depth analysis of inefficiency cycles to identify the causes and improve them. The average level of raw material utilization is 67.89%, but it can reach 83.25% at the highest.","container-title":"Journal of Computational Methods in Sciences and Engineering","DOI":"10.1177/14727978251371211","ISSN":"1472-7978, 1875-8983","journalAbbreviation":"Journal of Computational Methods in Sciences and Engineering","language":"en","page":"14727978251371211","source":"DOI.org (Crossref)","title":"Research on enterprise operation management efficiency improvement and decision support system based on FA-BP and AGA","URL":"https://journals.sagepub.com/doi/10.1177/14727978251371211","author":[{"family":"Jiang","given":"Zhidan"}],"accessed":{"date-parts":[["2025",11,22]]},"issued":{"date-parts":[["2025",8,25]]}}}],"schema":"https://github.com/citation-style-language/schema/raw/master/csl-citation.json"} </w:instrText>
      </w:r>
      <w:r w:rsidR="00671E26">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[91]</w:t>
      </w:r>
      <w:r w:rsidR="00671E26">
        <w:rPr>
          <w:rFonts w:ascii="Times New Roman" w:hAnsi="Times New Roman" w:cs="Times New Roman"/>
          <w:sz w:val="28"/>
          <w:szCs w:val="28"/>
          <w:lang w:val="kk-KZ"/>
        </w:rPr>
        <w:fldChar w:fldCharType="end"/>
      </w:r>
      <w:r w:rsidR="008C5F96" w:rsidRPr="008C5F96">
        <w:rPr>
          <w:rFonts w:ascii="Times New Roman" w:hAnsi="Times New Roman" w:cs="Times New Roman"/>
          <w:sz w:val="28"/>
          <w:szCs w:val="28"/>
        </w:rPr>
        <w:t xml:space="preserve">, </w:t>
      </w:r>
      <w:r w:rsidRPr="004319BF">
        <w:rPr>
          <w:rFonts w:ascii="Times New Roman" w:hAnsi="Times New Roman" w:cs="Times New Roman"/>
          <w:sz w:val="28"/>
          <w:szCs w:val="28"/>
        </w:rPr>
        <w:t>развитие партнёрских связей, финансовую обеспеченность, инновационную культуру и технологические возможности</w:t>
      </w:r>
      <w:r w:rsidR="00671E26">
        <w:rPr>
          <w:rFonts w:ascii="Times New Roman" w:hAnsi="Times New Roman" w:cs="Times New Roman"/>
          <w:sz w:val="28"/>
          <w:szCs w:val="28"/>
          <w:lang w:val="kk-KZ"/>
        </w:rPr>
        <w:t xml:space="preserve"> </w:t>
      </w:r>
      <w:r w:rsidR="00671E26">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{"citationID":"a8ep6sdiqv","properties":{"formattedCitation":"[92]","plainCitation":"[92]","noteIndex":0},"citationItems":[{"id":142,"uris":["http://zotero.org/users/16887523/items/SAUK7TJ7"],"itemData":{"id":142,"type":"article-journal","abstract":"This paper explores the development of an innovative skylight solution adapted for the Sri Lankan market, focusing on the transfer of corporate insights from temperate to tropical climates. It highlights the collaborative efforts with GOODLITE to optimize design, materials, and technology for tropical conditions. The study identifies key challenges such as high humidity, intense solar heat, and heavy monsoonal rains, and proposes solutions like the TropiLite Skylight. Overheating is an evident challenge that needs to be addressed when introducing western designed solutions from cooler climates into new markets characterized by higher solar exposure and more intense temperatures. By offering innovative solutions to address overheating, GOODLITE could unlock new market opportunities and drive growth by adapting to local climate challenges while staying true to their core values and preserving the unique qualities of their products that set them apart in a competitive global landscape. The research emphasizes the importance of modular and customizable designs to cater to diverse economic segments, ensuring affordability and functionality. This study also investigates useful strategies that could be used to introduce a foreign product into a new market by leveraging localized marketing, strategic partnerships, and product adaptations to meet regional needs. However, for long term success, the local ecosystem must also evolve, developing the necessary infrastructure, technical skills, and maintenance capabilities to support and sustain the introduction of such products. Hence, the study leverages on GOODLITE’s expertise in skylights and roof window innovation and brings forward the experience in bringing market adapted solutions to new markets to ensure the proposed solution is suitable. The study demonstrates how strategic adaptations can address local climatic and market needs, paving the way for a scalable solution that could be used in tropical regions across the world. Through entrepreneurship, the introduction of a new skylight product to a foreign market aims to address specific consumer needs by offering a climate adapted solution.","container-title":"European Conference on Innovation and Entrepreneurship","DOI":"10.34190/ecie.20.1.3735","ISSN":"2049-1069, 2049-1050","issue":"1","journalAbbreviation":"ECIE","license":"https://creativecommons.org/licenses/by-nd/4.0","page":"735-742","source":"DOI.org (Crossref)","title":"Innovation Balancing Enterprise Capabilities and Local Technological and Consumer Requirements","URL":"https://papers.academic-conferences.org/index.php/ecie/article/view/3735","volume":"20","author":[{"family":"Tambo","given":"Torben"},{"family":"Inpabalan","given":"Thuseinthan"}],"accessed":{"date-parts":[["2025",11,22]]},"issued":{"date-parts":[["2025",9,19]]}}}],"schema":"https://github.com/citation-style-language/schema/raw/master/csl-citation.json"} </w:instrText>
      </w:r>
      <w:r w:rsidR="00671E26">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[92]</w:t>
      </w:r>
      <w:r w:rsidR="00671E26">
        <w:rPr>
          <w:rFonts w:ascii="Times New Roman" w:hAnsi="Times New Roman" w:cs="Times New Roman"/>
          <w:sz w:val="28"/>
          <w:szCs w:val="28"/>
          <w:lang w:val="kk-KZ"/>
        </w:rPr>
        <w:fldChar w:fldCharType="end"/>
      </w:r>
      <w:r w:rsidR="008C5F96" w:rsidRPr="008C5F96">
        <w:rPr>
          <w:rFonts w:ascii="Times New Roman" w:hAnsi="Times New Roman" w:cs="Times New Roman"/>
          <w:sz w:val="28"/>
          <w:szCs w:val="28"/>
        </w:rPr>
        <w:t xml:space="preserve">. </w:t>
      </w:r>
      <w:r w:rsidRPr="004319BF">
        <w:rPr>
          <w:rFonts w:ascii="Times New Roman" w:hAnsi="Times New Roman" w:cs="Times New Roman"/>
          <w:sz w:val="28"/>
          <w:szCs w:val="28"/>
        </w:rPr>
        <w:t>Барьеры, напротив, отражают дефицит или ограниченность указанных условий и проявляются в форме недостатка финансирования, отсутствия стратегии монетизации инноваций, ограниченного доступа к мерам государственной поддержки, трудностей масштабирования, регуляторных ограничений</w:t>
      </w:r>
      <w:r w:rsidR="00671E26">
        <w:rPr>
          <w:rFonts w:ascii="Times New Roman" w:hAnsi="Times New Roman" w:cs="Times New Roman"/>
          <w:sz w:val="28"/>
          <w:szCs w:val="28"/>
          <w:lang w:val="kk-KZ"/>
        </w:rPr>
        <w:t xml:space="preserve"> </w:t>
      </w:r>
      <w:r w:rsidR="00671E26">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{"citationID":"a1i63r3b5hl","properties":{"formattedCitation":"[93]","plainCitation":"[93]","noteIndex":0},"citationItems":[{"id":143,"uris":["http://zotero.org/users/16887523/items/X6PNGZ89"],"itemData":{"id":143,"type":"article-journal","abstract":"The paper substantiates the concept of legal engineering as an interdisciplinary methodology aimed at integrating legal mechanisms into the processes of scientific and technological development. The authors analyze the problems of a weak regulatory framework, fragmented legislation and insufficient legal competence in the field of innovation development, which hinders Russia’s technological leadership. The following types and subtypes of legal engineering are identified and characterized: 1) sci-tech legal engineering (legal engineering in strategic management); 2) applied legal engineering: 2.1) legal engineering in project management; 2.2) legal engineering in process management (LegalOps/LegalEngeneer): LegalTech, intellectual property management, personal data management, etc. Emphasis is placed on universities’ and corporations’ roles in building new legal infrastructure and training specialists at the law-engineering-innovation nexus. Under a new lawyer competency framework developed at Kutafin Moscow State Law University (MSAL) it is possible to say that a specialist in legal engineering in strategic management is a lawyer-strategist, a lawyer-norm creator; a specialist in legal engineering in project management is a lawyer-partner; a specialist in legal engineering in process management is a lawyer-technologist, LegalEngineer, LegalOps-manager.","container-title":"Актуальные проблемы российского права","DOI":"10.17803/1994-1471.2025.177.8.165-181","ISSN":"2782-1862, 1994-1471","issue":"8","journalAbbreviation":"Aktualʹnye problemy rossijskogo prava","license":"https://aprp.msal.ru/jour/about/editorialPolicies#openAccessPolicy","page":"165-181","source":"DOI.org (Crossref)","title":"Юридическая инженерия в поддержку научно-технологического развития, управления проектами и процессами в организациях","URL":"https://aprp.msal.ru/jour/article/view/5540","volume":"20","author":[{"family":"Мажорина","given":"М. В."},{"family":"Никишин","given":"V. D."},{"family":"Никитина","given":"А.А."}],"accessed":{"date-parts":[["2025",11,22]]},"issued":{"date-parts":[["2025"]]}}}],"schema":"https://github.com/citation-style-language/schema/raw/master/csl-citation.json"} </w:instrText>
      </w:r>
      <w:r w:rsidR="00671E26">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[93]</w:t>
      </w:r>
      <w:r w:rsidR="00671E26">
        <w:rPr>
          <w:rFonts w:ascii="Times New Roman" w:hAnsi="Times New Roman" w:cs="Times New Roman"/>
          <w:sz w:val="28"/>
          <w:szCs w:val="28"/>
          <w:lang w:val="kk-KZ"/>
        </w:rPr>
        <w:fldChar w:fldCharType="end"/>
      </w:r>
      <w:r w:rsidR="008C5F96" w:rsidRPr="008C5F96">
        <w:rPr>
          <w:rFonts w:ascii="Times New Roman" w:hAnsi="Times New Roman" w:cs="Times New Roman"/>
          <w:sz w:val="28"/>
          <w:szCs w:val="28"/>
        </w:rPr>
        <w:t xml:space="preserve"> </w:t>
      </w:r>
      <w:r w:rsidRPr="004319BF">
        <w:rPr>
          <w:rFonts w:ascii="Times New Roman" w:hAnsi="Times New Roman" w:cs="Times New Roman"/>
          <w:sz w:val="28"/>
          <w:szCs w:val="28"/>
        </w:rPr>
        <w:t>и низкой восприимчивости потребителей. Систематизация данных факторов представлена в таблице 5.</w:t>
      </w:r>
    </w:p>
    <w:p w14:paraId="3AD9CA88" w14:textId="77777777" w:rsidR="008C5F96" w:rsidRDefault="008C5F96" w:rsidP="002F33D0">
      <w:pPr>
        <w:spacing w:after="0" w:line="240" w:lineRule="auto"/>
        <w:jc w:val="both"/>
        <w:rPr>
          <w:rFonts w:ascii="Times New Roman" w:hAnsi="Times New Roman" w:cs="Times New Roman"/>
          <w:sz w:val="28"/>
          <w:szCs w:val="28"/>
          <w:lang w:val="kk-KZ"/>
        </w:rPr>
      </w:pPr>
    </w:p>
    <w:p w14:paraId="1C640822" w14:textId="0B6AF204" w:rsidR="00221339" w:rsidRDefault="00DF34C6" w:rsidP="002F33D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Таблица 5 – </w:t>
      </w:r>
      <w:r w:rsidR="00221339" w:rsidRPr="008D092F">
        <w:rPr>
          <w:rFonts w:ascii="Times New Roman" w:hAnsi="Times New Roman" w:cs="Times New Roman"/>
          <w:sz w:val="28"/>
          <w:szCs w:val="28"/>
          <w:lang w:val="kk-KZ"/>
        </w:rPr>
        <w:t>Факторы влияния на инновационный потенциал предпринимательских структур</w:t>
      </w:r>
    </w:p>
    <w:p w14:paraId="20D34C49" w14:textId="77777777" w:rsidR="009E547B" w:rsidRPr="00C46E6B" w:rsidRDefault="009E547B" w:rsidP="002F33D0">
      <w:pPr>
        <w:spacing w:after="0" w:line="240" w:lineRule="auto"/>
        <w:jc w:val="both"/>
        <w:rPr>
          <w:rFonts w:ascii="Times New Roman" w:hAnsi="Times New Roman" w:cs="Times New Roman"/>
          <w:sz w:val="20"/>
          <w:szCs w:val="20"/>
          <w:lang w:val="kk-KZ"/>
        </w:rPr>
      </w:pPr>
    </w:p>
    <w:tbl>
      <w:tblPr>
        <w:tblStyle w:val="a5"/>
        <w:tblW w:w="0" w:type="auto"/>
        <w:tblLook w:val="04A0" w:firstRow="1" w:lastRow="0" w:firstColumn="1" w:lastColumn="0" w:noHBand="0" w:noVBand="1"/>
      </w:tblPr>
      <w:tblGrid>
        <w:gridCol w:w="445"/>
        <w:gridCol w:w="2198"/>
        <w:gridCol w:w="2295"/>
        <w:gridCol w:w="2495"/>
        <w:gridCol w:w="2195"/>
      </w:tblGrid>
      <w:tr w:rsidR="008C5F96" w:rsidRPr="008C5F96" w14:paraId="4F040516" w14:textId="77777777" w:rsidTr="008C5F96">
        <w:tc>
          <w:tcPr>
            <w:tcW w:w="0" w:type="auto"/>
            <w:hideMark/>
          </w:tcPr>
          <w:p w14:paraId="38E7186E" w14:textId="77777777" w:rsidR="008C5F96" w:rsidRPr="008C5F96" w:rsidRDefault="008C5F96" w:rsidP="002F33D0">
            <w:pPr>
              <w:ind w:firstLine="0"/>
              <w:jc w:val="center"/>
              <w:rPr>
                <w:rFonts w:eastAsia="Times New Roman"/>
                <w:bCs/>
                <w:szCs w:val="24"/>
                <w:lang w:eastAsia="ru-RU"/>
              </w:rPr>
            </w:pPr>
            <w:r w:rsidRPr="008C5F96">
              <w:rPr>
                <w:rFonts w:eastAsia="Times New Roman"/>
                <w:bCs/>
                <w:szCs w:val="24"/>
                <w:lang w:eastAsia="ru-RU"/>
              </w:rPr>
              <w:t>№</w:t>
            </w:r>
          </w:p>
        </w:tc>
        <w:tc>
          <w:tcPr>
            <w:tcW w:w="0" w:type="auto"/>
            <w:hideMark/>
          </w:tcPr>
          <w:p w14:paraId="14A10B7B" w14:textId="77777777" w:rsidR="008C5F96" w:rsidRPr="008C5F96" w:rsidRDefault="008C5F96" w:rsidP="002F33D0">
            <w:pPr>
              <w:ind w:firstLine="0"/>
              <w:jc w:val="center"/>
              <w:rPr>
                <w:rFonts w:eastAsia="Times New Roman"/>
                <w:bCs/>
                <w:szCs w:val="24"/>
                <w:lang w:eastAsia="ru-RU"/>
              </w:rPr>
            </w:pPr>
            <w:r w:rsidRPr="008C5F96">
              <w:rPr>
                <w:rFonts w:eastAsia="Times New Roman"/>
                <w:bCs/>
                <w:szCs w:val="24"/>
                <w:lang w:eastAsia="ru-RU"/>
              </w:rPr>
              <w:t>Компонент инновационного потенциала</w:t>
            </w:r>
          </w:p>
        </w:tc>
        <w:tc>
          <w:tcPr>
            <w:tcW w:w="0" w:type="auto"/>
            <w:hideMark/>
          </w:tcPr>
          <w:p w14:paraId="01422728" w14:textId="77777777" w:rsidR="008C5F96" w:rsidRPr="008C5F96" w:rsidRDefault="008C5F96" w:rsidP="002F33D0">
            <w:pPr>
              <w:ind w:firstLine="0"/>
              <w:jc w:val="center"/>
              <w:rPr>
                <w:rFonts w:eastAsia="Times New Roman"/>
                <w:bCs/>
                <w:szCs w:val="24"/>
                <w:lang w:eastAsia="ru-RU"/>
              </w:rPr>
            </w:pPr>
            <w:r w:rsidRPr="008C5F96">
              <w:rPr>
                <w:rFonts w:eastAsia="Times New Roman"/>
                <w:bCs/>
                <w:szCs w:val="24"/>
                <w:lang w:eastAsia="ru-RU"/>
              </w:rPr>
              <w:t>Стимулирующие факторы (драйверы)</w:t>
            </w:r>
          </w:p>
        </w:tc>
        <w:tc>
          <w:tcPr>
            <w:tcW w:w="0" w:type="auto"/>
            <w:hideMark/>
          </w:tcPr>
          <w:p w14:paraId="61E4E938" w14:textId="77777777" w:rsidR="008C5F96" w:rsidRPr="008C5F96" w:rsidRDefault="008C5F96" w:rsidP="002F33D0">
            <w:pPr>
              <w:ind w:firstLine="0"/>
              <w:jc w:val="center"/>
              <w:rPr>
                <w:rFonts w:eastAsia="Times New Roman"/>
                <w:bCs/>
                <w:szCs w:val="24"/>
                <w:lang w:eastAsia="ru-RU"/>
              </w:rPr>
            </w:pPr>
            <w:r w:rsidRPr="008C5F96">
              <w:rPr>
                <w:rFonts w:eastAsia="Times New Roman"/>
                <w:bCs/>
                <w:szCs w:val="24"/>
                <w:lang w:eastAsia="ru-RU"/>
              </w:rPr>
              <w:t>Сдерживающие факторы (барьеры)</w:t>
            </w:r>
          </w:p>
        </w:tc>
        <w:tc>
          <w:tcPr>
            <w:tcW w:w="0" w:type="auto"/>
            <w:hideMark/>
          </w:tcPr>
          <w:p w14:paraId="25D3F252" w14:textId="77777777" w:rsidR="008C5F96" w:rsidRPr="008C5F96" w:rsidRDefault="008C5F96" w:rsidP="002F33D0">
            <w:pPr>
              <w:ind w:firstLine="0"/>
              <w:jc w:val="center"/>
              <w:rPr>
                <w:rFonts w:eastAsia="Times New Roman"/>
                <w:bCs/>
                <w:szCs w:val="24"/>
                <w:lang w:eastAsia="ru-RU"/>
              </w:rPr>
            </w:pPr>
            <w:r w:rsidRPr="008C5F96">
              <w:rPr>
                <w:rFonts w:eastAsia="Times New Roman"/>
                <w:bCs/>
                <w:szCs w:val="24"/>
                <w:lang w:eastAsia="ru-RU"/>
              </w:rPr>
              <w:t>Особенности проявления по размеру предприятий</w:t>
            </w:r>
          </w:p>
        </w:tc>
      </w:tr>
      <w:tr w:rsidR="00C46E6B" w:rsidRPr="008C5F96" w14:paraId="3832ADEE" w14:textId="77777777" w:rsidTr="008C5F96">
        <w:tc>
          <w:tcPr>
            <w:tcW w:w="0" w:type="auto"/>
          </w:tcPr>
          <w:p w14:paraId="35671408" w14:textId="4D002B4B" w:rsidR="00C46E6B" w:rsidRPr="00C46E6B" w:rsidRDefault="00C46E6B" w:rsidP="00C46E6B">
            <w:pPr>
              <w:ind w:firstLine="0"/>
              <w:jc w:val="center"/>
              <w:rPr>
                <w:rFonts w:eastAsia="Times New Roman"/>
                <w:bCs/>
                <w:szCs w:val="24"/>
                <w:lang w:val="kk-KZ" w:eastAsia="ru-RU"/>
              </w:rPr>
            </w:pPr>
            <w:r>
              <w:rPr>
                <w:rFonts w:eastAsia="Times New Roman"/>
                <w:bCs/>
                <w:szCs w:val="24"/>
                <w:lang w:val="kk-KZ" w:eastAsia="ru-RU"/>
              </w:rPr>
              <w:t>1</w:t>
            </w:r>
          </w:p>
        </w:tc>
        <w:tc>
          <w:tcPr>
            <w:tcW w:w="0" w:type="auto"/>
          </w:tcPr>
          <w:p w14:paraId="4E784E92" w14:textId="6DA95DF6" w:rsidR="00C46E6B" w:rsidRPr="00C46E6B" w:rsidRDefault="00C46E6B" w:rsidP="00C46E6B">
            <w:pPr>
              <w:ind w:firstLine="0"/>
              <w:jc w:val="center"/>
              <w:rPr>
                <w:rFonts w:eastAsia="Times New Roman"/>
                <w:bCs/>
                <w:szCs w:val="24"/>
                <w:lang w:val="kk-KZ" w:eastAsia="ru-RU"/>
              </w:rPr>
            </w:pPr>
            <w:r>
              <w:rPr>
                <w:rFonts w:eastAsia="Times New Roman"/>
                <w:bCs/>
                <w:szCs w:val="24"/>
                <w:lang w:val="kk-KZ" w:eastAsia="ru-RU"/>
              </w:rPr>
              <w:t>2</w:t>
            </w:r>
          </w:p>
        </w:tc>
        <w:tc>
          <w:tcPr>
            <w:tcW w:w="0" w:type="auto"/>
          </w:tcPr>
          <w:p w14:paraId="786B24CE" w14:textId="1530AAB4" w:rsidR="00C46E6B" w:rsidRPr="00C46E6B" w:rsidRDefault="00C46E6B" w:rsidP="00C46E6B">
            <w:pPr>
              <w:ind w:firstLine="0"/>
              <w:jc w:val="center"/>
              <w:rPr>
                <w:rFonts w:eastAsia="Times New Roman"/>
                <w:bCs/>
                <w:szCs w:val="24"/>
                <w:lang w:val="kk-KZ" w:eastAsia="ru-RU"/>
              </w:rPr>
            </w:pPr>
            <w:r>
              <w:rPr>
                <w:rFonts w:eastAsia="Times New Roman"/>
                <w:bCs/>
                <w:szCs w:val="24"/>
                <w:lang w:val="kk-KZ" w:eastAsia="ru-RU"/>
              </w:rPr>
              <w:t>3</w:t>
            </w:r>
          </w:p>
        </w:tc>
        <w:tc>
          <w:tcPr>
            <w:tcW w:w="0" w:type="auto"/>
          </w:tcPr>
          <w:p w14:paraId="416FF702" w14:textId="71B35F57" w:rsidR="00C46E6B" w:rsidRPr="00C46E6B" w:rsidRDefault="00C46E6B" w:rsidP="00C46E6B">
            <w:pPr>
              <w:ind w:firstLine="0"/>
              <w:jc w:val="center"/>
              <w:rPr>
                <w:rFonts w:eastAsia="Times New Roman"/>
                <w:bCs/>
                <w:szCs w:val="24"/>
                <w:lang w:val="kk-KZ" w:eastAsia="ru-RU"/>
              </w:rPr>
            </w:pPr>
            <w:r>
              <w:rPr>
                <w:rFonts w:eastAsia="Times New Roman"/>
                <w:bCs/>
                <w:szCs w:val="24"/>
                <w:lang w:val="kk-KZ" w:eastAsia="ru-RU"/>
              </w:rPr>
              <w:t>4</w:t>
            </w:r>
          </w:p>
        </w:tc>
        <w:tc>
          <w:tcPr>
            <w:tcW w:w="0" w:type="auto"/>
          </w:tcPr>
          <w:p w14:paraId="7F63F172" w14:textId="42C02DF7" w:rsidR="00C46E6B" w:rsidRPr="00C46E6B" w:rsidRDefault="00C46E6B" w:rsidP="00C46E6B">
            <w:pPr>
              <w:ind w:firstLine="0"/>
              <w:jc w:val="center"/>
              <w:rPr>
                <w:rFonts w:eastAsia="Times New Roman"/>
                <w:bCs/>
                <w:szCs w:val="24"/>
                <w:lang w:val="kk-KZ" w:eastAsia="ru-RU"/>
              </w:rPr>
            </w:pPr>
            <w:r>
              <w:rPr>
                <w:rFonts w:eastAsia="Times New Roman"/>
                <w:bCs/>
                <w:szCs w:val="24"/>
                <w:lang w:val="kk-KZ" w:eastAsia="ru-RU"/>
              </w:rPr>
              <w:t>5</w:t>
            </w:r>
          </w:p>
        </w:tc>
      </w:tr>
      <w:tr w:rsidR="008C5F96" w:rsidRPr="008C5F96" w14:paraId="3FB29B5C" w14:textId="77777777" w:rsidTr="008C5F96">
        <w:tc>
          <w:tcPr>
            <w:tcW w:w="0" w:type="auto"/>
            <w:hideMark/>
          </w:tcPr>
          <w:p w14:paraId="6843F9E7" w14:textId="77777777" w:rsidR="008C5F96" w:rsidRPr="008C5F96" w:rsidRDefault="008C5F96" w:rsidP="002F33D0">
            <w:pPr>
              <w:ind w:firstLine="0"/>
              <w:rPr>
                <w:rFonts w:eastAsia="Times New Roman"/>
                <w:szCs w:val="24"/>
                <w:lang w:eastAsia="ru-RU"/>
              </w:rPr>
            </w:pPr>
            <w:r w:rsidRPr="008C5F96">
              <w:rPr>
                <w:rFonts w:eastAsia="Times New Roman"/>
                <w:bCs/>
                <w:szCs w:val="24"/>
                <w:lang w:eastAsia="ru-RU"/>
              </w:rPr>
              <w:t>1</w:t>
            </w:r>
          </w:p>
        </w:tc>
        <w:tc>
          <w:tcPr>
            <w:tcW w:w="0" w:type="auto"/>
            <w:hideMark/>
          </w:tcPr>
          <w:p w14:paraId="12D6F5C0" w14:textId="77777777" w:rsidR="008C5F96" w:rsidRPr="008C5F96" w:rsidRDefault="008C5F96" w:rsidP="002F33D0">
            <w:pPr>
              <w:ind w:firstLine="0"/>
              <w:rPr>
                <w:rFonts w:eastAsia="Times New Roman"/>
                <w:szCs w:val="24"/>
                <w:lang w:eastAsia="ru-RU"/>
              </w:rPr>
            </w:pPr>
            <w:r w:rsidRPr="008C5F96">
              <w:rPr>
                <w:rFonts w:eastAsia="Times New Roman"/>
                <w:bCs/>
                <w:szCs w:val="24"/>
                <w:lang w:eastAsia="ru-RU"/>
              </w:rPr>
              <w:t>Управленческо-инновационные ресурсы</w:t>
            </w:r>
          </w:p>
        </w:tc>
        <w:tc>
          <w:tcPr>
            <w:tcW w:w="0" w:type="auto"/>
            <w:hideMark/>
          </w:tcPr>
          <w:p w14:paraId="5B9E90A1" w14:textId="3070E121" w:rsidR="008C5F96" w:rsidRPr="008C5F96" w:rsidRDefault="008C5F96" w:rsidP="000F3C80">
            <w:pPr>
              <w:ind w:firstLine="0"/>
              <w:rPr>
                <w:rFonts w:eastAsia="Times New Roman"/>
                <w:szCs w:val="24"/>
                <w:lang w:eastAsia="ru-RU"/>
              </w:rPr>
            </w:pPr>
            <w:r w:rsidRPr="008C5F96">
              <w:rPr>
                <w:rFonts w:eastAsia="Times New Roman"/>
                <w:szCs w:val="24"/>
                <w:lang w:eastAsia="ru-RU"/>
              </w:rPr>
              <w:t xml:space="preserve">Лидерство, поддержка руководства, </w:t>
            </w:r>
            <w:r w:rsidR="000F3C80" w:rsidRPr="008C5F96">
              <w:rPr>
                <w:rFonts w:eastAsia="Times New Roman"/>
                <w:szCs w:val="24"/>
                <w:lang w:eastAsia="ru-RU"/>
              </w:rPr>
              <w:t xml:space="preserve">наличие </w:t>
            </w:r>
          </w:p>
        </w:tc>
        <w:tc>
          <w:tcPr>
            <w:tcW w:w="0" w:type="auto"/>
            <w:hideMark/>
          </w:tcPr>
          <w:p w14:paraId="6D1F4E12" w14:textId="61604043" w:rsidR="008C5F96" w:rsidRPr="008C5F96" w:rsidRDefault="008C5F96" w:rsidP="00A40C4F">
            <w:pPr>
              <w:ind w:firstLine="0"/>
              <w:rPr>
                <w:rFonts w:eastAsia="Times New Roman"/>
                <w:szCs w:val="24"/>
                <w:lang w:eastAsia="ru-RU"/>
              </w:rPr>
            </w:pPr>
            <w:r w:rsidRPr="008C5F96">
              <w:rPr>
                <w:rFonts w:eastAsia="Times New Roman"/>
                <w:szCs w:val="24"/>
                <w:lang w:eastAsia="ru-RU"/>
              </w:rPr>
              <w:t xml:space="preserve">Отсутствие стратегии инновационного развития, бюрократизация </w:t>
            </w:r>
          </w:p>
        </w:tc>
        <w:tc>
          <w:tcPr>
            <w:tcW w:w="0" w:type="auto"/>
            <w:hideMark/>
          </w:tcPr>
          <w:p w14:paraId="650303B8" w14:textId="6CAA1E92" w:rsidR="008C5F96" w:rsidRPr="00E33D41" w:rsidRDefault="008C5F96" w:rsidP="00A40C4F">
            <w:pPr>
              <w:ind w:firstLine="0"/>
              <w:rPr>
                <w:rFonts w:eastAsia="Times New Roman"/>
                <w:szCs w:val="24"/>
                <w:lang w:val="kk-KZ" w:eastAsia="ru-RU"/>
              </w:rPr>
            </w:pPr>
            <w:r w:rsidRPr="008C5F96">
              <w:rPr>
                <w:rFonts w:eastAsia="Times New Roman"/>
                <w:szCs w:val="24"/>
                <w:lang w:eastAsia="ru-RU"/>
              </w:rPr>
              <w:t>В малых предприятиях – решающая роль руководителя</w:t>
            </w:r>
            <w:r w:rsidR="00B553EE">
              <w:rPr>
                <w:rFonts w:eastAsia="Times New Roman"/>
                <w:szCs w:val="24"/>
                <w:lang w:val="kk-KZ" w:eastAsia="ru-RU"/>
              </w:rPr>
              <w:t xml:space="preserve"> </w:t>
            </w:r>
            <w:r w:rsidR="00B553EE">
              <w:rPr>
                <w:rFonts w:eastAsia="Times New Roman"/>
                <w:szCs w:val="24"/>
                <w:lang w:val="kk-KZ" w:eastAsia="ru-RU"/>
              </w:rPr>
              <w:fldChar w:fldCharType="begin"/>
            </w:r>
            <w:r w:rsidR="009C6DCA">
              <w:rPr>
                <w:rFonts w:eastAsia="Times New Roman"/>
                <w:szCs w:val="24"/>
                <w:lang w:val="kk-KZ" w:eastAsia="ru-RU"/>
              </w:rPr>
              <w:instrText xml:space="preserve"> ADDIN ZOTERO_ITEM CSL_CITATION {"citationID":"ancrec16fq","properties":{"formattedCitation":"[94]","plainCitation":"[94]","noteIndex":0},"citationItems":[{"id":144,"uris":["http://zotero.org/users/16887523/items/W4XP7AYD"],"itemData":{"id":144,"type":"article-journal","abstract":"Small and medium-sized enterprises (SMEs) are pivotal to economic growth, yet many struggle to navigate the ongoing wave of digital transformation. This paper provides an analytical overview of management strategies that enable SMEs to thrive in the digital era. The authors outline the opportunities digital technologies offer to SMEs—such as operational efficiencies, access to new markets, and resilience gains—alongside the challenges these firms face, including limited resources, skill gaps, and resistance to change. Drawing on recent literature (2019–2024), the authors identify critical factors for successful SME digital transformation and propose a structured approach for managers. Key strategies include developing a clear digital transformation roadmap aligned with business goals, investing in employee digital skills and a pro-innovation culture, leveraging external support (partnerships, platforms, and government initiatives), and fostering agility through continuous improvement and adaptation. This structured approach, grounded in dynamic capabilities theory, helps SMEs overcome resource constraints and uncertainty to achieve sustainable competitive advantage in the digital age. The findings offer practical guidance for SME managers and contribute to the academic discourse on how small businesses can effectively manage digital transformation in an ever-evolving technological landscape.","container-title":"Accounting, Marketing and Organization","DOI":"10.71204/aegpvn80","ISSN":"3067-9265","issue":"2","journalAbbreviation":"AMO","license":"https://creativecommons.org/licenses/by/4.0","page":"31-47","source":"DOI.org (Crossref)","title":"Management Strategies for SMEs in the Era of Digital Transformation","URL":"https://amo.cscholar.com/article/view/1000165","volume":"1","author":[{"family":"Li","given":"Kai"}],"accessed":{"date-parts":[["2025",11,22]]},"issued":{"date-parts":[["2025",8,27]]}}}],"schema":"https://github.com/citation-style-language/schema/raw/master/csl-citation.json"} </w:instrText>
            </w:r>
            <w:r w:rsidR="00B553EE">
              <w:rPr>
                <w:rFonts w:eastAsia="Times New Roman"/>
                <w:szCs w:val="24"/>
                <w:lang w:val="kk-KZ" w:eastAsia="ru-RU"/>
              </w:rPr>
              <w:fldChar w:fldCharType="separate"/>
            </w:r>
            <w:r w:rsidR="009C6DCA" w:rsidRPr="009C6DCA">
              <w:t>[94]</w:t>
            </w:r>
            <w:r w:rsidR="00B553EE">
              <w:rPr>
                <w:rFonts w:eastAsia="Times New Roman"/>
                <w:szCs w:val="24"/>
                <w:lang w:val="kk-KZ" w:eastAsia="ru-RU"/>
              </w:rPr>
              <w:fldChar w:fldCharType="end"/>
            </w:r>
            <w:r w:rsidRPr="008C5F96">
              <w:rPr>
                <w:rFonts w:eastAsia="Times New Roman"/>
                <w:szCs w:val="24"/>
                <w:lang w:eastAsia="ru-RU"/>
              </w:rPr>
              <w:t xml:space="preserve">; </w:t>
            </w:r>
          </w:p>
        </w:tc>
      </w:tr>
    </w:tbl>
    <w:p w14:paraId="479A21D7" w14:textId="77777777" w:rsidR="004319BF" w:rsidRPr="00C46E6B" w:rsidRDefault="004319BF" w:rsidP="004319BF">
      <w:pPr>
        <w:rPr>
          <w:rFonts w:ascii="Times New Roman" w:hAnsi="Times New Roman" w:cs="Times New Roman"/>
          <w:sz w:val="28"/>
          <w:szCs w:val="28"/>
          <w:lang w:val="kk-KZ"/>
        </w:rPr>
      </w:pPr>
      <w:r w:rsidRPr="00C46E6B">
        <w:rPr>
          <w:rFonts w:ascii="Times New Roman" w:hAnsi="Times New Roman" w:cs="Times New Roman"/>
          <w:sz w:val="28"/>
          <w:szCs w:val="28"/>
          <w:lang w:val="kk-KZ"/>
        </w:rPr>
        <w:lastRenderedPageBreak/>
        <w:t>Продолжение таблицы 5</w:t>
      </w:r>
    </w:p>
    <w:tbl>
      <w:tblPr>
        <w:tblStyle w:val="a5"/>
        <w:tblW w:w="0" w:type="auto"/>
        <w:tblLook w:val="04A0" w:firstRow="1" w:lastRow="0" w:firstColumn="1" w:lastColumn="0" w:noHBand="0" w:noVBand="1"/>
      </w:tblPr>
      <w:tblGrid>
        <w:gridCol w:w="409"/>
        <w:gridCol w:w="2269"/>
        <w:gridCol w:w="2315"/>
        <w:gridCol w:w="2491"/>
        <w:gridCol w:w="2144"/>
      </w:tblGrid>
      <w:tr w:rsidR="004319BF" w:rsidRPr="008C5F96" w14:paraId="3AC84525" w14:textId="77777777" w:rsidTr="004319BF">
        <w:tc>
          <w:tcPr>
            <w:tcW w:w="409" w:type="dxa"/>
            <w:tcBorders>
              <w:bottom w:val="single" w:sz="4" w:space="0" w:color="auto"/>
            </w:tcBorders>
          </w:tcPr>
          <w:p w14:paraId="41FEF961" w14:textId="29CBD22B" w:rsidR="004319BF" w:rsidRPr="008C5F96" w:rsidRDefault="004319BF" w:rsidP="004319BF">
            <w:pPr>
              <w:ind w:firstLine="0"/>
              <w:jc w:val="center"/>
              <w:rPr>
                <w:rFonts w:eastAsia="Times New Roman"/>
                <w:szCs w:val="24"/>
                <w:lang w:eastAsia="ru-RU"/>
              </w:rPr>
            </w:pPr>
            <w:r>
              <w:rPr>
                <w:rFonts w:eastAsia="Times New Roman"/>
                <w:bCs/>
                <w:szCs w:val="24"/>
                <w:lang w:val="kk-KZ" w:eastAsia="ru-RU"/>
              </w:rPr>
              <w:t>1</w:t>
            </w:r>
          </w:p>
        </w:tc>
        <w:tc>
          <w:tcPr>
            <w:tcW w:w="2269" w:type="dxa"/>
            <w:tcBorders>
              <w:bottom w:val="single" w:sz="4" w:space="0" w:color="auto"/>
            </w:tcBorders>
          </w:tcPr>
          <w:p w14:paraId="6DB1D9B9" w14:textId="0B4A9145" w:rsidR="004319BF" w:rsidRPr="008C5F96" w:rsidRDefault="004319BF" w:rsidP="004319BF">
            <w:pPr>
              <w:ind w:firstLine="0"/>
              <w:jc w:val="center"/>
              <w:rPr>
                <w:rFonts w:eastAsia="Times New Roman"/>
                <w:szCs w:val="24"/>
                <w:lang w:eastAsia="ru-RU"/>
              </w:rPr>
            </w:pPr>
            <w:r>
              <w:rPr>
                <w:rFonts w:eastAsia="Times New Roman"/>
                <w:bCs/>
                <w:szCs w:val="24"/>
                <w:lang w:val="kk-KZ" w:eastAsia="ru-RU"/>
              </w:rPr>
              <w:t>2</w:t>
            </w:r>
          </w:p>
        </w:tc>
        <w:tc>
          <w:tcPr>
            <w:tcW w:w="2315" w:type="dxa"/>
            <w:tcBorders>
              <w:bottom w:val="single" w:sz="4" w:space="0" w:color="auto"/>
            </w:tcBorders>
          </w:tcPr>
          <w:p w14:paraId="5AFA8617" w14:textId="46B3A8C8" w:rsidR="004319BF" w:rsidRPr="008C5F96" w:rsidRDefault="004319BF" w:rsidP="004319BF">
            <w:pPr>
              <w:ind w:firstLine="0"/>
              <w:jc w:val="center"/>
              <w:rPr>
                <w:rFonts w:eastAsia="Times New Roman"/>
                <w:szCs w:val="24"/>
                <w:lang w:eastAsia="ru-RU"/>
              </w:rPr>
            </w:pPr>
            <w:r>
              <w:rPr>
                <w:rFonts w:eastAsia="Times New Roman"/>
                <w:bCs/>
                <w:szCs w:val="24"/>
                <w:lang w:val="kk-KZ" w:eastAsia="ru-RU"/>
              </w:rPr>
              <w:t>3</w:t>
            </w:r>
          </w:p>
        </w:tc>
        <w:tc>
          <w:tcPr>
            <w:tcW w:w="2491" w:type="dxa"/>
            <w:tcBorders>
              <w:bottom w:val="single" w:sz="4" w:space="0" w:color="auto"/>
            </w:tcBorders>
          </w:tcPr>
          <w:p w14:paraId="57F7122C" w14:textId="755EDAA4" w:rsidR="004319BF" w:rsidRPr="008C5F96" w:rsidRDefault="004319BF" w:rsidP="004319BF">
            <w:pPr>
              <w:ind w:firstLine="0"/>
              <w:jc w:val="center"/>
              <w:rPr>
                <w:rFonts w:eastAsia="Times New Roman"/>
                <w:szCs w:val="24"/>
                <w:lang w:eastAsia="ru-RU"/>
              </w:rPr>
            </w:pPr>
            <w:r>
              <w:rPr>
                <w:rFonts w:eastAsia="Times New Roman"/>
                <w:bCs/>
                <w:szCs w:val="24"/>
                <w:lang w:val="kk-KZ" w:eastAsia="ru-RU"/>
              </w:rPr>
              <w:t>4</w:t>
            </w:r>
          </w:p>
        </w:tc>
        <w:tc>
          <w:tcPr>
            <w:tcW w:w="2144" w:type="dxa"/>
            <w:tcBorders>
              <w:bottom w:val="single" w:sz="4" w:space="0" w:color="auto"/>
            </w:tcBorders>
          </w:tcPr>
          <w:p w14:paraId="3C80F874" w14:textId="52F6CB8D" w:rsidR="004319BF" w:rsidRPr="00B553EE" w:rsidRDefault="004319BF" w:rsidP="004319BF">
            <w:pPr>
              <w:ind w:firstLine="0"/>
              <w:jc w:val="center"/>
              <w:rPr>
                <w:rFonts w:eastAsia="Times New Roman"/>
                <w:szCs w:val="24"/>
                <w:lang w:val="kk-KZ" w:eastAsia="ru-RU"/>
              </w:rPr>
            </w:pPr>
            <w:r>
              <w:rPr>
                <w:rFonts w:eastAsia="Times New Roman"/>
                <w:bCs/>
                <w:szCs w:val="24"/>
                <w:lang w:val="kk-KZ" w:eastAsia="ru-RU"/>
              </w:rPr>
              <w:t>5</w:t>
            </w:r>
          </w:p>
        </w:tc>
      </w:tr>
      <w:tr w:rsidR="004319BF" w:rsidRPr="008C5F96" w14:paraId="0C8C70E9" w14:textId="77777777" w:rsidTr="004319BF">
        <w:tc>
          <w:tcPr>
            <w:tcW w:w="409" w:type="dxa"/>
            <w:tcBorders>
              <w:bottom w:val="single" w:sz="4" w:space="0" w:color="auto"/>
            </w:tcBorders>
          </w:tcPr>
          <w:p w14:paraId="17262AA4" w14:textId="77777777" w:rsidR="004319BF" w:rsidRPr="008C5F96" w:rsidRDefault="004319BF" w:rsidP="004319BF">
            <w:pPr>
              <w:ind w:firstLine="0"/>
              <w:rPr>
                <w:rFonts w:eastAsia="Times New Roman"/>
                <w:szCs w:val="24"/>
                <w:lang w:eastAsia="ru-RU"/>
              </w:rPr>
            </w:pPr>
          </w:p>
        </w:tc>
        <w:tc>
          <w:tcPr>
            <w:tcW w:w="2269" w:type="dxa"/>
            <w:tcBorders>
              <w:bottom w:val="single" w:sz="4" w:space="0" w:color="auto"/>
            </w:tcBorders>
          </w:tcPr>
          <w:p w14:paraId="2E3EA335" w14:textId="77777777" w:rsidR="004319BF" w:rsidRPr="008C5F96" w:rsidRDefault="004319BF" w:rsidP="004319BF">
            <w:pPr>
              <w:ind w:firstLine="0"/>
              <w:rPr>
                <w:rFonts w:eastAsia="Times New Roman"/>
                <w:szCs w:val="24"/>
                <w:lang w:eastAsia="ru-RU"/>
              </w:rPr>
            </w:pPr>
          </w:p>
        </w:tc>
        <w:tc>
          <w:tcPr>
            <w:tcW w:w="2315" w:type="dxa"/>
            <w:tcBorders>
              <w:bottom w:val="single" w:sz="4" w:space="0" w:color="auto"/>
            </w:tcBorders>
          </w:tcPr>
          <w:p w14:paraId="3407E2A0" w14:textId="54F0674F" w:rsidR="004319BF" w:rsidRPr="008C5F96" w:rsidRDefault="000F3C80" w:rsidP="004319BF">
            <w:pPr>
              <w:ind w:firstLine="0"/>
              <w:rPr>
                <w:rFonts w:eastAsia="Times New Roman"/>
                <w:szCs w:val="24"/>
                <w:lang w:eastAsia="ru-RU"/>
              </w:rPr>
            </w:pPr>
            <w:r w:rsidRPr="008C5F96">
              <w:rPr>
                <w:rFonts w:eastAsia="Times New Roman"/>
                <w:szCs w:val="24"/>
                <w:lang w:eastAsia="ru-RU"/>
              </w:rPr>
              <w:t xml:space="preserve">инновационной  </w:t>
            </w:r>
            <w:r w:rsidR="00A40C4F" w:rsidRPr="008C5F96">
              <w:rPr>
                <w:rFonts w:eastAsia="Times New Roman"/>
                <w:szCs w:val="24"/>
                <w:lang w:eastAsia="ru-RU"/>
              </w:rPr>
              <w:t>стратегии, применение</w:t>
            </w:r>
            <w:r w:rsidR="00A40C4F">
              <w:rPr>
                <w:rFonts w:eastAsia="Times New Roman"/>
                <w:szCs w:val="24"/>
                <w:lang w:val="kk-KZ" w:eastAsia="ru-RU"/>
              </w:rPr>
              <w:t xml:space="preserve"> </w:t>
            </w:r>
            <w:r w:rsidR="004319BF" w:rsidRPr="008C5F96">
              <w:rPr>
                <w:rFonts w:eastAsia="Times New Roman"/>
                <w:szCs w:val="24"/>
                <w:lang w:eastAsia="ru-RU"/>
              </w:rPr>
              <w:t>проектного и стратегического управления</w:t>
            </w:r>
          </w:p>
        </w:tc>
        <w:tc>
          <w:tcPr>
            <w:tcW w:w="2491" w:type="dxa"/>
            <w:tcBorders>
              <w:bottom w:val="single" w:sz="4" w:space="0" w:color="auto"/>
            </w:tcBorders>
          </w:tcPr>
          <w:p w14:paraId="2D8DDAB5" w14:textId="448E38EF" w:rsidR="004319BF" w:rsidRPr="008C5F96" w:rsidRDefault="00A40C4F" w:rsidP="004319BF">
            <w:pPr>
              <w:ind w:firstLine="0"/>
              <w:rPr>
                <w:rFonts w:eastAsia="Times New Roman"/>
                <w:szCs w:val="24"/>
                <w:lang w:eastAsia="ru-RU"/>
              </w:rPr>
            </w:pPr>
            <w:r w:rsidRPr="008C5F96">
              <w:rPr>
                <w:rFonts w:eastAsia="Times New Roman"/>
                <w:szCs w:val="24"/>
                <w:lang w:eastAsia="ru-RU"/>
              </w:rPr>
              <w:t xml:space="preserve">управленческих процедур, низкая </w:t>
            </w:r>
            <w:r w:rsidR="004319BF" w:rsidRPr="008C5F96">
              <w:rPr>
                <w:rFonts w:eastAsia="Times New Roman"/>
                <w:szCs w:val="24"/>
                <w:lang w:eastAsia="ru-RU"/>
              </w:rPr>
              <w:t>мотивация к изменениям</w:t>
            </w:r>
          </w:p>
        </w:tc>
        <w:tc>
          <w:tcPr>
            <w:tcW w:w="2144" w:type="dxa"/>
            <w:tcBorders>
              <w:bottom w:val="single" w:sz="4" w:space="0" w:color="auto"/>
            </w:tcBorders>
          </w:tcPr>
          <w:p w14:paraId="360C2FA4" w14:textId="5563CB5D" w:rsidR="004319BF" w:rsidRPr="00B553EE" w:rsidRDefault="00A40C4F" w:rsidP="004319BF">
            <w:pPr>
              <w:ind w:firstLine="0"/>
              <w:rPr>
                <w:rFonts w:eastAsia="Times New Roman"/>
                <w:szCs w:val="24"/>
                <w:lang w:val="kk-KZ" w:eastAsia="ru-RU"/>
              </w:rPr>
            </w:pPr>
            <w:r w:rsidRPr="008C5F96">
              <w:rPr>
                <w:rFonts w:eastAsia="Times New Roman"/>
                <w:szCs w:val="24"/>
                <w:lang w:eastAsia="ru-RU"/>
              </w:rPr>
              <w:t xml:space="preserve">в крупных – инерция и </w:t>
            </w:r>
            <w:r w:rsidR="004319BF" w:rsidRPr="008C5F96">
              <w:rPr>
                <w:rFonts w:eastAsia="Times New Roman"/>
                <w:szCs w:val="24"/>
                <w:lang w:eastAsia="ru-RU"/>
              </w:rPr>
              <w:t>сложность согласований</w:t>
            </w:r>
            <w:r w:rsidR="004319BF">
              <w:rPr>
                <w:rFonts w:eastAsia="Times New Roman"/>
                <w:szCs w:val="24"/>
                <w:lang w:val="kk-KZ" w:eastAsia="ru-RU"/>
              </w:rPr>
              <w:t xml:space="preserve"> </w:t>
            </w:r>
            <w:r w:rsidR="004319BF">
              <w:rPr>
                <w:rFonts w:eastAsia="Times New Roman"/>
                <w:szCs w:val="24"/>
                <w:lang w:val="kk-KZ" w:eastAsia="ru-RU"/>
              </w:rPr>
              <w:fldChar w:fldCharType="begin"/>
            </w:r>
            <w:r w:rsidR="004319BF">
              <w:rPr>
                <w:rFonts w:eastAsia="Times New Roman"/>
                <w:szCs w:val="24"/>
                <w:lang w:val="kk-KZ" w:eastAsia="ru-RU"/>
              </w:rPr>
              <w:instrText xml:space="preserve"> ADDIN ZOTERO_ITEM CSL_CITATION {"citationID":"a2p9pr5lvfa","properties":{"formattedCitation":"[95]","plainCitation":"[95]","noteIndex":0},"citationItems":[{"id":151,"uris":["http://zotero.org/users/16887523/items/765U286W"],"itemData":{"id":151,"type":"article-journal","abstract":"Type of the article: Research Article\nAbstractIn developing economies, financial institutions are positioned as a catalyst for economic innovation, yet there is little empirical research linking digital transformation to an enhanced management control function within these institutions. This paper investigates the relationship between digital transformation and the management control function in financial institutions, based on a study conducted in Moroccan financial institutions.A quantitative survey, conducted in 2025, focused on 149 controllers from about 90 Moroccan financial institutions. Clearly, the sample size was limited, and the representation was justified. Five hypotheses were tested in a regression analysis. The findings confirmed a positive relationship between the management controller effectiveness and the use of digital levers. Evidence indicated that automation had the most influence, followed by the implementation of Business Intelligence and Big Data, followed by Cyber Security, followed by Cloud-enabled mobile. Data visualization also had a weaker but significant impact. These findings were consistent with previous literature regarding the Moroccan context. It was encouraging finding that the use of digital levers in management control provided operational efficiencies, as well as assisting controllers in the strategic advisory aspects. However, we caution against overgeneralizing based on the limited sample size. It is recommended that further research be conducted in more diverse types of institutions and that this validation work be expanded by using future digital integrations such as artificial intelligence and predictive analytics.","container-title":"Investment Management and Financial Innovations","DOI":"10.21511/imfi.22(3).2025.34","ISSN":"18104967, 18129358","issue":"3","journalAbbreviation":"Investment Management and Financial Innovations","license":"http://creativecommons.org/licenses/by/3.0/deed.en_US","page":"455-469","source":"DOI.org (Crossref)","title":"Digital transformation and improvement of management control: Empirical study in financial institutions","title-short":"Digital transformation and improvement of management control","URL":"https://www.businessperspectives.org/index.php/journals/investment-management-and-financial-innovations/issue-493/digital-transformation-and-improvement-of-management-control-empirical-study-in-financial-institutions","volume":"22","author":[{"family":"Massaoudi","given":"El Mahdi El"},{"family":"El Hammoumi","given":"Ahmed"},{"family":"Seghyar","given":"Nabil"},{"family":"El Ouali","given":"Adil"}],"accessed":{"date-parts":[["2025",11,22]]},"issued":{"date-parts":[["2025",9,25]]}}}],"schema":"https://github.com/citation-style-language/schema/raw/master/csl-citation.json"} </w:instrText>
            </w:r>
            <w:r w:rsidR="004319BF">
              <w:rPr>
                <w:rFonts w:eastAsia="Times New Roman"/>
                <w:szCs w:val="24"/>
                <w:lang w:val="kk-KZ" w:eastAsia="ru-RU"/>
              </w:rPr>
              <w:fldChar w:fldCharType="separate"/>
            </w:r>
            <w:r w:rsidR="004319BF" w:rsidRPr="009C6DCA">
              <w:t>[95]</w:t>
            </w:r>
            <w:r w:rsidR="004319BF">
              <w:rPr>
                <w:rFonts w:eastAsia="Times New Roman"/>
                <w:szCs w:val="24"/>
                <w:lang w:val="kk-KZ" w:eastAsia="ru-RU"/>
              </w:rPr>
              <w:fldChar w:fldCharType="end"/>
            </w:r>
          </w:p>
        </w:tc>
      </w:tr>
      <w:tr w:rsidR="004319BF" w:rsidRPr="008C5F96" w14:paraId="2DFF95B2" w14:textId="77777777" w:rsidTr="004319BF">
        <w:tc>
          <w:tcPr>
            <w:tcW w:w="409" w:type="dxa"/>
            <w:tcBorders>
              <w:bottom w:val="single" w:sz="4" w:space="0" w:color="auto"/>
            </w:tcBorders>
          </w:tcPr>
          <w:p w14:paraId="519394DE" w14:textId="02A0DA5E" w:rsidR="004319BF" w:rsidRPr="008C5F96" w:rsidRDefault="004319BF" w:rsidP="004319BF">
            <w:pPr>
              <w:ind w:firstLine="0"/>
              <w:rPr>
                <w:rFonts w:eastAsia="Times New Roman"/>
                <w:bCs/>
                <w:szCs w:val="24"/>
                <w:lang w:eastAsia="ru-RU"/>
              </w:rPr>
            </w:pPr>
            <w:r w:rsidRPr="008C5F96">
              <w:rPr>
                <w:rFonts w:eastAsia="Times New Roman"/>
                <w:bCs/>
                <w:szCs w:val="24"/>
                <w:lang w:eastAsia="ru-RU"/>
              </w:rPr>
              <w:t>2</w:t>
            </w:r>
          </w:p>
        </w:tc>
        <w:tc>
          <w:tcPr>
            <w:tcW w:w="2269" w:type="dxa"/>
            <w:tcBorders>
              <w:bottom w:val="single" w:sz="4" w:space="0" w:color="auto"/>
            </w:tcBorders>
          </w:tcPr>
          <w:p w14:paraId="25C2DB5F" w14:textId="6FE5F5ED" w:rsidR="004319BF" w:rsidRPr="008C5F96" w:rsidRDefault="004319BF" w:rsidP="004319BF">
            <w:pPr>
              <w:ind w:firstLine="0"/>
              <w:rPr>
                <w:rFonts w:eastAsia="Times New Roman"/>
                <w:bCs/>
                <w:szCs w:val="24"/>
                <w:lang w:eastAsia="ru-RU"/>
              </w:rPr>
            </w:pPr>
            <w:r w:rsidRPr="008C5F96">
              <w:rPr>
                <w:rFonts w:eastAsia="Times New Roman"/>
                <w:bCs/>
                <w:szCs w:val="24"/>
                <w:lang w:eastAsia="ru-RU"/>
              </w:rPr>
              <w:t>Технологические и материально-сырьевые ресурсы</w:t>
            </w:r>
          </w:p>
        </w:tc>
        <w:tc>
          <w:tcPr>
            <w:tcW w:w="2315" w:type="dxa"/>
            <w:tcBorders>
              <w:bottom w:val="single" w:sz="4" w:space="0" w:color="auto"/>
            </w:tcBorders>
          </w:tcPr>
          <w:p w14:paraId="3F66935E" w14:textId="641884A0" w:rsidR="004319BF" w:rsidRPr="008C5F96" w:rsidRDefault="004319BF" w:rsidP="004319BF">
            <w:pPr>
              <w:ind w:firstLine="0"/>
              <w:rPr>
                <w:rFonts w:eastAsia="Times New Roman"/>
                <w:szCs w:val="24"/>
                <w:lang w:eastAsia="ru-RU"/>
              </w:rPr>
            </w:pPr>
            <w:r w:rsidRPr="008C5F96">
              <w:rPr>
                <w:rFonts w:eastAsia="Times New Roman"/>
                <w:szCs w:val="24"/>
                <w:lang w:eastAsia="ru-RU"/>
              </w:rPr>
              <w:t>Современное оборудование, обновление технологий, доступ к инфраструктуре, внедрение цифровых инструментов</w:t>
            </w:r>
          </w:p>
        </w:tc>
        <w:tc>
          <w:tcPr>
            <w:tcW w:w="2491" w:type="dxa"/>
            <w:tcBorders>
              <w:bottom w:val="single" w:sz="4" w:space="0" w:color="auto"/>
            </w:tcBorders>
          </w:tcPr>
          <w:p w14:paraId="5D305E67" w14:textId="1BA4E4E4" w:rsidR="004319BF" w:rsidRPr="008C5F96" w:rsidRDefault="004319BF" w:rsidP="004319BF">
            <w:pPr>
              <w:ind w:firstLine="0"/>
              <w:rPr>
                <w:rFonts w:eastAsia="Times New Roman"/>
                <w:szCs w:val="24"/>
                <w:lang w:eastAsia="ru-RU"/>
              </w:rPr>
            </w:pPr>
            <w:r w:rsidRPr="008C5F96">
              <w:rPr>
                <w:rFonts w:eastAsia="Times New Roman"/>
                <w:szCs w:val="24"/>
                <w:lang w:eastAsia="ru-RU"/>
              </w:rPr>
              <w:t>Износ основных средств, технологическое отставание, зависимость от импортных комплектующих</w:t>
            </w:r>
          </w:p>
        </w:tc>
        <w:tc>
          <w:tcPr>
            <w:tcW w:w="2144" w:type="dxa"/>
            <w:tcBorders>
              <w:bottom w:val="single" w:sz="4" w:space="0" w:color="auto"/>
            </w:tcBorders>
          </w:tcPr>
          <w:p w14:paraId="23A28CC8" w14:textId="1FEDAE7C" w:rsidR="004319BF" w:rsidRPr="008C5F96" w:rsidRDefault="004319BF" w:rsidP="004319BF">
            <w:pPr>
              <w:ind w:firstLine="0"/>
              <w:rPr>
                <w:rFonts w:eastAsia="Times New Roman"/>
                <w:szCs w:val="24"/>
                <w:lang w:eastAsia="ru-RU"/>
              </w:rPr>
            </w:pPr>
            <w:r w:rsidRPr="008C5F96">
              <w:rPr>
                <w:rFonts w:eastAsia="Times New Roman"/>
                <w:szCs w:val="24"/>
                <w:lang w:eastAsia="ru-RU"/>
              </w:rPr>
              <w:t>Малые предприятия – ограниченные инвестиции</w:t>
            </w:r>
            <w:r>
              <w:rPr>
                <w:rFonts w:eastAsia="Times New Roman"/>
                <w:szCs w:val="24"/>
                <w:lang w:val="kk-KZ" w:eastAsia="ru-RU"/>
              </w:rPr>
              <w:t xml:space="preserve"> </w:t>
            </w:r>
            <w:r>
              <w:rPr>
                <w:rFonts w:eastAsia="Times New Roman"/>
                <w:szCs w:val="24"/>
                <w:lang w:val="kk-KZ" w:eastAsia="ru-RU"/>
              </w:rPr>
              <w:fldChar w:fldCharType="begin"/>
            </w:r>
            <w:r>
              <w:rPr>
                <w:rFonts w:eastAsia="Times New Roman"/>
                <w:szCs w:val="24"/>
                <w:lang w:val="kk-KZ" w:eastAsia="ru-RU"/>
              </w:rPr>
              <w:instrText xml:space="preserve"> ADDIN ZOTERO_ITEM CSL_CITATION {"citationID":"a1au77su9i4","properties":{"formattedCitation":"[96]","plainCitation":"[96]","noteIndex":0},"citationItems":[{"id":145,"uris":["http://zotero.org/users/16887523/items/LC99S98P"],"itemData":{"id":145,"type":"article-journal","abstract":"This study explores the innovation barriers and implementation strategies within small and medium-sized manufacturing enterprises (SMEs) in the Mazowieckie Voivodeship of Poland. Despite their crucial role in the regional economy, these enterprises face significant hurdles that impede their growth potential and innovation capabilities. Using a mixed-methods approach, the research analyzes both quantitative and qualitative data from 426 manufacturing enterprises. The findings reveal that the primary barriers include limited access to capital, outdated technologies, and a shortage of skilled labor. Furthermore, the study identifies that while company size and age do not significantly influence the type of innovations introduced, external factors such as market reach and capital availability play critical roles. The study underscores the need for tailored policy interventions to support SMEs in overcoming these barriers and fostering an environment conducive to innovation.","container-title":"Sustainability","DOI":"10.3390/su17167525","ISSN":"2071-1050","issue":"16","journalAbbreviation":"Sustainability","language":"en","page":"7525","source":"DOI.org (Crossref)","title":"Barriers to Innovation in Manufacturing SMEs: Evidence from the Mazowieckie Voivodeship (Poland)","title-short":"Barriers to Innovation in Manufacturing SMEs","URL":"https://www.mdpi.com/2071-1050/17/16/7525","volume":"17","author":[{"family":"Wojtaszek","given":"Henryk"},{"family":"Miciuła","given":"Ireneusz"},{"family":"Kowalczyk","given":"Anna"},{"family":"Handschke","given":"Mikołaj"},{"family":"Malinowska","given":"Irena"},{"family":"Budrowski","given":"Dariusz"},{"family":"Pawlińska","given":"Aneta"},{"family":"Wójcik-Czerniawska","given":"Agnieszka"}],"accessed":{"date-parts":[["2025",11,22]]},"issued":{"date-parts":[["2025",8,20]]}}}],"schema":"https://github.com/citation-style-language/schema/raw/master/csl-citation.json"} </w:instrText>
            </w:r>
            <w:r>
              <w:rPr>
                <w:rFonts w:eastAsia="Times New Roman"/>
                <w:szCs w:val="24"/>
                <w:lang w:val="kk-KZ" w:eastAsia="ru-RU"/>
              </w:rPr>
              <w:fldChar w:fldCharType="separate"/>
            </w:r>
            <w:r w:rsidRPr="009C6DCA">
              <w:t>[96]</w:t>
            </w:r>
            <w:r>
              <w:rPr>
                <w:rFonts w:eastAsia="Times New Roman"/>
                <w:szCs w:val="24"/>
                <w:lang w:val="kk-KZ" w:eastAsia="ru-RU"/>
              </w:rPr>
              <w:fldChar w:fldCharType="end"/>
            </w:r>
            <w:r w:rsidRPr="008C5F96">
              <w:rPr>
                <w:rFonts w:eastAsia="Times New Roman"/>
                <w:szCs w:val="24"/>
                <w:lang w:eastAsia="ru-RU"/>
              </w:rPr>
              <w:t xml:space="preserve">; крупные – длительные циклы </w:t>
            </w:r>
            <w:r w:rsidRPr="00FC6007">
              <w:rPr>
                <w:rFonts w:eastAsia="Times New Roman"/>
                <w:szCs w:val="24"/>
                <w:lang w:eastAsia="ru-RU"/>
              </w:rPr>
              <w:t>модернизации</w:t>
            </w:r>
            <w:r>
              <w:rPr>
                <w:rFonts w:eastAsia="Times New Roman"/>
                <w:szCs w:val="24"/>
                <w:lang w:val="kk-KZ" w:eastAsia="ru-RU"/>
              </w:rPr>
              <w:t xml:space="preserve"> </w:t>
            </w:r>
            <w:r>
              <w:rPr>
                <w:rFonts w:eastAsia="Times New Roman"/>
                <w:szCs w:val="24"/>
                <w:lang w:val="kk-KZ" w:eastAsia="ru-RU"/>
              </w:rPr>
              <w:fldChar w:fldCharType="begin"/>
            </w:r>
            <w:r>
              <w:rPr>
                <w:rFonts w:eastAsia="Times New Roman"/>
                <w:szCs w:val="24"/>
                <w:lang w:val="kk-KZ" w:eastAsia="ru-RU"/>
              </w:rPr>
              <w:instrText xml:space="preserve"> ADDIN ZOTERO_ITEM CSL_CITATION {"citationID":"a1a15v9v59q","properties":{"formattedCitation":"[97]","plainCitation":"[97]","noteIndex":0},"citationItems":[{"id":152,"uris":["http://zotero.org/users/16887523/items/SPVES3HY"],"itemData":{"id":152,"type":"article-journal","abstract":"This study is devoted to the analysis of scientific and methodological approaches to assessing the impact of innovative digital technologies and services on the transformation of supply chains in petrochemical enterprises. The paper reviews existing methods for evaluating the effectiveness of the practical application of innovative digital technologies and services in supply chain management, outlining their advantages and limitations, and identifies the most effective combinations of assessment methods. Based on a systematic analysis of academic literature, industry reports, and implemented projects, the study proposes an evaluation scale and an integrated assessment criterion, which are used to assess nine key digital technologies and services that exert a significant influence on the transformation of supply chain-related business processes. The key effects resulting from the implementation of each technology are identified. The findings reveal a high degree of interdependence among digital technologies and services, with the most substantial effects achieved through their comprehensive integration into enterprise business processes.","container-title":"Научные проблемы водного транспорта","DOI":"10.37890/jwt.vi84.620","ISSN":"2713-1866, 2713-1858","issue":"3","journalAbbreviation":"JWT","license":"https://creativecommons.org/licenses/by/4.0/deed.ru","page":"115-129","source":"DOI.org (Crossref)","title":"Научно-методические подходы к оценке влияния инновационных цифровых технологий и услуг на трансформацию цепей поставок продукции нефтехимических предприятий","URL":"http://journal.vsuwt.ru/index.php/jwt/article/view/620","volume":"84","author":[{"family":"Бухалкин","given":"Д.Д."},{"family":"Костров","given":"В.Н."}],"accessed":{"date-parts":[["2025",11,22]]},"issued":{"date-parts":[["2025"]]}}}],"schema":"https://github.com/citation-style-language/schema/raw/master/csl-citation.json"} </w:instrText>
            </w:r>
            <w:r>
              <w:rPr>
                <w:rFonts w:eastAsia="Times New Roman"/>
                <w:szCs w:val="24"/>
                <w:lang w:val="kk-KZ" w:eastAsia="ru-RU"/>
              </w:rPr>
              <w:fldChar w:fldCharType="separate"/>
            </w:r>
            <w:r w:rsidRPr="009C6DCA">
              <w:t>[97]</w:t>
            </w:r>
            <w:r>
              <w:rPr>
                <w:rFonts w:eastAsia="Times New Roman"/>
                <w:szCs w:val="24"/>
                <w:lang w:val="kk-KZ" w:eastAsia="ru-RU"/>
              </w:rPr>
              <w:fldChar w:fldCharType="end"/>
            </w:r>
          </w:p>
        </w:tc>
      </w:tr>
      <w:tr w:rsidR="004319BF" w:rsidRPr="00C46E6B" w14:paraId="20FC6D0C" w14:textId="77777777" w:rsidTr="004319BF">
        <w:tc>
          <w:tcPr>
            <w:tcW w:w="409" w:type="dxa"/>
            <w:hideMark/>
          </w:tcPr>
          <w:p w14:paraId="30116F77" w14:textId="77777777" w:rsidR="004319BF" w:rsidRPr="008C5F96" w:rsidRDefault="004319BF" w:rsidP="004319BF">
            <w:pPr>
              <w:ind w:firstLine="0"/>
              <w:rPr>
                <w:rFonts w:eastAsia="Times New Roman"/>
                <w:szCs w:val="24"/>
                <w:lang w:eastAsia="ru-RU"/>
              </w:rPr>
            </w:pPr>
            <w:r w:rsidRPr="008C5F96">
              <w:rPr>
                <w:rFonts w:eastAsia="Times New Roman"/>
                <w:bCs/>
                <w:szCs w:val="24"/>
                <w:lang w:eastAsia="ru-RU"/>
              </w:rPr>
              <w:t>3</w:t>
            </w:r>
          </w:p>
        </w:tc>
        <w:tc>
          <w:tcPr>
            <w:tcW w:w="2269" w:type="dxa"/>
            <w:hideMark/>
          </w:tcPr>
          <w:p w14:paraId="27EDE599" w14:textId="77777777" w:rsidR="004319BF" w:rsidRPr="008C5F96" w:rsidRDefault="004319BF" w:rsidP="004319BF">
            <w:pPr>
              <w:ind w:firstLine="0"/>
              <w:rPr>
                <w:rFonts w:eastAsia="Times New Roman"/>
                <w:szCs w:val="24"/>
                <w:lang w:eastAsia="ru-RU"/>
              </w:rPr>
            </w:pPr>
            <w:r w:rsidRPr="008C5F96">
              <w:rPr>
                <w:rFonts w:eastAsia="Times New Roman"/>
                <w:bCs/>
                <w:szCs w:val="24"/>
                <w:lang w:eastAsia="ru-RU"/>
              </w:rPr>
              <w:t>Финансовые ресурсы и инструменты</w:t>
            </w:r>
          </w:p>
        </w:tc>
        <w:tc>
          <w:tcPr>
            <w:tcW w:w="2315" w:type="dxa"/>
            <w:hideMark/>
          </w:tcPr>
          <w:p w14:paraId="6C8DEF5A" w14:textId="77777777" w:rsidR="004319BF" w:rsidRPr="008C5F96" w:rsidRDefault="004319BF" w:rsidP="004319BF">
            <w:pPr>
              <w:ind w:firstLine="0"/>
              <w:rPr>
                <w:rFonts w:eastAsia="Times New Roman"/>
                <w:szCs w:val="24"/>
                <w:lang w:eastAsia="ru-RU"/>
              </w:rPr>
            </w:pPr>
            <w:r w:rsidRPr="008C5F96">
              <w:rPr>
                <w:rFonts w:eastAsia="Times New Roman"/>
                <w:szCs w:val="24"/>
                <w:lang w:eastAsia="ru-RU"/>
              </w:rPr>
              <w:t>Достаточность собственных средств, доступ к кредитам, грантам, льготному финансированию, участие в программах поддержки</w:t>
            </w:r>
          </w:p>
        </w:tc>
        <w:tc>
          <w:tcPr>
            <w:tcW w:w="2491" w:type="dxa"/>
            <w:hideMark/>
          </w:tcPr>
          <w:p w14:paraId="1C24488F" w14:textId="77777777" w:rsidR="004319BF" w:rsidRPr="008C5F96" w:rsidRDefault="004319BF" w:rsidP="004319BF">
            <w:pPr>
              <w:ind w:firstLine="0"/>
              <w:rPr>
                <w:rFonts w:eastAsia="Times New Roman"/>
                <w:szCs w:val="24"/>
                <w:lang w:eastAsia="ru-RU"/>
              </w:rPr>
            </w:pPr>
            <w:r w:rsidRPr="008C5F96">
              <w:rPr>
                <w:rFonts w:eastAsia="Times New Roman"/>
                <w:szCs w:val="24"/>
                <w:lang w:eastAsia="ru-RU"/>
              </w:rPr>
              <w:t>Нехватка финансирования, высокая стоимость заимствований, низкая инвестиционная привлекательность инноваций</w:t>
            </w:r>
          </w:p>
        </w:tc>
        <w:tc>
          <w:tcPr>
            <w:tcW w:w="2144" w:type="dxa"/>
            <w:hideMark/>
          </w:tcPr>
          <w:p w14:paraId="370048FA" w14:textId="58915A6D" w:rsidR="004319BF" w:rsidRPr="00FC6007" w:rsidRDefault="004319BF" w:rsidP="004319BF">
            <w:pPr>
              <w:ind w:firstLine="0"/>
              <w:rPr>
                <w:rFonts w:eastAsia="Times New Roman"/>
                <w:szCs w:val="24"/>
                <w:lang w:val="kk-KZ" w:eastAsia="ru-RU"/>
              </w:rPr>
            </w:pPr>
            <w:r w:rsidRPr="008C5F96">
              <w:rPr>
                <w:rFonts w:eastAsia="Times New Roman"/>
                <w:szCs w:val="24"/>
                <w:lang w:eastAsia="ru-RU"/>
              </w:rPr>
              <w:t>Для малых предприятий – основной барьер</w:t>
            </w:r>
            <w:r>
              <w:rPr>
                <w:rFonts w:eastAsia="Times New Roman"/>
                <w:szCs w:val="24"/>
                <w:lang w:val="kk-KZ" w:eastAsia="ru-RU"/>
              </w:rPr>
              <w:t xml:space="preserve"> </w:t>
            </w:r>
            <w:r>
              <w:rPr>
                <w:rFonts w:eastAsia="Times New Roman"/>
                <w:szCs w:val="24"/>
                <w:lang w:val="kk-KZ" w:eastAsia="ru-RU"/>
              </w:rPr>
              <w:fldChar w:fldCharType="begin"/>
            </w:r>
            <w:r>
              <w:rPr>
                <w:rFonts w:eastAsia="Times New Roman"/>
                <w:szCs w:val="24"/>
                <w:lang w:val="kk-KZ" w:eastAsia="ru-RU"/>
              </w:rPr>
              <w:instrText xml:space="preserve"> ADDIN ZOTERO_ITEM CSL_CITATION {"citationID":"adhhogdtsr","properties":{"formattedCitation":"[98]","plainCitation":"[98]","noteIndex":0},"citationItems":[{"id":146,"uris":["http://zotero.org/users/16887523/items/KV38N2IF"],"itemData":{"id":146,"type":"article-journal","abstract":"The study analyses the challenges faced by small and medium-sized enterprises (SMEs) in the adoption of digital technologies for the optimization of their financial management. Through a literature review, an exhaustive search was carried out in the Scopus and Scielo databases, selecting 26 relevant studies. The findings reveal that most research takes a quantitative approach and highlights the positive impact of digitalization on operational efficiency, cost reduction, and access to financing. However, significant barriers are identified, such as scarcity of resources, lack of training, and organizational resistance to change. To address these challenges, the implementation of technological investment strategies, training programs for human talent, and government support policies is recommended. The integration of digital tools and innovative financial models is emerging as a determining factor to strengthen the competitiveness and sustainability of SMEs in a highly digitalized economic environment.\n          ,","container-title":"Lex localis - Journal of Local Self-Government","DOI":"10.52152/801392","ISSN":"1855-363X, 1581-5374","issue":"S5","journalAbbreviation":"LEX","license":"https://creativecommons.org/licenses/by-nc-nd/4.0","page":"1398-1425","source":"DOI.org (Crossref)","title":"DIGITAL INNOVATION IN THE FINANCIAL MANAGEMENT OF SMES: A LITERATURE REVIEW","title-short":"DIGITAL INNOVATION IN THE FINANCIAL MANAGEMENT OF SMES","URL":"https://lex-localis.org/index.php/LexLocalis/article/view/801392","volume":"23","author":[{"family":"Orellana","given":"Fernando Polo"},{"family":"Urbano","given":"Richard Victor Diaz"},{"family":"Aylas","given":"Cosme Dennis Ramos"},{"family":"Diaz","given":"Jeyson Jesus Richard Meza"}],"accessed":{"date-parts":[["2025",11,22]]},"issued":{"date-parts":[["2025",8,12]]}}}],"schema":"https://github.com/citation-style-language/schema/raw/master/csl-citation.json"} </w:instrText>
            </w:r>
            <w:r>
              <w:rPr>
                <w:rFonts w:eastAsia="Times New Roman"/>
                <w:szCs w:val="24"/>
                <w:lang w:val="kk-KZ" w:eastAsia="ru-RU"/>
              </w:rPr>
              <w:fldChar w:fldCharType="separate"/>
            </w:r>
            <w:r w:rsidRPr="009C6DCA">
              <w:t>[98]</w:t>
            </w:r>
            <w:r>
              <w:rPr>
                <w:rFonts w:eastAsia="Times New Roman"/>
                <w:szCs w:val="24"/>
                <w:lang w:val="kk-KZ" w:eastAsia="ru-RU"/>
              </w:rPr>
              <w:fldChar w:fldCharType="end"/>
            </w:r>
            <w:r w:rsidRPr="008C5F96">
              <w:rPr>
                <w:rFonts w:eastAsia="Times New Roman"/>
                <w:szCs w:val="24"/>
                <w:lang w:eastAsia="ru-RU"/>
              </w:rPr>
              <w:t>; для крупных – риск снижения эффективности распределения средств</w:t>
            </w:r>
            <w:r>
              <w:rPr>
                <w:rFonts w:eastAsia="Times New Roman"/>
                <w:szCs w:val="24"/>
                <w:lang w:val="kk-KZ" w:eastAsia="ru-RU"/>
              </w:rPr>
              <w:t xml:space="preserve"> </w:t>
            </w:r>
            <w:r>
              <w:rPr>
                <w:rFonts w:eastAsia="Times New Roman"/>
                <w:szCs w:val="24"/>
                <w:lang w:val="kk-KZ" w:eastAsia="ru-RU"/>
              </w:rPr>
              <w:fldChar w:fldCharType="begin"/>
            </w:r>
            <w:r>
              <w:rPr>
                <w:rFonts w:eastAsia="Times New Roman"/>
                <w:szCs w:val="24"/>
                <w:lang w:val="kk-KZ" w:eastAsia="ru-RU"/>
              </w:rPr>
              <w:instrText xml:space="preserve"> ADDIN ZOTERO_ITEM CSL_CITATION {"citationID":"a2m33skpn7h","properties":{"formattedCitation":"[99]","plainCitation":"[99]","noteIndex":0},"citationItems":[{"id":153,"uris":["http://zotero.org/users/16887523/items/S8YLDAZT"],"itemData":{"id":153,"type":"article-journal","abstract":"Financial resource management is a critical aspect of running a successful business. It includes making strategic decisions and implementing effective practices to ensure the efficient and effective use of the company's financial resources. The article will consider various strategies and methods that companies can use to effectively manage their financial resources.","collection-title":"ОБРАЗОВАНИЕ, НАУКА И ИННОВАЦИИ","container-title":"Илимий-маалыматтык журналы","DOI":"10.58494/esai.25(10).2025.52","ISSN":"1694-8378","issue":"10","journalAbbreviation":"EJ","language":"en","page":"303-308","source":"DOI.org (Crossref)","title":"ЭФФЕКТИВНОЕ УПРАВЛЕНИЕ ФИНАНСОВЫМИ РЕСУРСАМИ ВЕДЕТ К УСПЕШНОМУ БИЗНЕСУ","title-short":"ИТЭИ","URL":"https://docs.google.com/document/d/14j4JNdY2dqU2-LVXLeoSbQWhhgxxJ_V2/edit?tab=t.0","volume":"25","author":[{"family":"Тажибаева","given":"Н.Т."}],"accessed":{"date-parts":[["2025",11,22]]},"issued":{"date-parts":[["2025"]]}}}],"schema":"https://github.com/citation-style-language/schema/raw/master/csl-citation.json"} </w:instrText>
            </w:r>
            <w:r>
              <w:rPr>
                <w:rFonts w:eastAsia="Times New Roman"/>
                <w:szCs w:val="24"/>
                <w:lang w:val="kk-KZ" w:eastAsia="ru-RU"/>
              </w:rPr>
              <w:fldChar w:fldCharType="separate"/>
            </w:r>
            <w:r w:rsidRPr="009C6DCA">
              <w:t>[99]</w:t>
            </w:r>
            <w:r>
              <w:rPr>
                <w:rFonts w:eastAsia="Times New Roman"/>
                <w:szCs w:val="24"/>
                <w:lang w:val="kk-KZ" w:eastAsia="ru-RU"/>
              </w:rPr>
              <w:fldChar w:fldCharType="end"/>
            </w:r>
          </w:p>
        </w:tc>
      </w:tr>
      <w:tr w:rsidR="004319BF" w:rsidRPr="00C46E6B" w14:paraId="73885A76" w14:textId="77777777" w:rsidTr="004319BF">
        <w:tc>
          <w:tcPr>
            <w:tcW w:w="409" w:type="dxa"/>
            <w:tcBorders>
              <w:bottom w:val="nil"/>
            </w:tcBorders>
          </w:tcPr>
          <w:p w14:paraId="2DD3353F" w14:textId="03281ED6" w:rsidR="004319BF" w:rsidRPr="008C5F96" w:rsidRDefault="004319BF" w:rsidP="004319BF">
            <w:pPr>
              <w:ind w:firstLine="0"/>
              <w:rPr>
                <w:rFonts w:eastAsia="Times New Roman"/>
                <w:bCs/>
                <w:szCs w:val="24"/>
                <w:lang w:eastAsia="ru-RU"/>
              </w:rPr>
            </w:pPr>
            <w:r w:rsidRPr="008C5F96">
              <w:rPr>
                <w:rFonts w:eastAsia="Times New Roman"/>
                <w:bCs/>
                <w:szCs w:val="24"/>
                <w:lang w:eastAsia="ru-RU"/>
              </w:rPr>
              <w:t>4</w:t>
            </w:r>
          </w:p>
        </w:tc>
        <w:tc>
          <w:tcPr>
            <w:tcW w:w="2269" w:type="dxa"/>
            <w:tcBorders>
              <w:bottom w:val="nil"/>
            </w:tcBorders>
          </w:tcPr>
          <w:p w14:paraId="1AAE6C09" w14:textId="3533A72C" w:rsidR="004319BF" w:rsidRPr="008C5F96" w:rsidRDefault="004319BF" w:rsidP="004319BF">
            <w:pPr>
              <w:ind w:firstLine="0"/>
              <w:rPr>
                <w:rFonts w:eastAsia="Times New Roman"/>
                <w:bCs/>
                <w:szCs w:val="24"/>
                <w:lang w:eastAsia="ru-RU"/>
              </w:rPr>
            </w:pPr>
            <w:r w:rsidRPr="008C5F96">
              <w:rPr>
                <w:rFonts w:eastAsia="Times New Roman"/>
                <w:bCs/>
                <w:szCs w:val="24"/>
                <w:lang w:eastAsia="ru-RU"/>
              </w:rPr>
              <w:t>Человеческий капитал и компетенции</w:t>
            </w:r>
          </w:p>
        </w:tc>
        <w:tc>
          <w:tcPr>
            <w:tcW w:w="2315" w:type="dxa"/>
            <w:tcBorders>
              <w:bottom w:val="nil"/>
            </w:tcBorders>
          </w:tcPr>
          <w:p w14:paraId="307346F3" w14:textId="32A6AC24" w:rsidR="004319BF" w:rsidRPr="008C5F96" w:rsidRDefault="004319BF" w:rsidP="004319BF">
            <w:pPr>
              <w:ind w:firstLine="0"/>
              <w:rPr>
                <w:rFonts w:eastAsia="Times New Roman"/>
                <w:szCs w:val="24"/>
                <w:lang w:eastAsia="ru-RU"/>
              </w:rPr>
            </w:pPr>
            <w:r w:rsidRPr="008C5F96">
              <w:rPr>
                <w:rFonts w:eastAsia="Times New Roman"/>
                <w:szCs w:val="24"/>
                <w:lang w:eastAsia="ru-RU"/>
              </w:rPr>
              <w:t>Квалификация работников, развитие цифровых и инженерных навыков, программы обучения, корпоративное наставничество</w:t>
            </w:r>
          </w:p>
        </w:tc>
        <w:tc>
          <w:tcPr>
            <w:tcW w:w="2491" w:type="dxa"/>
            <w:tcBorders>
              <w:bottom w:val="nil"/>
            </w:tcBorders>
          </w:tcPr>
          <w:p w14:paraId="51759C29" w14:textId="4A4B6C23" w:rsidR="004319BF" w:rsidRPr="008C5F96" w:rsidRDefault="004319BF" w:rsidP="004319BF">
            <w:pPr>
              <w:ind w:firstLine="0"/>
              <w:rPr>
                <w:rFonts w:eastAsia="Times New Roman"/>
                <w:szCs w:val="24"/>
                <w:lang w:eastAsia="ru-RU"/>
              </w:rPr>
            </w:pPr>
            <w:r w:rsidRPr="008C5F96">
              <w:rPr>
                <w:rFonts w:eastAsia="Times New Roman"/>
                <w:szCs w:val="24"/>
                <w:lang w:eastAsia="ru-RU"/>
              </w:rPr>
              <w:t>Дефицит квалифицированных кадров, отток специалистов, слабое взаимодействие с образовательными учреждениями</w:t>
            </w:r>
          </w:p>
        </w:tc>
        <w:tc>
          <w:tcPr>
            <w:tcW w:w="2144" w:type="dxa"/>
            <w:tcBorders>
              <w:bottom w:val="nil"/>
            </w:tcBorders>
          </w:tcPr>
          <w:p w14:paraId="27F4C077" w14:textId="0F896073" w:rsidR="004319BF" w:rsidRPr="008C5F96" w:rsidRDefault="004319BF" w:rsidP="004319BF">
            <w:pPr>
              <w:ind w:firstLine="0"/>
              <w:rPr>
                <w:rFonts w:eastAsia="Times New Roman"/>
                <w:szCs w:val="24"/>
                <w:lang w:eastAsia="ru-RU"/>
              </w:rPr>
            </w:pPr>
            <w:r w:rsidRPr="008C5F96">
              <w:rPr>
                <w:rFonts w:eastAsia="Times New Roman"/>
                <w:szCs w:val="24"/>
                <w:lang w:eastAsia="ru-RU"/>
              </w:rPr>
              <w:t>МСП – узкий кадровый резерв</w:t>
            </w:r>
            <w:r>
              <w:rPr>
                <w:rFonts w:eastAsia="Times New Roman"/>
                <w:szCs w:val="24"/>
                <w:lang w:val="kk-KZ" w:eastAsia="ru-RU"/>
              </w:rPr>
              <w:t xml:space="preserve"> </w:t>
            </w:r>
            <w:r>
              <w:rPr>
                <w:rFonts w:eastAsia="Times New Roman"/>
                <w:szCs w:val="24"/>
                <w:lang w:val="kk-KZ" w:eastAsia="ru-RU"/>
              </w:rPr>
              <w:fldChar w:fldCharType="begin"/>
            </w:r>
            <w:r>
              <w:rPr>
                <w:rFonts w:eastAsia="Times New Roman"/>
                <w:szCs w:val="24"/>
                <w:lang w:val="kk-KZ" w:eastAsia="ru-RU"/>
              </w:rPr>
              <w:instrText xml:space="preserve"> ADDIN ZOTERO_ITEM CSL_CITATION {"citationID":"ajss7gesqn","properties":{"formattedCitation":"[100]","plainCitation":"[100]","noteIndex":0},"citationItems":[{"id":147,"uris":["http://zotero.org/users/16887523/items/VPL23JLN"],"itemData":{"id":147,"type":"article-journal","abstract":"Human capital management (HCM) helps manage and develop human capital (HC) in businesses through investments that increase the value of HC and contribute to improving the financial situation of companies. Industry 4.0 (4IR) presents new challenges especially for small and medium-sized enterprises (SMEs). The article aim is to find out how important SMEs perceive investments in HC, whether they evaluate the effectiveness of investments in HC and which of the selected HCM activities related to digitization they consider essential. It was used basic scientific methods, Cronbach’s alpha, descriptive statistics, and the chi-square test. It was found that in 2020 up to 49.56% and in 2021 up to 63.94% of respondents consider the funds spent on employees as investments in HC. In connection with digitization, it is striking that up to 76.98% of SMEs in 2020 and 68.34% of respondents in 2021 did not use a personnel information system (HRIS) and an even greater number of companies did not even prepare reports for the HC area. The originality of the article lies in the processing of a two-year questionnaire survey and in the intersection of HCM and Industry 4.0. This is a very current topic, which is also emphasized by the European Union. Future research could focus on employee training models (HC development), or on the culture of innovation and adaptability in companies that digitalize.","container-title":"PLOS One","DOI":"10.1371/journal.pone.0320568","ISSN":"1932-6203","issue":"5","journalAbbreviation":"PLoS One","language":"en","page":"e0320568","source":"DOI.org (Crossref)","title":"Using of human capital management in small and medium-sized enterprises in context of Industry 4.0","URL":"https://dx.plos.org/10.1371/journal.pone.0320568","volume":"20","author":[{"family":"Štaffenová","given":"Nikola"},{"family":"Kucharčíková","given":"Alžbeta"},{"family":"Falát","given":"Lukáš"}],"editor":[{"family":"Rusu","given":"Valentina Diana"}],"accessed":{"date-parts":[["2025",11,22]]},"issued":{"date-parts":[["2025",5,2]]}}}],"schema":"https://github.com/citation-style-language/schema/raw/master/csl-citation.json"} </w:instrText>
            </w:r>
            <w:r>
              <w:rPr>
                <w:rFonts w:eastAsia="Times New Roman"/>
                <w:szCs w:val="24"/>
                <w:lang w:val="kk-KZ" w:eastAsia="ru-RU"/>
              </w:rPr>
              <w:fldChar w:fldCharType="separate"/>
            </w:r>
            <w:r w:rsidRPr="009C6DCA">
              <w:t>[100]</w:t>
            </w:r>
            <w:r>
              <w:rPr>
                <w:rFonts w:eastAsia="Times New Roman"/>
                <w:szCs w:val="24"/>
                <w:lang w:val="kk-KZ" w:eastAsia="ru-RU"/>
              </w:rPr>
              <w:fldChar w:fldCharType="end"/>
            </w:r>
            <w:r w:rsidRPr="008C5F96">
              <w:rPr>
                <w:rFonts w:eastAsia="Times New Roman"/>
                <w:szCs w:val="24"/>
                <w:lang w:eastAsia="ru-RU"/>
              </w:rPr>
              <w:t>; крупные компании –сложность обновления компетенций и кадровая инерция</w:t>
            </w:r>
            <w:r>
              <w:rPr>
                <w:rFonts w:eastAsia="Times New Roman"/>
                <w:szCs w:val="24"/>
                <w:lang w:val="kk-KZ" w:eastAsia="ru-RU"/>
              </w:rPr>
              <w:t xml:space="preserve"> </w:t>
            </w:r>
            <w:r>
              <w:rPr>
                <w:rFonts w:eastAsia="Times New Roman"/>
                <w:szCs w:val="24"/>
                <w:lang w:val="kk-KZ" w:eastAsia="ru-RU"/>
              </w:rPr>
              <w:fldChar w:fldCharType="begin"/>
            </w:r>
            <w:r>
              <w:rPr>
                <w:rFonts w:eastAsia="Times New Roman"/>
                <w:szCs w:val="24"/>
                <w:lang w:val="kk-KZ" w:eastAsia="ru-RU"/>
              </w:rPr>
              <w:instrText xml:space="preserve"> ADDIN ZOTERO_ITEM CSL_CITATION {"citationID":"a26hu31o2mj","properties":{"formattedCitation":"[101]","plainCitation":"[101]","noteIndex":0},"citationItems":[{"id":154,"uris":["http://zotero.org/users/16887523/items/TT5IB8YT"],"itemData":{"id":154,"type":"article-journal","abstract":"Innovative approaches to human capital management (HCM) are necessary in today's changing workplaces to\nefficiently manage and capitalise on organisational potential. Technological developments like as cloud computing, mobile\napplications, machine learning, and artificial intelligence (AI) are revolutionising traditional human capital management\n(HCM) techniques. Recruitment, employee engagement, performance management, learning and development, and workforce\nanalytics are just a few of the HCM facets that are improved by these advances. Globalisation, changing workplace dynamics,\nand technology breakthroughs have all had a major impact on human capital management. Digital transformation, artificial\nintelligence (AI), employee engagement tactics, remote work flexibility, and workforce analytics are some of the major\ndevelopments in human capital management (HCM) that are examined in this article. The study emphasises the use of\ncontemporary resources to boost organisational effectiveness, retain talent, and increase production. It also looks at how these\ndevelopments may affect workforce management in the future. It also examines the implications of these advances for future\nworkforce management.","container-title":"International Journal for Research in Applied Science and Engineering Technology","DOI":"10.22214/ijraset.2025.74121","ISSN":"23219653","issue":"9","journalAbbreviation":"IJRASET","page":"767-769","source":"DOI.org (Crossref)","title":"Advances in Human Capital Management: Resources for Modern Work Environments","title-short":"Advances in Human Capital Management","URL":"https://www.ijraset.com/best-journal/advances-in-human-capital-management-resources-for-modern-work-environments","volume":"13","author":[{"family":"Gupta","given":"Jyoti"}],"accessed":{"date-parts":[["2025",11,22]]},"issued":{"date-parts":[["2025",9,30]]}}}],"schema":"https://github.com/citation-style-language/schema/raw/master/csl-citation.json"} </w:instrText>
            </w:r>
            <w:r>
              <w:rPr>
                <w:rFonts w:eastAsia="Times New Roman"/>
                <w:szCs w:val="24"/>
                <w:lang w:val="kk-KZ" w:eastAsia="ru-RU"/>
              </w:rPr>
              <w:fldChar w:fldCharType="separate"/>
            </w:r>
            <w:r w:rsidRPr="009C6DCA">
              <w:t>[101]</w:t>
            </w:r>
            <w:r>
              <w:rPr>
                <w:rFonts w:eastAsia="Times New Roman"/>
                <w:szCs w:val="24"/>
                <w:lang w:val="kk-KZ" w:eastAsia="ru-RU"/>
              </w:rPr>
              <w:fldChar w:fldCharType="end"/>
            </w:r>
            <w:r w:rsidRPr="008C5F96">
              <w:rPr>
                <w:rFonts w:eastAsia="Times New Roman"/>
                <w:szCs w:val="24"/>
                <w:lang w:eastAsia="ru-RU"/>
              </w:rPr>
              <w:t xml:space="preserve"> </w:t>
            </w:r>
          </w:p>
        </w:tc>
      </w:tr>
      <w:tr w:rsidR="008C5F96" w:rsidRPr="008C5F96" w14:paraId="09B0D714" w14:textId="77777777" w:rsidTr="004319BF">
        <w:tc>
          <w:tcPr>
            <w:tcW w:w="409" w:type="dxa"/>
            <w:hideMark/>
          </w:tcPr>
          <w:p w14:paraId="6AE48730" w14:textId="77777777" w:rsidR="008C5F96" w:rsidRPr="008C5F96" w:rsidRDefault="008C5F96" w:rsidP="002F33D0">
            <w:pPr>
              <w:ind w:firstLine="0"/>
              <w:rPr>
                <w:rFonts w:eastAsia="Times New Roman"/>
                <w:szCs w:val="24"/>
                <w:lang w:eastAsia="ru-RU"/>
              </w:rPr>
            </w:pPr>
            <w:r w:rsidRPr="008C5F96">
              <w:rPr>
                <w:rFonts w:eastAsia="Times New Roman"/>
                <w:bCs/>
                <w:szCs w:val="24"/>
                <w:lang w:eastAsia="ru-RU"/>
              </w:rPr>
              <w:t>5</w:t>
            </w:r>
          </w:p>
        </w:tc>
        <w:tc>
          <w:tcPr>
            <w:tcW w:w="2269" w:type="dxa"/>
            <w:hideMark/>
          </w:tcPr>
          <w:p w14:paraId="5C231C0B" w14:textId="77777777" w:rsidR="008C5F96" w:rsidRPr="008C5F96" w:rsidRDefault="008C5F96" w:rsidP="002F33D0">
            <w:pPr>
              <w:ind w:firstLine="0"/>
              <w:rPr>
                <w:rFonts w:eastAsia="Times New Roman"/>
                <w:szCs w:val="24"/>
                <w:lang w:eastAsia="ru-RU"/>
              </w:rPr>
            </w:pPr>
            <w:r w:rsidRPr="008C5F96">
              <w:rPr>
                <w:rFonts w:eastAsia="Times New Roman"/>
                <w:bCs/>
                <w:szCs w:val="24"/>
                <w:lang w:eastAsia="ru-RU"/>
              </w:rPr>
              <w:t>Инновационная культура</w:t>
            </w:r>
          </w:p>
        </w:tc>
        <w:tc>
          <w:tcPr>
            <w:tcW w:w="2315" w:type="dxa"/>
            <w:hideMark/>
          </w:tcPr>
          <w:p w14:paraId="49F7C982" w14:textId="77777777" w:rsidR="008C5F96" w:rsidRPr="008C5F96" w:rsidRDefault="008C5F96" w:rsidP="002F33D0">
            <w:pPr>
              <w:ind w:firstLine="0"/>
              <w:rPr>
                <w:rFonts w:eastAsia="Times New Roman"/>
                <w:szCs w:val="24"/>
                <w:lang w:eastAsia="ru-RU"/>
              </w:rPr>
            </w:pPr>
            <w:r w:rsidRPr="008C5F96">
              <w:rPr>
                <w:rFonts w:eastAsia="Times New Roman"/>
                <w:szCs w:val="24"/>
                <w:lang w:eastAsia="ru-RU"/>
              </w:rPr>
              <w:t>Поощрение инициатив, открытость к экспериментам, терпимость к ошибкам, обмен знаниями, система нематериальной мотивации</w:t>
            </w:r>
          </w:p>
        </w:tc>
        <w:tc>
          <w:tcPr>
            <w:tcW w:w="2491" w:type="dxa"/>
            <w:hideMark/>
          </w:tcPr>
          <w:p w14:paraId="41FA4F34" w14:textId="77777777" w:rsidR="008C5F96" w:rsidRPr="008C5F96" w:rsidRDefault="008C5F96" w:rsidP="002F33D0">
            <w:pPr>
              <w:ind w:firstLine="0"/>
              <w:rPr>
                <w:rFonts w:eastAsia="Times New Roman"/>
                <w:szCs w:val="24"/>
                <w:lang w:eastAsia="ru-RU"/>
              </w:rPr>
            </w:pPr>
            <w:r w:rsidRPr="008C5F96">
              <w:rPr>
                <w:rFonts w:eastAsia="Times New Roman"/>
                <w:szCs w:val="24"/>
                <w:lang w:eastAsia="ru-RU"/>
              </w:rPr>
              <w:t>Ориентация только на краткосрочные результаты, страх неудач, закрытость коммуникаций</w:t>
            </w:r>
          </w:p>
        </w:tc>
        <w:tc>
          <w:tcPr>
            <w:tcW w:w="2144" w:type="dxa"/>
            <w:hideMark/>
          </w:tcPr>
          <w:p w14:paraId="3ABD429A" w14:textId="5F0074DF" w:rsidR="008C5F96" w:rsidRPr="00FC6007" w:rsidRDefault="008C5F96" w:rsidP="002F33D0">
            <w:pPr>
              <w:ind w:firstLine="0"/>
              <w:rPr>
                <w:rFonts w:eastAsia="Times New Roman"/>
                <w:szCs w:val="24"/>
                <w:lang w:val="kk-KZ" w:eastAsia="ru-RU"/>
              </w:rPr>
            </w:pPr>
            <w:r w:rsidRPr="008C5F96">
              <w:rPr>
                <w:rFonts w:eastAsia="Times New Roman"/>
                <w:szCs w:val="24"/>
                <w:lang w:eastAsia="ru-RU"/>
              </w:rPr>
              <w:t>Малые предприятия – гибкость и сплоченность коллектива</w:t>
            </w:r>
            <w:r w:rsidR="00B553EE">
              <w:rPr>
                <w:rFonts w:eastAsia="Times New Roman"/>
                <w:szCs w:val="24"/>
                <w:lang w:val="kk-KZ" w:eastAsia="ru-RU"/>
              </w:rPr>
              <w:t xml:space="preserve"> </w:t>
            </w:r>
            <w:r w:rsidR="00B553EE">
              <w:rPr>
                <w:rFonts w:eastAsia="Times New Roman"/>
                <w:szCs w:val="24"/>
                <w:lang w:val="kk-KZ" w:eastAsia="ru-RU"/>
              </w:rPr>
              <w:fldChar w:fldCharType="begin"/>
            </w:r>
            <w:r w:rsidR="009C6DCA">
              <w:rPr>
                <w:rFonts w:eastAsia="Times New Roman"/>
                <w:szCs w:val="24"/>
                <w:lang w:val="kk-KZ" w:eastAsia="ru-RU"/>
              </w:rPr>
              <w:instrText xml:space="preserve"> ADDIN ZOTERO_ITEM CSL_CITATION {"citationID":"a2gat78medo","properties":{"formattedCitation":"[102]","plainCitation":"[102]","noteIndex":0},"citationItems":[{"id":149,"uris":["http://zotero.org/users/16887523/items/JM987N8S"],"itemData":{"id":149,"type":"article-journal","abstract":"With the rapid development of the digital economy, enterprise human resources innovative performance management faces new challenges. This paper takes the background of digital economy as the premise, takes an enterprise in Henan as an example, and discusses in depth the impact of digital economy on the innovative performance management of enterprise human resources. In response to the challenges in the digital context, solution measures such as intelligent training, data-driven performance evaluation, and innovative reward and punishment system are proposed, with a view to providing strong reference and guidance for relevant personnel.","container-title":"Journal of Sustainable Business and Economics","DOI":"10.26549/jsbe.v7i4.22795","ISSN":"2810-9295","issue":"4","journalAbbreviation":"jsbe","page":"44","source":"DOI.org (Crossref)","title":"Research on Human Resource Innovative Performance Management and the Impact of Digital Economy-Taking an Enterprise in Henan as an Example","URL":"https://ojs.s-p.sg/index.php/jsbe/article/view/22795","volume":"7","author":[{"family":"Chen","given":"Ziwen"},{"family":"Reynaldo","given":"Gacho Segumpan"}],"accessed":{"date-parts":[["2025",11,22]]},"issued":{"date-parts":[["2025",3,28]]}}}],"schema":"https://github.com/citation-style-language/schema/raw/master/csl-citation.json"} </w:instrText>
            </w:r>
            <w:r w:rsidR="00B553EE">
              <w:rPr>
                <w:rFonts w:eastAsia="Times New Roman"/>
                <w:szCs w:val="24"/>
                <w:lang w:val="kk-KZ" w:eastAsia="ru-RU"/>
              </w:rPr>
              <w:fldChar w:fldCharType="separate"/>
            </w:r>
            <w:r w:rsidR="009C6DCA" w:rsidRPr="009C6DCA">
              <w:t>[102]</w:t>
            </w:r>
            <w:r w:rsidR="00B553EE">
              <w:rPr>
                <w:rFonts w:eastAsia="Times New Roman"/>
                <w:szCs w:val="24"/>
                <w:lang w:val="kk-KZ" w:eastAsia="ru-RU"/>
              </w:rPr>
              <w:fldChar w:fldCharType="end"/>
            </w:r>
            <w:r w:rsidRPr="008C5F96">
              <w:rPr>
                <w:rFonts w:eastAsia="Times New Roman"/>
                <w:szCs w:val="24"/>
                <w:lang w:eastAsia="ru-RU"/>
              </w:rPr>
              <w:t>; крупные – формализация инновационной деятельности</w:t>
            </w:r>
            <w:r w:rsidR="00FC6007">
              <w:rPr>
                <w:rFonts w:eastAsia="Times New Roman"/>
                <w:szCs w:val="24"/>
                <w:lang w:val="kk-KZ" w:eastAsia="ru-RU"/>
              </w:rPr>
              <w:t xml:space="preserve"> </w:t>
            </w:r>
            <w:r w:rsidR="00FC6007">
              <w:rPr>
                <w:rFonts w:eastAsia="Times New Roman"/>
                <w:szCs w:val="24"/>
                <w:lang w:val="kk-KZ" w:eastAsia="ru-RU"/>
              </w:rPr>
              <w:fldChar w:fldCharType="begin"/>
            </w:r>
            <w:r w:rsidR="009C6DCA">
              <w:rPr>
                <w:rFonts w:eastAsia="Times New Roman"/>
                <w:szCs w:val="24"/>
                <w:lang w:val="kk-KZ" w:eastAsia="ru-RU"/>
              </w:rPr>
              <w:instrText xml:space="preserve"> ADDIN ZOTERO_ITEM CSL_CITATION {"citationID":"a79ckelh9d","properties":{"formattedCitation":"[103]","plainCitation":"[103]","noteIndex":0},"citationItems":[{"id":155,"uris":["http://zotero.org/users/16887523/items/5I275AE7"],"itemData":{"id":155,"type":"article-journal","abstract":"The article examines the advanced formats of strategic management in public administration in the context of the pressure of globalization and digitalization. The article examines the impact of digital technologies on the formation of strategic decisions in the public sector and their role in improving the efficiency of public services. The purpose of the article is to analyze the peculiarities of combining strategic and public management and to propose a methodological framework for assessing the effectiveness of their synergistic use. The author uses the methods of system analysis, synthesis, comparative analysis, generalization and grouping to study the institutional, personnel, technological and organizational aspects of digital transformation. It was proved that the strategy of innovative leadership has the greatest potential for the digital transformation of public administration, and it actively contributes to the development of high-quality and accessible public services. The scientific novelty lies in the development of an integrated index of strategic management implementation (ISMD) and a three-level scale for assessing the level of development of strategic management, which is the basis for the practice of quantifying the readiness of public administration systems for digital change and development. Further research could be aimed at improving the methods of integrating digital platforms into service-oriented management models. A separate direction is to analyze the impact of artificial intelligence on strategic decision-making in the public sector.","container-title":"Revista de Cercetare si Interventie Sociala","DOI":"10.33788/rcis.90.7","ISSN":"15833410, 15845397","issue":"90","journalAbbreviation":"RCIS","page":"107-127","source":"DOI.org (Crossref)","title":"Innovative Approaches to Strategic Management in the Public Sector: Challenges of Global Transformations and Digital Technologies","title-short":"https","URL":"https://www.rcis.ro/images/documente/rcis90_07.pdf","author":[{"family":"Torichnyi","given":"Vadym"},{"family":"Andriyash","given":"Viktoria"},{"family":"Tytarenko","given":"Oleksandr"},{"family":"Tkachuk","given":"Dmytro"},{"family":"Tarasenko","given":"Oleksandra"}],"accessed":{"date-parts":[["2025",11,22]]},"issued":{"date-parts":[["2025"]]}}}],"schema":"https://github.com/citation-style-language/schema/raw/master/csl-citation.json"} </w:instrText>
            </w:r>
            <w:r w:rsidR="00FC6007">
              <w:rPr>
                <w:rFonts w:eastAsia="Times New Roman"/>
                <w:szCs w:val="24"/>
                <w:lang w:val="kk-KZ" w:eastAsia="ru-RU"/>
              </w:rPr>
              <w:fldChar w:fldCharType="separate"/>
            </w:r>
            <w:r w:rsidR="009C6DCA" w:rsidRPr="009C6DCA">
              <w:t>[103]</w:t>
            </w:r>
            <w:r w:rsidR="00FC6007">
              <w:rPr>
                <w:rFonts w:eastAsia="Times New Roman"/>
                <w:szCs w:val="24"/>
                <w:lang w:val="kk-KZ" w:eastAsia="ru-RU"/>
              </w:rPr>
              <w:fldChar w:fldCharType="end"/>
            </w:r>
          </w:p>
        </w:tc>
      </w:tr>
      <w:tr w:rsidR="008C5F96" w:rsidRPr="008C5F96" w14:paraId="3AC6986E" w14:textId="77777777" w:rsidTr="004319BF">
        <w:tc>
          <w:tcPr>
            <w:tcW w:w="409" w:type="dxa"/>
            <w:hideMark/>
          </w:tcPr>
          <w:p w14:paraId="6037D888" w14:textId="77777777" w:rsidR="008C5F96" w:rsidRPr="008C5F96" w:rsidRDefault="008C5F96" w:rsidP="002F33D0">
            <w:pPr>
              <w:ind w:firstLine="0"/>
              <w:rPr>
                <w:rFonts w:eastAsia="Times New Roman"/>
                <w:szCs w:val="24"/>
                <w:lang w:eastAsia="ru-RU"/>
              </w:rPr>
            </w:pPr>
            <w:r w:rsidRPr="008C5F96">
              <w:rPr>
                <w:rFonts w:eastAsia="Times New Roman"/>
                <w:bCs/>
                <w:szCs w:val="24"/>
                <w:lang w:eastAsia="ru-RU"/>
              </w:rPr>
              <w:t>6</w:t>
            </w:r>
          </w:p>
        </w:tc>
        <w:tc>
          <w:tcPr>
            <w:tcW w:w="2269" w:type="dxa"/>
            <w:hideMark/>
          </w:tcPr>
          <w:p w14:paraId="597AB112" w14:textId="77777777" w:rsidR="008C5F96" w:rsidRPr="008C5F96" w:rsidRDefault="008C5F96" w:rsidP="002F33D0">
            <w:pPr>
              <w:ind w:firstLine="0"/>
              <w:rPr>
                <w:rFonts w:eastAsia="Times New Roman"/>
                <w:szCs w:val="24"/>
                <w:lang w:eastAsia="ru-RU"/>
              </w:rPr>
            </w:pPr>
            <w:r w:rsidRPr="008C5F96">
              <w:rPr>
                <w:rFonts w:eastAsia="Times New Roman"/>
                <w:bCs/>
                <w:szCs w:val="24"/>
                <w:lang w:eastAsia="ru-RU"/>
              </w:rPr>
              <w:t>Институциональная среда и цифровая адаптация</w:t>
            </w:r>
          </w:p>
        </w:tc>
        <w:tc>
          <w:tcPr>
            <w:tcW w:w="2315" w:type="dxa"/>
            <w:hideMark/>
          </w:tcPr>
          <w:p w14:paraId="52E7ED4F" w14:textId="4A74F9D5" w:rsidR="008C5F96" w:rsidRPr="008C5F96" w:rsidRDefault="008C5F96" w:rsidP="000F3C80">
            <w:pPr>
              <w:ind w:firstLine="0"/>
              <w:rPr>
                <w:rFonts w:eastAsia="Times New Roman"/>
                <w:szCs w:val="24"/>
                <w:lang w:eastAsia="ru-RU"/>
              </w:rPr>
            </w:pPr>
            <w:r w:rsidRPr="008C5F96">
              <w:rPr>
                <w:rFonts w:eastAsia="Times New Roman"/>
                <w:szCs w:val="24"/>
                <w:lang w:eastAsia="ru-RU"/>
              </w:rPr>
              <w:t xml:space="preserve">Прозрачная нормативно-правовая база, защита прав интеллектуальной собственности, доступность </w:t>
            </w:r>
          </w:p>
        </w:tc>
        <w:tc>
          <w:tcPr>
            <w:tcW w:w="2491" w:type="dxa"/>
            <w:hideMark/>
          </w:tcPr>
          <w:p w14:paraId="2687CD83" w14:textId="64638E40" w:rsidR="008C5F96" w:rsidRPr="008C5F96" w:rsidRDefault="008C5F96" w:rsidP="000F3C80">
            <w:pPr>
              <w:ind w:firstLine="0"/>
              <w:rPr>
                <w:rFonts w:eastAsia="Times New Roman"/>
                <w:szCs w:val="24"/>
                <w:lang w:eastAsia="ru-RU"/>
              </w:rPr>
            </w:pPr>
            <w:r w:rsidRPr="008C5F96">
              <w:rPr>
                <w:rFonts w:eastAsia="Times New Roman"/>
                <w:szCs w:val="24"/>
                <w:lang w:eastAsia="ru-RU"/>
              </w:rPr>
              <w:t xml:space="preserve">Избыточные административные процедуры, низкая осведомлённость о мерах поддержки, цифровой разрыв между регионами и </w:t>
            </w:r>
          </w:p>
        </w:tc>
        <w:tc>
          <w:tcPr>
            <w:tcW w:w="2144" w:type="dxa"/>
            <w:hideMark/>
          </w:tcPr>
          <w:p w14:paraId="42E3DDF3" w14:textId="7DADF8D2" w:rsidR="008C5F96" w:rsidRPr="00FC6007" w:rsidRDefault="008C5F96" w:rsidP="000F3C80">
            <w:pPr>
              <w:ind w:firstLine="0"/>
              <w:rPr>
                <w:rFonts w:eastAsia="Times New Roman"/>
                <w:szCs w:val="24"/>
                <w:lang w:val="kk-KZ" w:eastAsia="ru-RU"/>
              </w:rPr>
            </w:pPr>
            <w:r w:rsidRPr="008C5F96">
              <w:rPr>
                <w:rFonts w:eastAsia="Times New Roman"/>
                <w:szCs w:val="24"/>
                <w:lang w:eastAsia="ru-RU"/>
              </w:rPr>
              <w:t>Для МСП – зависимость от внешней поддержки и готовых цифровых решений</w:t>
            </w:r>
            <w:r w:rsidR="00B553EE">
              <w:rPr>
                <w:rFonts w:eastAsia="Times New Roman"/>
                <w:szCs w:val="24"/>
                <w:lang w:val="kk-KZ" w:eastAsia="ru-RU"/>
              </w:rPr>
              <w:t xml:space="preserve"> </w:t>
            </w:r>
            <w:r w:rsidR="00B553EE">
              <w:rPr>
                <w:rFonts w:eastAsia="Times New Roman"/>
                <w:szCs w:val="24"/>
                <w:lang w:val="kk-KZ" w:eastAsia="ru-RU"/>
              </w:rPr>
              <w:fldChar w:fldCharType="begin"/>
            </w:r>
            <w:r w:rsidR="009C6DCA">
              <w:rPr>
                <w:rFonts w:eastAsia="Times New Roman"/>
                <w:szCs w:val="24"/>
                <w:lang w:val="kk-KZ" w:eastAsia="ru-RU"/>
              </w:rPr>
              <w:instrText xml:space="preserve"> ADDIN ZOTERO_ITEM CSL_CITATION {"citationID":"a94e5m9l8q","properties":{"formattedCitation":"[104]","plainCitation":"[104]","noteIndex":0},"citationItems":[{"id":150,"uris":["http://zotero.org/users/16887523/items/86ARU27K"],"itemData":{"id":150,"type":"article-journal","abstract":"The digital transformation of Micro, Small and Medium Enterprises (MSMEs) has emerged as a critical determinant of competitiveness, resilience and long-term sustainability in the contemporary global economy. This paper adopts a secondary database approach to systematically review and synthesize existing empirical and theoretical contributions on the drivers, barriers, and strategic implications of digital transformation in MSMEs. The findings reveal that digital transformation is influenced by a confluence of technological readiness, market dynamics, institutional support and firm-level capabilities. However, MSMEs face structural, behavioural and infrastructural barriers that impede the adoption of digital technologies. Strategic implications underscore the need for capacity-building, innovation-oriented leadership and policy interventions aimed at fostering sustainable digital ecosystems. The synthesis presented herein offers a comprehensive conceptual grounding to inform academic discourse, managerial decision-making and policy formulation in the context of digitally enabled MSME growth.","container-title":"International Journal For Multidisciplinary Research","DOI":"10.36948/ijfmr.2025.v07i04.54817","ISSN":"2582-2160","issue":"4","journalAbbreviation":"IJFMR","page":"54817","source":"DOI.org (Crossref)","title":"Digital Transformation of Micro, Small and Medium Enterprises (MSMEs): Drivers, Barriers, and Strategic Implications for Sustainable Growth","title-short":"Digital Transformation of Micro, Small and Medium Enterprises (MSMEs)","URL":"https://www.ijfmr.com/research-paper.php?id=54817","volume":"7","author":[{"family":"Singh","given":"Namrata"},{"family":"Anees","given":"Mohammad"}],"accessed":{"date-parts":[["2025",11,22]]},"issued":{"date-parts":[["2025",8,31]]}}}],"schema":"https://github.com/citation-style-language/schema/raw/master/csl-citation.json"} </w:instrText>
            </w:r>
            <w:r w:rsidR="00B553EE">
              <w:rPr>
                <w:rFonts w:eastAsia="Times New Roman"/>
                <w:szCs w:val="24"/>
                <w:lang w:val="kk-KZ" w:eastAsia="ru-RU"/>
              </w:rPr>
              <w:fldChar w:fldCharType="separate"/>
            </w:r>
            <w:r w:rsidR="009C6DCA" w:rsidRPr="009C6DCA">
              <w:t>[104]</w:t>
            </w:r>
            <w:r w:rsidR="00B553EE">
              <w:rPr>
                <w:rFonts w:eastAsia="Times New Roman"/>
                <w:szCs w:val="24"/>
                <w:lang w:val="kk-KZ" w:eastAsia="ru-RU"/>
              </w:rPr>
              <w:fldChar w:fldCharType="end"/>
            </w:r>
            <w:r w:rsidRPr="008C5F96">
              <w:rPr>
                <w:rFonts w:eastAsia="Times New Roman"/>
                <w:szCs w:val="24"/>
                <w:lang w:eastAsia="ru-RU"/>
              </w:rPr>
              <w:t xml:space="preserve">; </w:t>
            </w:r>
          </w:p>
        </w:tc>
      </w:tr>
    </w:tbl>
    <w:p w14:paraId="6CCE0D1D" w14:textId="16D412B7" w:rsidR="004319BF" w:rsidRPr="004319BF" w:rsidRDefault="004319B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Продолжение таблицы 5</w:t>
      </w:r>
    </w:p>
    <w:tbl>
      <w:tblPr>
        <w:tblStyle w:val="a5"/>
        <w:tblW w:w="0" w:type="auto"/>
        <w:tblLook w:val="04A0" w:firstRow="1" w:lastRow="0" w:firstColumn="1" w:lastColumn="0" w:noHBand="0" w:noVBand="1"/>
      </w:tblPr>
      <w:tblGrid>
        <w:gridCol w:w="409"/>
        <w:gridCol w:w="2269"/>
        <w:gridCol w:w="2315"/>
        <w:gridCol w:w="2491"/>
        <w:gridCol w:w="2144"/>
      </w:tblGrid>
      <w:tr w:rsidR="004319BF" w:rsidRPr="008C5F96" w14:paraId="7DAB07E0" w14:textId="77777777" w:rsidTr="004319BF">
        <w:tc>
          <w:tcPr>
            <w:tcW w:w="409" w:type="dxa"/>
          </w:tcPr>
          <w:p w14:paraId="5417960C" w14:textId="18E1C143" w:rsidR="004319BF" w:rsidRPr="008C5F96" w:rsidRDefault="004319BF" w:rsidP="004319BF">
            <w:pPr>
              <w:ind w:firstLine="0"/>
              <w:jc w:val="center"/>
              <w:rPr>
                <w:rFonts w:eastAsia="Times New Roman"/>
                <w:bCs/>
                <w:szCs w:val="24"/>
                <w:lang w:eastAsia="ru-RU"/>
              </w:rPr>
            </w:pPr>
            <w:r>
              <w:rPr>
                <w:rFonts w:eastAsia="Times New Roman"/>
                <w:bCs/>
                <w:szCs w:val="24"/>
                <w:lang w:val="kk-KZ" w:eastAsia="ru-RU"/>
              </w:rPr>
              <w:t>1</w:t>
            </w:r>
          </w:p>
        </w:tc>
        <w:tc>
          <w:tcPr>
            <w:tcW w:w="2269" w:type="dxa"/>
          </w:tcPr>
          <w:p w14:paraId="27E41BCF" w14:textId="27BFE768" w:rsidR="004319BF" w:rsidRPr="008C5F96" w:rsidRDefault="004319BF" w:rsidP="004319BF">
            <w:pPr>
              <w:ind w:firstLine="0"/>
              <w:jc w:val="center"/>
              <w:rPr>
                <w:rFonts w:eastAsia="Times New Roman"/>
                <w:bCs/>
                <w:szCs w:val="24"/>
                <w:lang w:eastAsia="ru-RU"/>
              </w:rPr>
            </w:pPr>
            <w:r>
              <w:rPr>
                <w:rFonts w:eastAsia="Times New Roman"/>
                <w:bCs/>
                <w:szCs w:val="24"/>
                <w:lang w:val="kk-KZ" w:eastAsia="ru-RU"/>
              </w:rPr>
              <w:t>2</w:t>
            </w:r>
          </w:p>
        </w:tc>
        <w:tc>
          <w:tcPr>
            <w:tcW w:w="2315" w:type="dxa"/>
          </w:tcPr>
          <w:p w14:paraId="750B98AE" w14:textId="081D3FE0" w:rsidR="004319BF" w:rsidRPr="008C5F96" w:rsidRDefault="004319BF" w:rsidP="004319BF">
            <w:pPr>
              <w:ind w:firstLine="0"/>
              <w:jc w:val="center"/>
              <w:rPr>
                <w:rFonts w:eastAsia="Times New Roman"/>
                <w:szCs w:val="24"/>
                <w:lang w:eastAsia="ru-RU"/>
              </w:rPr>
            </w:pPr>
            <w:r>
              <w:rPr>
                <w:rFonts w:eastAsia="Times New Roman"/>
                <w:bCs/>
                <w:szCs w:val="24"/>
                <w:lang w:val="kk-KZ" w:eastAsia="ru-RU"/>
              </w:rPr>
              <w:t>3</w:t>
            </w:r>
          </w:p>
        </w:tc>
        <w:tc>
          <w:tcPr>
            <w:tcW w:w="2491" w:type="dxa"/>
          </w:tcPr>
          <w:p w14:paraId="58ED4C29" w14:textId="6528259A" w:rsidR="004319BF" w:rsidRPr="008C5F96" w:rsidRDefault="004319BF" w:rsidP="004319BF">
            <w:pPr>
              <w:ind w:firstLine="0"/>
              <w:jc w:val="center"/>
              <w:rPr>
                <w:rFonts w:eastAsia="Times New Roman"/>
                <w:szCs w:val="24"/>
                <w:lang w:eastAsia="ru-RU"/>
              </w:rPr>
            </w:pPr>
            <w:r>
              <w:rPr>
                <w:rFonts w:eastAsia="Times New Roman"/>
                <w:bCs/>
                <w:szCs w:val="24"/>
                <w:lang w:val="kk-KZ" w:eastAsia="ru-RU"/>
              </w:rPr>
              <w:t>4</w:t>
            </w:r>
          </w:p>
        </w:tc>
        <w:tc>
          <w:tcPr>
            <w:tcW w:w="2144" w:type="dxa"/>
          </w:tcPr>
          <w:p w14:paraId="228FB1F7" w14:textId="50376BBF" w:rsidR="004319BF" w:rsidRPr="008C5F96" w:rsidRDefault="004319BF" w:rsidP="004319BF">
            <w:pPr>
              <w:ind w:firstLine="0"/>
              <w:jc w:val="center"/>
              <w:rPr>
                <w:rFonts w:eastAsia="Times New Roman"/>
                <w:szCs w:val="24"/>
                <w:lang w:eastAsia="ru-RU"/>
              </w:rPr>
            </w:pPr>
            <w:r>
              <w:rPr>
                <w:rFonts w:eastAsia="Times New Roman"/>
                <w:bCs/>
                <w:szCs w:val="24"/>
                <w:lang w:val="kk-KZ" w:eastAsia="ru-RU"/>
              </w:rPr>
              <w:t>5</w:t>
            </w:r>
          </w:p>
        </w:tc>
      </w:tr>
      <w:tr w:rsidR="004319BF" w:rsidRPr="008C5F96" w14:paraId="57DF6824" w14:textId="77777777" w:rsidTr="004319BF">
        <w:tc>
          <w:tcPr>
            <w:tcW w:w="409" w:type="dxa"/>
          </w:tcPr>
          <w:p w14:paraId="2BF77197" w14:textId="77777777" w:rsidR="004319BF" w:rsidRPr="008C5F96" w:rsidRDefault="004319BF" w:rsidP="004319BF">
            <w:pPr>
              <w:ind w:firstLine="0"/>
              <w:rPr>
                <w:rFonts w:eastAsia="Times New Roman"/>
                <w:bCs/>
                <w:szCs w:val="24"/>
                <w:lang w:eastAsia="ru-RU"/>
              </w:rPr>
            </w:pPr>
          </w:p>
        </w:tc>
        <w:tc>
          <w:tcPr>
            <w:tcW w:w="2269" w:type="dxa"/>
          </w:tcPr>
          <w:p w14:paraId="4ECD8B24" w14:textId="77777777" w:rsidR="004319BF" w:rsidRPr="008C5F96" w:rsidRDefault="004319BF" w:rsidP="004319BF">
            <w:pPr>
              <w:ind w:firstLine="0"/>
              <w:rPr>
                <w:rFonts w:eastAsia="Times New Roman"/>
                <w:bCs/>
                <w:szCs w:val="24"/>
                <w:lang w:eastAsia="ru-RU"/>
              </w:rPr>
            </w:pPr>
          </w:p>
        </w:tc>
        <w:tc>
          <w:tcPr>
            <w:tcW w:w="2315" w:type="dxa"/>
          </w:tcPr>
          <w:p w14:paraId="3E5FC363" w14:textId="04A12DB5" w:rsidR="004319BF" w:rsidRPr="008C5F96" w:rsidRDefault="000F3C80" w:rsidP="004319BF">
            <w:pPr>
              <w:ind w:firstLine="0"/>
              <w:rPr>
                <w:rFonts w:eastAsia="Times New Roman"/>
                <w:szCs w:val="24"/>
                <w:lang w:eastAsia="ru-RU"/>
              </w:rPr>
            </w:pPr>
            <w:r w:rsidRPr="008C5F96">
              <w:rPr>
                <w:rFonts w:eastAsia="Times New Roman"/>
                <w:szCs w:val="24"/>
                <w:lang w:eastAsia="ru-RU"/>
              </w:rPr>
              <w:t xml:space="preserve">программ господдержки, развитие цифровой </w:t>
            </w:r>
            <w:r w:rsidR="004319BF" w:rsidRPr="008C5F96">
              <w:rPr>
                <w:rFonts w:eastAsia="Times New Roman"/>
                <w:szCs w:val="24"/>
                <w:lang w:eastAsia="ru-RU"/>
              </w:rPr>
              <w:t>инфраструктуры, поэтапная цифровая адаптация предприятий</w:t>
            </w:r>
          </w:p>
        </w:tc>
        <w:tc>
          <w:tcPr>
            <w:tcW w:w="2491" w:type="dxa"/>
          </w:tcPr>
          <w:p w14:paraId="7AD78899" w14:textId="5A55207D" w:rsidR="004319BF" w:rsidRPr="008C5F96" w:rsidRDefault="000F3C80" w:rsidP="004319BF">
            <w:pPr>
              <w:ind w:firstLine="0"/>
              <w:rPr>
                <w:rFonts w:eastAsia="Times New Roman"/>
                <w:szCs w:val="24"/>
                <w:lang w:eastAsia="ru-RU"/>
              </w:rPr>
            </w:pPr>
            <w:r w:rsidRPr="008C5F96">
              <w:rPr>
                <w:rFonts w:eastAsia="Times New Roman"/>
                <w:szCs w:val="24"/>
                <w:lang w:eastAsia="ru-RU"/>
              </w:rPr>
              <w:t>секторами, слабая интеграция в цифровые платформы</w:t>
            </w:r>
          </w:p>
        </w:tc>
        <w:tc>
          <w:tcPr>
            <w:tcW w:w="2144" w:type="dxa"/>
          </w:tcPr>
          <w:p w14:paraId="39A05B68" w14:textId="162F978A" w:rsidR="004319BF" w:rsidRPr="008C5F96" w:rsidRDefault="000F3C80" w:rsidP="004319BF">
            <w:pPr>
              <w:ind w:firstLine="0"/>
              <w:rPr>
                <w:rFonts w:eastAsia="Times New Roman"/>
                <w:szCs w:val="24"/>
                <w:lang w:eastAsia="ru-RU"/>
              </w:rPr>
            </w:pPr>
            <w:r w:rsidRPr="008C5F96">
              <w:rPr>
                <w:rFonts w:eastAsia="Times New Roman"/>
                <w:szCs w:val="24"/>
                <w:lang w:eastAsia="ru-RU"/>
              </w:rPr>
              <w:t xml:space="preserve">для крупных – необходимость комплексной </w:t>
            </w:r>
            <w:r w:rsidR="004319BF" w:rsidRPr="008C5F96">
              <w:rPr>
                <w:rFonts w:eastAsia="Times New Roman"/>
                <w:szCs w:val="24"/>
                <w:lang w:eastAsia="ru-RU"/>
              </w:rPr>
              <w:t>цифровой трансформации и взаимодействия с экосистемами</w:t>
            </w:r>
            <w:r w:rsidR="004319BF">
              <w:rPr>
                <w:rFonts w:eastAsia="Times New Roman"/>
                <w:szCs w:val="24"/>
                <w:lang w:val="kk-KZ" w:eastAsia="ru-RU"/>
              </w:rPr>
              <w:t xml:space="preserve"> </w:t>
            </w:r>
            <w:r w:rsidR="004319BF">
              <w:rPr>
                <w:rFonts w:eastAsia="Times New Roman"/>
                <w:szCs w:val="24"/>
                <w:lang w:val="kk-KZ" w:eastAsia="ru-RU"/>
              </w:rPr>
              <w:fldChar w:fldCharType="begin"/>
            </w:r>
            <w:r w:rsidR="004319BF">
              <w:rPr>
                <w:rFonts w:eastAsia="Times New Roman"/>
                <w:szCs w:val="24"/>
                <w:lang w:val="kk-KZ" w:eastAsia="ru-RU"/>
              </w:rPr>
              <w:instrText xml:space="preserve"> ADDIN ZOTERO_ITEM CSL_CITATION {"citationID":"a1ln1rbb7ce","properties":{"formattedCitation":"[105]","plainCitation":"[105]","noteIndex":0},"citationItems":[{"id":156,"uris":["http://zotero.org/users/16887523/items/ZEMBVXNV"],"itemData":{"id":156,"type":"chapter","abstract":"Based on the data sample of China’s Shanghai and Shenzhen A-share listed companies from 2013 to 2023, this study empirically examines the impact mechanism of enterprise digital transformation on sustainable financial growth. The results show that: firstly, the digital transformation of enterprises has a significant role in promoting sustainable financial growth. Second, digital transformation has significantly driven the improvement of green technology innovation. More importantly, green technology innovation plays a significant role in mediating between digital transformation and sustainable financial growth. This study provides new empirical evidence for an in-depth understanding of the path and effect of enterprise digital transformation to empower sustainable financial growth.","container-title":"Frontiers in Artificial Intelligence and Applications","DOI":"10.3233/FAIA250717","ISBN":"978-1-64368-627-1","license":"https://creativecommons.org/licenses/by-nc/4.0/","publisher":"IOS Press","source":"DOI.org (Crossref)","title":"Research on the Impact of Digital Transformation on Financial Sustainable Growth—Based on the Perspective of Green Technological Innovation","URL":"https://ebooks.iospress.nl/doi/10.3233/FAIA250717","editor":[{"family":"Lau","given":"Adela"},{"family":"Tallón-Ballesteros","given":"Antonio J."}],"author":[{"family":"Wang","given":"Song"},{"family":"Zhou","given":"Liao"},{"family":"Ding","given":"Ling"}],"accessed":{"date-parts":[["2025",11,22]]},"issued":{"date-parts":[["2025",9,26]]}}}],"schema":"https://github.com/citation-style-language/schema/raw/master/csl-citation.json"} </w:instrText>
            </w:r>
            <w:r w:rsidR="004319BF">
              <w:rPr>
                <w:rFonts w:eastAsia="Times New Roman"/>
                <w:szCs w:val="24"/>
                <w:lang w:val="kk-KZ" w:eastAsia="ru-RU"/>
              </w:rPr>
              <w:fldChar w:fldCharType="separate"/>
            </w:r>
            <w:r w:rsidR="004319BF" w:rsidRPr="009C6DCA">
              <w:t>[105]</w:t>
            </w:r>
            <w:r w:rsidR="004319BF">
              <w:rPr>
                <w:rFonts w:eastAsia="Times New Roman"/>
                <w:szCs w:val="24"/>
                <w:lang w:val="kk-KZ" w:eastAsia="ru-RU"/>
              </w:rPr>
              <w:fldChar w:fldCharType="end"/>
            </w:r>
          </w:p>
        </w:tc>
      </w:tr>
      <w:tr w:rsidR="004319BF" w:rsidRPr="008C5F96" w14:paraId="39E90CD3" w14:textId="77777777" w:rsidTr="00381DB0">
        <w:tc>
          <w:tcPr>
            <w:tcW w:w="0" w:type="auto"/>
            <w:gridSpan w:val="5"/>
          </w:tcPr>
          <w:p w14:paraId="4892919D" w14:textId="6BE8492D" w:rsidR="004319BF" w:rsidRPr="00EE311D" w:rsidRDefault="004319BF" w:rsidP="009E3DF4">
            <w:pPr>
              <w:ind w:firstLine="459"/>
              <w:rPr>
                <w:rFonts w:eastAsia="Times New Roman"/>
                <w:szCs w:val="24"/>
                <w:lang w:eastAsia="ru-RU"/>
              </w:rPr>
            </w:pPr>
            <w:r w:rsidRPr="00EE311D">
              <w:rPr>
                <w:rFonts w:eastAsia="Times New Roman"/>
                <w:szCs w:val="24"/>
                <w:lang w:eastAsia="ru-RU"/>
              </w:rPr>
              <w:t xml:space="preserve">Примечание – </w:t>
            </w:r>
            <w:r w:rsidR="00A40C4F" w:rsidRPr="00EE311D">
              <w:rPr>
                <w:rFonts w:eastAsia="Times New Roman"/>
                <w:szCs w:val="24"/>
                <w:lang w:val="kk-KZ" w:eastAsia="ru-RU"/>
              </w:rPr>
              <w:t>С</w:t>
            </w:r>
            <w:r w:rsidRPr="00EE311D">
              <w:rPr>
                <w:rFonts w:eastAsia="Times New Roman"/>
                <w:szCs w:val="24"/>
                <w:lang w:eastAsia="ru-RU"/>
              </w:rPr>
              <w:t>оставлено автором</w:t>
            </w:r>
          </w:p>
        </w:tc>
      </w:tr>
    </w:tbl>
    <w:p w14:paraId="5F3739F8" w14:textId="3E369B15" w:rsidR="00221339" w:rsidRPr="008D092F" w:rsidRDefault="00221339" w:rsidP="002F33D0">
      <w:pPr>
        <w:spacing w:after="0" w:line="240" w:lineRule="auto"/>
        <w:jc w:val="both"/>
        <w:rPr>
          <w:rFonts w:ascii="Times New Roman" w:hAnsi="Times New Roman" w:cs="Times New Roman"/>
          <w:sz w:val="28"/>
          <w:szCs w:val="28"/>
        </w:rPr>
      </w:pPr>
    </w:p>
    <w:p w14:paraId="0C5EA132" w14:textId="57DC6074" w:rsidR="00E21E90" w:rsidRPr="00E21E90" w:rsidRDefault="00E21E90" w:rsidP="002F33D0">
      <w:pPr>
        <w:spacing w:after="0" w:line="240" w:lineRule="auto"/>
        <w:ind w:firstLine="567"/>
        <w:jc w:val="both"/>
        <w:rPr>
          <w:rFonts w:ascii="Times New Roman" w:hAnsi="Times New Roman" w:cs="Times New Roman"/>
          <w:sz w:val="28"/>
          <w:szCs w:val="28"/>
        </w:rPr>
      </w:pPr>
      <w:r w:rsidRPr="00E21E90">
        <w:rPr>
          <w:rFonts w:ascii="Times New Roman" w:hAnsi="Times New Roman" w:cs="Times New Roman"/>
          <w:sz w:val="28"/>
          <w:szCs w:val="28"/>
        </w:rPr>
        <w:t xml:space="preserve">Для наглядного отображения взаимодействия факторов, влияющих на инновационный потенциал предпринимательских структур, классификация дополнена блок-схемой (рисунок </w:t>
      </w:r>
      <w:r w:rsidR="004319BF">
        <w:rPr>
          <w:rFonts w:ascii="Times New Roman" w:hAnsi="Times New Roman" w:cs="Times New Roman"/>
          <w:sz w:val="28"/>
          <w:szCs w:val="28"/>
          <w:lang w:val="kk-KZ"/>
        </w:rPr>
        <w:t>3</w:t>
      </w:r>
      <w:r w:rsidRPr="00E21E90">
        <w:rPr>
          <w:rFonts w:ascii="Times New Roman" w:hAnsi="Times New Roman" w:cs="Times New Roman"/>
          <w:sz w:val="28"/>
          <w:szCs w:val="28"/>
        </w:rPr>
        <w:t>).</w:t>
      </w:r>
    </w:p>
    <w:p w14:paraId="6525A2A3" w14:textId="77777777" w:rsidR="00C46E6B" w:rsidRDefault="00C46E6B" w:rsidP="002F33D0">
      <w:pPr>
        <w:spacing w:after="0" w:line="240" w:lineRule="auto"/>
        <w:ind w:firstLine="567"/>
        <w:jc w:val="both"/>
        <w:rPr>
          <w:rFonts w:ascii="Times New Roman" w:hAnsi="Times New Roman" w:cs="Times New Roman"/>
          <w:sz w:val="28"/>
          <w:szCs w:val="28"/>
        </w:rPr>
      </w:pPr>
    </w:p>
    <w:p w14:paraId="38458866" w14:textId="522591F0" w:rsidR="00221339" w:rsidRPr="008D092F" w:rsidRDefault="00221339" w:rsidP="002F33D0">
      <w:pPr>
        <w:spacing w:after="0" w:line="240" w:lineRule="auto"/>
        <w:ind w:firstLine="426"/>
        <w:jc w:val="both"/>
        <w:rPr>
          <w:rFonts w:ascii="Times New Roman" w:hAnsi="Times New Roman" w:cs="Times New Roman"/>
          <w:sz w:val="28"/>
          <w:szCs w:val="28"/>
        </w:rPr>
      </w:pPr>
      <w:r w:rsidRPr="008D092F">
        <w:rPr>
          <w:rFonts w:ascii="Times New Roman" w:hAnsi="Times New Roman" w:cs="Times New Roman"/>
          <w:noProof/>
          <w:sz w:val="28"/>
          <w:szCs w:val="28"/>
          <w:lang w:eastAsia="ru-RU"/>
        </w:rPr>
        <mc:AlternateContent>
          <mc:Choice Requires="wpg">
            <w:drawing>
              <wp:inline distT="0" distB="0" distL="0" distR="0" wp14:anchorId="64E079B9" wp14:editId="3E7A19A2">
                <wp:extent cx="5250180" cy="4960620"/>
                <wp:effectExtent l="0" t="0" r="26670" b="11430"/>
                <wp:docPr id="45" name="Группа 45"/>
                <wp:cNvGraphicFramePr/>
                <a:graphic xmlns:a="http://schemas.openxmlformats.org/drawingml/2006/main">
                  <a:graphicData uri="http://schemas.microsoft.com/office/word/2010/wordprocessingGroup">
                    <wpg:wgp>
                      <wpg:cNvGrpSpPr/>
                      <wpg:grpSpPr>
                        <a:xfrm>
                          <a:off x="0" y="0"/>
                          <a:ext cx="5250180" cy="4960620"/>
                          <a:chOff x="0" y="0"/>
                          <a:chExt cx="5478780" cy="5204460"/>
                        </a:xfrm>
                      </wpg:grpSpPr>
                      <wps:wsp>
                        <wps:cNvPr id="3" name="Надпись 1"/>
                        <wps:cNvSpPr txBox="1"/>
                        <wps:spPr>
                          <a:xfrm>
                            <a:off x="1135380" y="0"/>
                            <a:ext cx="3284220" cy="464820"/>
                          </a:xfrm>
                          <a:prstGeom prst="rect">
                            <a:avLst/>
                          </a:prstGeom>
                          <a:solidFill>
                            <a:schemeClr val="accent1">
                              <a:lumMod val="20000"/>
                              <a:lumOff val="80000"/>
                            </a:schemeClr>
                          </a:solidFill>
                          <a:ln w="6350">
                            <a:solidFill>
                              <a:prstClr val="black"/>
                            </a:solidFill>
                          </a:ln>
                        </wps:spPr>
                        <wps:txbx>
                          <w:txbxContent>
                            <w:p w14:paraId="050168FA" w14:textId="77777777" w:rsidR="001D4931" w:rsidRPr="00576139" w:rsidRDefault="001D4931" w:rsidP="00221339">
                              <w:pPr>
                                <w:jc w:val="center"/>
                                <w:rPr>
                                  <w:rFonts w:ascii="Times New Roman" w:hAnsi="Times New Roman" w:cs="Times New Roman"/>
                                  <w:sz w:val="24"/>
                                  <w:szCs w:val="24"/>
                                  <w:lang w:val="kk-KZ"/>
                                </w:rPr>
                              </w:pPr>
                              <w:r w:rsidRPr="00576139">
                                <w:rPr>
                                  <w:rFonts w:ascii="Times New Roman" w:hAnsi="Times New Roman" w:cs="Times New Roman"/>
                                  <w:sz w:val="24"/>
                                  <w:szCs w:val="24"/>
                                  <w:lang w:val="kk-KZ"/>
                                </w:rPr>
                                <w:t>Инновационный потенциал предпринимательских структур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Надпись 2"/>
                        <wps:cNvSpPr txBox="1"/>
                        <wps:spPr>
                          <a:xfrm>
                            <a:off x="259080" y="739140"/>
                            <a:ext cx="2110740" cy="304800"/>
                          </a:xfrm>
                          <a:prstGeom prst="rect">
                            <a:avLst/>
                          </a:prstGeom>
                          <a:solidFill>
                            <a:schemeClr val="accent6">
                              <a:lumMod val="20000"/>
                              <a:lumOff val="80000"/>
                            </a:schemeClr>
                          </a:solidFill>
                          <a:ln w="6350">
                            <a:solidFill>
                              <a:prstClr val="black"/>
                            </a:solidFill>
                          </a:ln>
                        </wps:spPr>
                        <wps:txbx>
                          <w:txbxContent>
                            <w:p w14:paraId="7C1A3A2D" w14:textId="77777777" w:rsidR="001D4931" w:rsidRPr="00576139" w:rsidRDefault="001D4931" w:rsidP="00221339">
                              <w:pPr>
                                <w:jc w:val="center"/>
                                <w:rPr>
                                  <w:rFonts w:ascii="Times New Roman" w:hAnsi="Times New Roman" w:cs="Times New Roman"/>
                                  <w:sz w:val="24"/>
                                  <w:szCs w:val="24"/>
                                  <w:lang w:val="kk-KZ"/>
                                </w:rPr>
                              </w:pPr>
                              <w:r>
                                <w:rPr>
                                  <w:rFonts w:ascii="Times New Roman" w:hAnsi="Times New Roman" w:cs="Times New Roman"/>
                                  <w:sz w:val="24"/>
                                  <w:szCs w:val="24"/>
                                  <w:lang w:val="kk-KZ"/>
                                </w:rPr>
                                <w:t>Драйверы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Надпись 3"/>
                        <wps:cNvSpPr txBox="1"/>
                        <wps:spPr>
                          <a:xfrm>
                            <a:off x="3040380" y="739140"/>
                            <a:ext cx="2103120" cy="304800"/>
                          </a:xfrm>
                          <a:prstGeom prst="rect">
                            <a:avLst/>
                          </a:prstGeom>
                          <a:solidFill>
                            <a:schemeClr val="accent2">
                              <a:lumMod val="40000"/>
                              <a:lumOff val="60000"/>
                            </a:schemeClr>
                          </a:solidFill>
                          <a:ln w="6350">
                            <a:solidFill>
                              <a:prstClr val="black"/>
                            </a:solidFill>
                          </a:ln>
                        </wps:spPr>
                        <wps:txbx>
                          <w:txbxContent>
                            <w:p w14:paraId="74D42CFB" w14:textId="77777777" w:rsidR="001D4931" w:rsidRPr="00576139" w:rsidRDefault="001D4931" w:rsidP="00221339">
                              <w:pPr>
                                <w:jc w:val="center"/>
                                <w:rPr>
                                  <w:rFonts w:ascii="Times New Roman" w:hAnsi="Times New Roman" w:cs="Times New Roman"/>
                                  <w:sz w:val="24"/>
                                  <w:szCs w:val="24"/>
                                  <w:lang w:val="kk-KZ"/>
                                </w:rPr>
                              </w:pPr>
                              <w:r>
                                <w:rPr>
                                  <w:rFonts w:ascii="Times New Roman" w:hAnsi="Times New Roman" w:cs="Times New Roman"/>
                                  <w:sz w:val="24"/>
                                  <w:szCs w:val="24"/>
                                  <w:lang w:val="kk-KZ"/>
                                </w:rPr>
                                <w:t>Барьеры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Надпись 4"/>
                        <wps:cNvSpPr txBox="1"/>
                        <wps:spPr>
                          <a:xfrm>
                            <a:off x="259080" y="1196339"/>
                            <a:ext cx="1722120" cy="665117"/>
                          </a:xfrm>
                          <a:prstGeom prst="rect">
                            <a:avLst/>
                          </a:prstGeom>
                          <a:solidFill>
                            <a:schemeClr val="accent6">
                              <a:lumMod val="20000"/>
                              <a:lumOff val="80000"/>
                            </a:schemeClr>
                          </a:solidFill>
                          <a:ln w="6350">
                            <a:solidFill>
                              <a:prstClr val="black"/>
                            </a:solidFill>
                          </a:ln>
                        </wps:spPr>
                        <wps:txbx>
                          <w:txbxContent>
                            <w:p w14:paraId="325822B7" w14:textId="7DD328E2" w:rsidR="001D4931" w:rsidRPr="00576139" w:rsidRDefault="001D4931" w:rsidP="00221339">
                              <w:pPr>
                                <w:jc w:val="center"/>
                                <w:rPr>
                                  <w:rFonts w:ascii="Times New Roman" w:hAnsi="Times New Roman" w:cs="Times New Roman"/>
                                  <w:sz w:val="24"/>
                                  <w:szCs w:val="24"/>
                                  <w:lang w:val="kk-KZ"/>
                                </w:rPr>
                              </w:pPr>
                              <w:r w:rsidRPr="008C5F96">
                                <w:rPr>
                                  <w:rFonts w:ascii="Times New Roman" w:hAnsi="Times New Roman" w:cs="Times New Roman"/>
                                  <w:sz w:val="24"/>
                                  <w:szCs w:val="24"/>
                                  <w:lang w:val="kk-KZ"/>
                                </w:rPr>
                                <w:t>Управленческо-инновационные ресурсы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Надпись 5"/>
                        <wps:cNvSpPr txBox="1"/>
                        <wps:spPr>
                          <a:xfrm>
                            <a:off x="251460" y="2049780"/>
                            <a:ext cx="1722120" cy="686889"/>
                          </a:xfrm>
                          <a:prstGeom prst="rect">
                            <a:avLst/>
                          </a:prstGeom>
                          <a:solidFill>
                            <a:schemeClr val="accent6">
                              <a:lumMod val="20000"/>
                              <a:lumOff val="80000"/>
                            </a:schemeClr>
                          </a:solidFill>
                          <a:ln w="6350">
                            <a:solidFill>
                              <a:prstClr val="black"/>
                            </a:solidFill>
                          </a:ln>
                        </wps:spPr>
                        <wps:txbx>
                          <w:txbxContent>
                            <w:p w14:paraId="69A1D900" w14:textId="5834A2ED" w:rsidR="001D4931" w:rsidRPr="00576139" w:rsidRDefault="001D4931" w:rsidP="00221339">
                              <w:pPr>
                                <w:jc w:val="center"/>
                                <w:rPr>
                                  <w:rFonts w:ascii="Times New Roman" w:hAnsi="Times New Roman" w:cs="Times New Roman"/>
                                  <w:sz w:val="24"/>
                                  <w:szCs w:val="24"/>
                                  <w:lang w:val="kk-KZ"/>
                                </w:rPr>
                              </w:pPr>
                              <w:r w:rsidRPr="008C5F96">
                                <w:rPr>
                                  <w:rFonts w:ascii="Times New Roman" w:hAnsi="Times New Roman" w:cs="Times New Roman"/>
                                  <w:sz w:val="24"/>
                                  <w:szCs w:val="24"/>
                                  <w:lang w:val="kk-KZ"/>
                                </w:rPr>
                                <w:t>Технологические и материально-сырьевые ресурсы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Надпись 6"/>
                        <wps:cNvSpPr txBox="1"/>
                        <wps:spPr>
                          <a:xfrm>
                            <a:off x="251460" y="2941320"/>
                            <a:ext cx="1722120" cy="457200"/>
                          </a:xfrm>
                          <a:prstGeom prst="rect">
                            <a:avLst/>
                          </a:prstGeom>
                          <a:solidFill>
                            <a:schemeClr val="accent6">
                              <a:lumMod val="20000"/>
                              <a:lumOff val="80000"/>
                            </a:schemeClr>
                          </a:solidFill>
                          <a:ln w="6350">
                            <a:solidFill>
                              <a:prstClr val="black"/>
                            </a:solidFill>
                          </a:ln>
                        </wps:spPr>
                        <wps:txbx>
                          <w:txbxContent>
                            <w:p w14:paraId="30CB40ED" w14:textId="6F2B5FD7" w:rsidR="001D4931" w:rsidRPr="00576139" w:rsidRDefault="001D4931" w:rsidP="00221339">
                              <w:pPr>
                                <w:jc w:val="center"/>
                                <w:rPr>
                                  <w:rFonts w:ascii="Times New Roman" w:hAnsi="Times New Roman" w:cs="Times New Roman"/>
                                  <w:sz w:val="24"/>
                                  <w:szCs w:val="24"/>
                                  <w:lang w:val="kk-KZ"/>
                                </w:rPr>
                              </w:pPr>
                              <w:r w:rsidRPr="008C5F96">
                                <w:rPr>
                                  <w:rFonts w:ascii="Times New Roman" w:hAnsi="Times New Roman" w:cs="Times New Roman"/>
                                  <w:sz w:val="24"/>
                                  <w:szCs w:val="24"/>
                                  <w:lang w:val="kk-KZ"/>
                                </w:rPr>
                                <w:t>Финансовые ресурсы и инструменты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Надпись 7"/>
                        <wps:cNvSpPr txBox="1"/>
                        <wps:spPr>
                          <a:xfrm>
                            <a:off x="259080" y="3558540"/>
                            <a:ext cx="1722120" cy="457200"/>
                          </a:xfrm>
                          <a:prstGeom prst="rect">
                            <a:avLst/>
                          </a:prstGeom>
                          <a:solidFill>
                            <a:schemeClr val="accent6">
                              <a:lumMod val="20000"/>
                              <a:lumOff val="80000"/>
                            </a:schemeClr>
                          </a:solidFill>
                          <a:ln w="6350">
                            <a:solidFill>
                              <a:prstClr val="black"/>
                            </a:solidFill>
                          </a:ln>
                        </wps:spPr>
                        <wps:txbx>
                          <w:txbxContent>
                            <w:p w14:paraId="4623EBD8" w14:textId="5460BD30" w:rsidR="001D4931" w:rsidRPr="00576139" w:rsidRDefault="001D4931" w:rsidP="00221339">
                              <w:pPr>
                                <w:jc w:val="center"/>
                                <w:rPr>
                                  <w:rFonts w:ascii="Times New Roman" w:hAnsi="Times New Roman" w:cs="Times New Roman"/>
                                  <w:sz w:val="24"/>
                                  <w:szCs w:val="24"/>
                                  <w:lang w:val="kk-KZ"/>
                                </w:rPr>
                              </w:pPr>
                              <w:r w:rsidRPr="008C5F96">
                                <w:rPr>
                                  <w:rFonts w:ascii="Times New Roman" w:hAnsi="Times New Roman" w:cs="Times New Roman"/>
                                  <w:sz w:val="24"/>
                                  <w:szCs w:val="24"/>
                                  <w:lang w:val="kk-KZ"/>
                                </w:rPr>
                                <w:t>Человеческий капитал и компетенции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Надпись 8"/>
                        <wps:cNvSpPr txBox="1"/>
                        <wps:spPr>
                          <a:xfrm>
                            <a:off x="251460" y="4210594"/>
                            <a:ext cx="1722120" cy="490946"/>
                          </a:xfrm>
                          <a:prstGeom prst="rect">
                            <a:avLst/>
                          </a:prstGeom>
                          <a:solidFill>
                            <a:schemeClr val="accent6">
                              <a:lumMod val="20000"/>
                              <a:lumOff val="80000"/>
                            </a:schemeClr>
                          </a:solidFill>
                          <a:ln w="6350">
                            <a:solidFill>
                              <a:prstClr val="black"/>
                            </a:solidFill>
                          </a:ln>
                        </wps:spPr>
                        <wps:txbx>
                          <w:txbxContent>
                            <w:p w14:paraId="1ED7444C" w14:textId="77777777" w:rsidR="001D4931" w:rsidRPr="00576139" w:rsidRDefault="001D4931" w:rsidP="00221339">
                              <w:pPr>
                                <w:jc w:val="center"/>
                                <w:rPr>
                                  <w:rFonts w:ascii="Times New Roman" w:hAnsi="Times New Roman" w:cs="Times New Roman"/>
                                  <w:sz w:val="24"/>
                                  <w:szCs w:val="24"/>
                                  <w:lang w:val="kk-KZ"/>
                                </w:rPr>
                              </w:pPr>
                              <w:r>
                                <w:rPr>
                                  <w:rFonts w:ascii="Times New Roman" w:hAnsi="Times New Roman" w:cs="Times New Roman"/>
                                  <w:sz w:val="24"/>
                                  <w:szCs w:val="24"/>
                                  <w:lang w:val="kk-KZ"/>
                                </w:rPr>
                                <w:t>Инновационная культура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Надпись 10"/>
                        <wps:cNvSpPr txBox="1"/>
                        <wps:spPr>
                          <a:xfrm>
                            <a:off x="3421380" y="1196340"/>
                            <a:ext cx="1722120" cy="457200"/>
                          </a:xfrm>
                          <a:prstGeom prst="rect">
                            <a:avLst/>
                          </a:prstGeom>
                          <a:solidFill>
                            <a:schemeClr val="accent2">
                              <a:lumMod val="40000"/>
                              <a:lumOff val="60000"/>
                            </a:schemeClr>
                          </a:solidFill>
                          <a:ln w="6350">
                            <a:solidFill>
                              <a:prstClr val="black"/>
                            </a:solidFill>
                          </a:ln>
                        </wps:spPr>
                        <wps:txbx>
                          <w:txbxContent>
                            <w:p w14:paraId="4A8B35D5" w14:textId="77777777" w:rsidR="001D4931" w:rsidRPr="00576139" w:rsidRDefault="001D4931" w:rsidP="00221339">
                              <w:pPr>
                                <w:jc w:val="center"/>
                                <w:rPr>
                                  <w:rFonts w:ascii="Times New Roman" w:hAnsi="Times New Roman" w:cs="Times New Roman"/>
                                  <w:sz w:val="24"/>
                                  <w:szCs w:val="24"/>
                                  <w:lang w:val="kk-KZ"/>
                                </w:rPr>
                              </w:pPr>
                              <w:r>
                                <w:rPr>
                                  <w:rFonts w:ascii="Times New Roman" w:hAnsi="Times New Roman" w:cs="Times New Roman"/>
                                  <w:sz w:val="24"/>
                                  <w:szCs w:val="24"/>
                                  <w:lang w:val="kk-KZ"/>
                                </w:rPr>
                                <w:t>Нехватка финансирования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Надпись 11"/>
                        <wps:cNvSpPr txBox="1"/>
                        <wps:spPr>
                          <a:xfrm>
                            <a:off x="3421380" y="1805940"/>
                            <a:ext cx="1722120" cy="457200"/>
                          </a:xfrm>
                          <a:prstGeom prst="rect">
                            <a:avLst/>
                          </a:prstGeom>
                          <a:solidFill>
                            <a:schemeClr val="accent2">
                              <a:lumMod val="40000"/>
                              <a:lumOff val="60000"/>
                            </a:schemeClr>
                          </a:solidFill>
                          <a:ln w="6350">
                            <a:solidFill>
                              <a:prstClr val="black"/>
                            </a:solidFill>
                          </a:ln>
                        </wps:spPr>
                        <wps:txbx>
                          <w:txbxContent>
                            <w:p w14:paraId="7A182C16" w14:textId="0D3E269B" w:rsidR="001D4931" w:rsidRPr="00576139" w:rsidRDefault="001D4931" w:rsidP="00221339">
                              <w:pPr>
                                <w:jc w:val="center"/>
                                <w:rPr>
                                  <w:rFonts w:ascii="Times New Roman" w:hAnsi="Times New Roman" w:cs="Times New Roman"/>
                                  <w:sz w:val="24"/>
                                  <w:szCs w:val="24"/>
                                  <w:lang w:val="kk-KZ"/>
                                </w:rPr>
                              </w:pPr>
                              <w:r w:rsidRPr="008C5F96">
                                <w:rPr>
                                  <w:rFonts w:ascii="Times New Roman" w:hAnsi="Times New Roman" w:cs="Times New Roman"/>
                                  <w:sz w:val="24"/>
                                  <w:szCs w:val="24"/>
                                  <w:lang w:val="kk-KZ"/>
                                </w:rPr>
                                <w:t>Недостаток квалифицированных кадров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Надпись 12"/>
                        <wps:cNvSpPr txBox="1"/>
                        <wps:spPr>
                          <a:xfrm>
                            <a:off x="3421380" y="2407920"/>
                            <a:ext cx="1722120" cy="457200"/>
                          </a:xfrm>
                          <a:prstGeom prst="rect">
                            <a:avLst/>
                          </a:prstGeom>
                          <a:solidFill>
                            <a:schemeClr val="accent2">
                              <a:lumMod val="40000"/>
                              <a:lumOff val="60000"/>
                            </a:schemeClr>
                          </a:solidFill>
                          <a:ln w="6350">
                            <a:solidFill>
                              <a:prstClr val="black"/>
                            </a:solidFill>
                          </a:ln>
                        </wps:spPr>
                        <wps:txbx>
                          <w:txbxContent>
                            <w:p w14:paraId="6568105B" w14:textId="4566F7CD" w:rsidR="001D4931" w:rsidRPr="00576139" w:rsidRDefault="001D4931" w:rsidP="00221339">
                              <w:pPr>
                                <w:jc w:val="center"/>
                                <w:rPr>
                                  <w:rFonts w:ascii="Times New Roman" w:hAnsi="Times New Roman" w:cs="Times New Roman"/>
                                  <w:sz w:val="24"/>
                                  <w:szCs w:val="24"/>
                                  <w:lang w:val="kk-KZ"/>
                                </w:rPr>
                              </w:pPr>
                              <w:r w:rsidRPr="008C5F96">
                                <w:rPr>
                                  <w:rFonts w:ascii="Times New Roman" w:hAnsi="Times New Roman" w:cs="Times New Roman"/>
                                  <w:sz w:val="24"/>
                                  <w:szCs w:val="24"/>
                                  <w:lang w:val="kk-KZ"/>
                                </w:rPr>
                                <w:t>Отсутствие стратегии монетизации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Надпись 13"/>
                        <wps:cNvSpPr txBox="1"/>
                        <wps:spPr>
                          <a:xfrm>
                            <a:off x="3421380" y="3025140"/>
                            <a:ext cx="1722120" cy="457200"/>
                          </a:xfrm>
                          <a:prstGeom prst="rect">
                            <a:avLst/>
                          </a:prstGeom>
                          <a:solidFill>
                            <a:schemeClr val="accent2">
                              <a:lumMod val="40000"/>
                              <a:lumOff val="60000"/>
                            </a:schemeClr>
                          </a:solidFill>
                          <a:ln w="6350">
                            <a:solidFill>
                              <a:prstClr val="black"/>
                            </a:solidFill>
                          </a:ln>
                        </wps:spPr>
                        <wps:txbx>
                          <w:txbxContent>
                            <w:p w14:paraId="44CF0452" w14:textId="77777777" w:rsidR="001D4931" w:rsidRPr="00576139" w:rsidRDefault="001D4931" w:rsidP="00221339">
                              <w:pPr>
                                <w:jc w:val="center"/>
                                <w:rPr>
                                  <w:rFonts w:ascii="Times New Roman" w:hAnsi="Times New Roman" w:cs="Times New Roman"/>
                                  <w:sz w:val="24"/>
                                  <w:szCs w:val="24"/>
                                  <w:lang w:val="kk-KZ"/>
                                </w:rPr>
                              </w:pPr>
                              <w:r>
                                <w:rPr>
                                  <w:rFonts w:ascii="Times New Roman" w:hAnsi="Times New Roman" w:cs="Times New Roman"/>
                                  <w:sz w:val="24"/>
                                  <w:szCs w:val="24"/>
                                  <w:lang w:val="kk-KZ"/>
                                </w:rPr>
                                <w:t>Сложности масштабирования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Надпись 14"/>
                        <wps:cNvSpPr txBox="1"/>
                        <wps:spPr>
                          <a:xfrm>
                            <a:off x="3421380" y="3634740"/>
                            <a:ext cx="1722120" cy="457200"/>
                          </a:xfrm>
                          <a:prstGeom prst="rect">
                            <a:avLst/>
                          </a:prstGeom>
                          <a:solidFill>
                            <a:schemeClr val="accent2">
                              <a:lumMod val="40000"/>
                              <a:lumOff val="60000"/>
                            </a:schemeClr>
                          </a:solidFill>
                          <a:ln w="6350">
                            <a:solidFill>
                              <a:prstClr val="black"/>
                            </a:solidFill>
                          </a:ln>
                        </wps:spPr>
                        <wps:txbx>
                          <w:txbxContent>
                            <w:p w14:paraId="08529D84" w14:textId="77777777" w:rsidR="001D4931" w:rsidRPr="00576139" w:rsidRDefault="001D4931" w:rsidP="00221339">
                              <w:pPr>
                                <w:jc w:val="center"/>
                                <w:rPr>
                                  <w:rFonts w:ascii="Times New Roman" w:hAnsi="Times New Roman" w:cs="Times New Roman"/>
                                  <w:sz w:val="24"/>
                                  <w:szCs w:val="24"/>
                                  <w:lang w:val="kk-KZ"/>
                                </w:rPr>
                              </w:pPr>
                              <w:r>
                                <w:rPr>
                                  <w:rFonts w:ascii="Times New Roman" w:hAnsi="Times New Roman" w:cs="Times New Roman"/>
                                  <w:sz w:val="24"/>
                                  <w:szCs w:val="24"/>
                                  <w:lang w:val="kk-KZ"/>
                                </w:rPr>
                                <w:t>Регуляторные ограничения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Надпись 15"/>
                        <wps:cNvSpPr txBox="1"/>
                        <wps:spPr>
                          <a:xfrm>
                            <a:off x="3421380" y="4244340"/>
                            <a:ext cx="1722120" cy="457200"/>
                          </a:xfrm>
                          <a:prstGeom prst="rect">
                            <a:avLst/>
                          </a:prstGeom>
                          <a:solidFill>
                            <a:schemeClr val="accent2">
                              <a:lumMod val="40000"/>
                              <a:lumOff val="60000"/>
                            </a:schemeClr>
                          </a:solidFill>
                          <a:ln w="6350">
                            <a:solidFill>
                              <a:prstClr val="black"/>
                            </a:solidFill>
                          </a:ln>
                        </wps:spPr>
                        <wps:txbx>
                          <w:txbxContent>
                            <w:p w14:paraId="71E3E247" w14:textId="77777777" w:rsidR="001D4931" w:rsidRPr="00576139" w:rsidRDefault="001D4931" w:rsidP="00221339">
                              <w:pPr>
                                <w:jc w:val="center"/>
                                <w:rPr>
                                  <w:rFonts w:ascii="Times New Roman" w:hAnsi="Times New Roman" w:cs="Times New Roman"/>
                                  <w:sz w:val="24"/>
                                  <w:szCs w:val="24"/>
                                  <w:lang w:val="kk-KZ"/>
                                </w:rPr>
                              </w:pPr>
                              <w:r>
                                <w:rPr>
                                  <w:rFonts w:ascii="Times New Roman" w:hAnsi="Times New Roman" w:cs="Times New Roman"/>
                                  <w:sz w:val="24"/>
                                  <w:szCs w:val="24"/>
                                  <w:lang w:val="kk-KZ"/>
                                </w:rPr>
                                <w:t>Инертность потребителей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Прямая соединительная линия 16"/>
                        <wps:cNvCnPr/>
                        <wps:spPr>
                          <a:xfrm>
                            <a:off x="1463040" y="464820"/>
                            <a:ext cx="0" cy="274320"/>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7"/>
                        <wps:cNvCnPr/>
                        <wps:spPr>
                          <a:xfrm>
                            <a:off x="3954780" y="464820"/>
                            <a:ext cx="0" cy="27432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единительная линия 18"/>
                        <wps:cNvCnPr/>
                        <wps:spPr>
                          <a:xfrm>
                            <a:off x="2202180" y="1043940"/>
                            <a:ext cx="0" cy="3377837"/>
                          </a:xfrm>
                          <a:prstGeom prst="line">
                            <a:avLst/>
                          </a:prstGeom>
                        </wps:spPr>
                        <wps:style>
                          <a:lnRef idx="1">
                            <a:schemeClr val="dk1"/>
                          </a:lnRef>
                          <a:fillRef idx="0">
                            <a:schemeClr val="dk1"/>
                          </a:fillRef>
                          <a:effectRef idx="0">
                            <a:schemeClr val="dk1"/>
                          </a:effectRef>
                          <a:fontRef idx="minor">
                            <a:schemeClr val="tx1"/>
                          </a:fontRef>
                        </wps:style>
                        <wps:bodyPr/>
                      </wps:wsp>
                      <wps:wsp>
                        <wps:cNvPr id="20" name="Прямая соединительная линия 19"/>
                        <wps:cNvCnPr/>
                        <wps:spPr>
                          <a:xfrm>
                            <a:off x="3192780" y="1043940"/>
                            <a:ext cx="7620" cy="3436620"/>
                          </a:xfrm>
                          <a:prstGeom prst="line">
                            <a:avLst/>
                          </a:prstGeom>
                        </wps:spPr>
                        <wps:style>
                          <a:lnRef idx="1">
                            <a:schemeClr val="dk1"/>
                          </a:lnRef>
                          <a:fillRef idx="0">
                            <a:schemeClr val="dk1"/>
                          </a:fillRef>
                          <a:effectRef idx="0">
                            <a:schemeClr val="dk1"/>
                          </a:effectRef>
                          <a:fontRef idx="minor">
                            <a:schemeClr val="tx1"/>
                          </a:fontRef>
                        </wps:style>
                        <wps:bodyPr/>
                      </wps:wsp>
                      <wps:wsp>
                        <wps:cNvPr id="21" name="Прямая со стрелкой 21"/>
                        <wps:cNvCnPr/>
                        <wps:spPr>
                          <a:xfrm flipH="1">
                            <a:off x="1973580" y="4421777"/>
                            <a:ext cx="228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Прямая со стрелкой 22"/>
                        <wps:cNvCnPr/>
                        <wps:spPr>
                          <a:xfrm flipH="1">
                            <a:off x="1981200" y="3810000"/>
                            <a:ext cx="2209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3" name="Прямая со стрелкой 23"/>
                        <wps:cNvCnPr/>
                        <wps:spPr>
                          <a:xfrm flipH="1">
                            <a:off x="1973580" y="3186248"/>
                            <a:ext cx="228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 name="Прямая со стрелкой 24"/>
                        <wps:cNvCnPr/>
                        <wps:spPr>
                          <a:xfrm flipH="1">
                            <a:off x="1973580" y="2407920"/>
                            <a:ext cx="228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 name="Прямая со стрелкой 25"/>
                        <wps:cNvCnPr/>
                        <wps:spPr>
                          <a:xfrm flipH="1">
                            <a:off x="1973580" y="1529443"/>
                            <a:ext cx="228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6" name="Прямая со стрелкой 26"/>
                        <wps:cNvCnPr/>
                        <wps:spPr>
                          <a:xfrm>
                            <a:off x="3192780" y="1402080"/>
                            <a:ext cx="228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 name="Прямая со стрелкой 28"/>
                        <wps:cNvCnPr/>
                        <wps:spPr>
                          <a:xfrm>
                            <a:off x="3200400" y="2042160"/>
                            <a:ext cx="228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Прямая со стрелкой 29"/>
                        <wps:cNvCnPr/>
                        <wps:spPr>
                          <a:xfrm>
                            <a:off x="3200400" y="2644140"/>
                            <a:ext cx="228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 name="Прямая со стрелкой 30"/>
                        <wps:cNvCnPr/>
                        <wps:spPr>
                          <a:xfrm>
                            <a:off x="3192780" y="3230880"/>
                            <a:ext cx="228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1" name="Прямая со стрелкой 31"/>
                        <wps:cNvCnPr/>
                        <wps:spPr>
                          <a:xfrm>
                            <a:off x="3200400" y="3855720"/>
                            <a:ext cx="228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2" name="Прямая со стрелкой 32"/>
                        <wps:cNvCnPr/>
                        <wps:spPr>
                          <a:xfrm>
                            <a:off x="3200400" y="4480560"/>
                            <a:ext cx="228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4" name="Надпись 34"/>
                        <wps:cNvSpPr txBox="1"/>
                        <wps:spPr>
                          <a:xfrm>
                            <a:off x="1023257" y="4899660"/>
                            <a:ext cx="3537857" cy="304800"/>
                          </a:xfrm>
                          <a:prstGeom prst="rect">
                            <a:avLst/>
                          </a:prstGeom>
                          <a:ln/>
                        </wps:spPr>
                        <wps:style>
                          <a:lnRef idx="2">
                            <a:schemeClr val="accent5"/>
                          </a:lnRef>
                          <a:fillRef idx="1">
                            <a:schemeClr val="lt1"/>
                          </a:fillRef>
                          <a:effectRef idx="0">
                            <a:schemeClr val="accent5"/>
                          </a:effectRef>
                          <a:fontRef idx="minor">
                            <a:schemeClr val="dk1"/>
                          </a:fontRef>
                        </wps:style>
                        <wps:txbx>
                          <w:txbxContent>
                            <w:p w14:paraId="3A0730BC" w14:textId="1EDAB5F8" w:rsidR="001D4931" w:rsidRPr="00576139" w:rsidRDefault="001D4931" w:rsidP="00221339">
                              <w:pPr>
                                <w:jc w:val="center"/>
                                <w:rPr>
                                  <w:rFonts w:ascii="Times New Roman" w:hAnsi="Times New Roman" w:cs="Times New Roman"/>
                                  <w:sz w:val="24"/>
                                  <w:szCs w:val="24"/>
                                  <w:lang w:val="kk-KZ"/>
                                </w:rPr>
                              </w:pPr>
                              <w:r w:rsidRPr="00E21E90">
                                <w:rPr>
                                  <w:rFonts w:ascii="Times New Roman" w:hAnsi="Times New Roman" w:cs="Times New Roman"/>
                                  <w:sz w:val="24"/>
                                  <w:szCs w:val="24"/>
                                  <w:lang w:val="kk-KZ"/>
                                </w:rPr>
                                <w:t>Цифровая адаптация и цифровая трансформация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Прямоугольник 35"/>
                        <wps:cNvSpPr/>
                        <wps:spPr>
                          <a:xfrm>
                            <a:off x="2994660" y="601980"/>
                            <a:ext cx="2484120" cy="4206240"/>
                          </a:xfrm>
                          <a:prstGeom prst="rect">
                            <a:avLst/>
                          </a:prstGeom>
                          <a:noFill/>
                          <a:ln w="190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Прямоугольник 36"/>
                        <wps:cNvSpPr/>
                        <wps:spPr>
                          <a:xfrm>
                            <a:off x="0" y="601980"/>
                            <a:ext cx="2407920" cy="4206240"/>
                          </a:xfrm>
                          <a:prstGeom prst="rect">
                            <a:avLst/>
                          </a:prstGeom>
                          <a:noFill/>
                          <a:ln w="190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Надпись 33"/>
                        <wps:cNvSpPr txBox="1"/>
                        <wps:spPr>
                          <a:xfrm>
                            <a:off x="2209800" y="2111828"/>
                            <a:ext cx="982980" cy="1286691"/>
                          </a:xfrm>
                          <a:prstGeom prst="rect">
                            <a:avLst/>
                          </a:prstGeom>
                          <a:solidFill>
                            <a:schemeClr val="accent4">
                              <a:lumMod val="60000"/>
                              <a:lumOff val="40000"/>
                            </a:schemeClr>
                          </a:solidFill>
                          <a:ln w="6350">
                            <a:solidFill>
                              <a:prstClr val="black"/>
                            </a:solidFill>
                          </a:ln>
                        </wps:spPr>
                        <wps:txbx>
                          <w:txbxContent>
                            <w:p w14:paraId="3E79084F" w14:textId="2881DF86" w:rsidR="001D4931" w:rsidRPr="00251C63" w:rsidRDefault="001D4931" w:rsidP="00221339">
                              <w:pPr>
                                <w:jc w:val="center"/>
                                <w:rPr>
                                  <w:rFonts w:ascii="Times New Roman" w:hAnsi="Times New Roman" w:cs="Times New Roman"/>
                                  <w:sz w:val="24"/>
                                  <w:szCs w:val="24"/>
                                  <w:lang w:val="kk-KZ"/>
                                </w:rPr>
                              </w:pPr>
                              <w:r w:rsidRPr="00E21E90">
                                <w:rPr>
                                  <w:rFonts w:ascii="Times New Roman" w:hAnsi="Times New Roman" w:cs="Times New Roman"/>
                                  <w:sz w:val="24"/>
                                  <w:szCs w:val="24"/>
                                  <w:lang w:val="kk-KZ"/>
                                </w:rPr>
                                <w:t>Институциональная среда и г</w:t>
                              </w:r>
                              <w:r w:rsidRPr="00251C63">
                                <w:rPr>
                                  <w:rFonts w:ascii="Times New Roman" w:hAnsi="Times New Roman" w:cs="Times New Roman"/>
                                  <w:sz w:val="24"/>
                                  <w:szCs w:val="24"/>
                                  <w:lang w:val="kk-KZ"/>
                                </w:rPr>
                                <w:t>осудар</w:t>
                              </w:r>
                              <w:r>
                                <w:rPr>
                                  <w:rFonts w:ascii="Times New Roman" w:hAnsi="Times New Roman" w:cs="Times New Roman"/>
                                  <w:sz w:val="24"/>
                                  <w:szCs w:val="24"/>
                                  <w:lang w:val="kk-KZ"/>
                                </w:rPr>
                                <w:t>-</w:t>
                              </w:r>
                              <w:r w:rsidRPr="00251C63">
                                <w:rPr>
                                  <w:rFonts w:ascii="Times New Roman" w:hAnsi="Times New Roman" w:cs="Times New Roman"/>
                                  <w:sz w:val="24"/>
                                  <w:szCs w:val="24"/>
                                  <w:lang w:val="kk-KZ"/>
                                </w:rPr>
                                <w:t>ственная поддержка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Прямая со стрелкой 37"/>
                        <wps:cNvCnPr>
                          <a:endCxn id="33" idx="2"/>
                        </wps:cNvCnPr>
                        <wps:spPr>
                          <a:xfrm flipH="1" flipV="1">
                            <a:off x="2701290" y="3398519"/>
                            <a:ext cx="3810" cy="1493521"/>
                          </a:xfrm>
                          <a:prstGeom prst="straightConnector1">
                            <a:avLst/>
                          </a:prstGeom>
                          <a:ln w="28575">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40" name="Прямая соединительная линия 40"/>
                        <wps:cNvCnPr>
                          <a:stCxn id="34" idx="3"/>
                        </wps:cNvCnPr>
                        <wps:spPr>
                          <a:xfrm flipV="1">
                            <a:off x="4561114" y="5044440"/>
                            <a:ext cx="361406" cy="7620"/>
                          </a:xfrm>
                          <a:prstGeom prst="line">
                            <a:avLst/>
                          </a:prstGeom>
                          <a:ln w="28575">
                            <a:prstDash val="dash"/>
                          </a:ln>
                        </wps:spPr>
                        <wps:style>
                          <a:lnRef idx="1">
                            <a:schemeClr val="accent1"/>
                          </a:lnRef>
                          <a:fillRef idx="0">
                            <a:schemeClr val="accent1"/>
                          </a:fillRef>
                          <a:effectRef idx="0">
                            <a:schemeClr val="accent1"/>
                          </a:effectRef>
                          <a:fontRef idx="minor">
                            <a:schemeClr val="tx1"/>
                          </a:fontRef>
                        </wps:style>
                        <wps:bodyPr/>
                      </wps:wsp>
                      <wps:wsp>
                        <wps:cNvPr id="41" name="Прямая соединительная линия 41"/>
                        <wps:cNvCnPr>
                          <a:endCxn id="34" idx="1"/>
                        </wps:cNvCnPr>
                        <wps:spPr>
                          <a:xfrm>
                            <a:off x="640080" y="5044440"/>
                            <a:ext cx="383177" cy="7620"/>
                          </a:xfrm>
                          <a:prstGeom prst="line">
                            <a:avLst/>
                          </a:prstGeom>
                          <a:ln w="28575">
                            <a:prstDash val="dash"/>
                          </a:ln>
                        </wps:spPr>
                        <wps:style>
                          <a:lnRef idx="1">
                            <a:schemeClr val="accent1"/>
                          </a:lnRef>
                          <a:fillRef idx="0">
                            <a:schemeClr val="accent1"/>
                          </a:fillRef>
                          <a:effectRef idx="0">
                            <a:schemeClr val="accent1"/>
                          </a:effectRef>
                          <a:fontRef idx="minor">
                            <a:schemeClr val="tx1"/>
                          </a:fontRef>
                        </wps:style>
                        <wps:bodyPr/>
                      </wps:wsp>
                      <wps:wsp>
                        <wps:cNvPr id="43" name="Прямая со стрелкой 43"/>
                        <wps:cNvCnPr/>
                        <wps:spPr>
                          <a:xfrm flipV="1">
                            <a:off x="4914900" y="4808220"/>
                            <a:ext cx="0" cy="236220"/>
                          </a:xfrm>
                          <a:prstGeom prst="straightConnector1">
                            <a:avLst/>
                          </a:prstGeom>
                          <a:ln w="28575">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44" name="Прямая со стрелкой 44"/>
                        <wps:cNvCnPr/>
                        <wps:spPr>
                          <a:xfrm flipV="1">
                            <a:off x="640080" y="4808220"/>
                            <a:ext cx="0" cy="236220"/>
                          </a:xfrm>
                          <a:prstGeom prst="straightConnector1">
                            <a:avLst/>
                          </a:prstGeom>
                          <a:ln w="28575">
                            <a:prstDash val="dash"/>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64E079B9" id="Группа 45" o:spid="_x0000_s1029" style="width:413.4pt;height:390.6pt;mso-position-horizontal-relative:char;mso-position-vertical-relative:line" coordsize="54787,52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adsCwsAAKB1AAAOAAAAZHJzL2Uyb0RvYy54bWzsXduO28YZvi/QdyB0Xy/nQIoULAfuOnYL&#10;uIlRp801l6IOCEWyJNer7VWS3gbwRa+LvoKBtoCbtOkraN+o/z8zHJKSuJJ2fVruwMCaIoenme8/&#10;H/jws9Uytl5FebFIk/GAPLAHVpSE6WSRzMaDP3z19FfewCrKIJkEcZpE48FlVAw+e/TLXzy8yEYR&#10;TedpPIlyCy6SFKOLbDyYl2U2Ojkpwnm0DIoHaRYlcHCa5sughJ/57GSSBxdw9WV8Qm3bPblI80mW&#10;p2FUFLD3iTw4eCSuP51GYfnldFpEpRWPB/Bspfibi79n+Pfk0cNgNMuDbL4I1WMEN3iKZbBI4Kb6&#10;Uk+CMrDO88XWpZaLME+LdFo+CNPlSTqdLsJIvAO8DbE33uZZnp5n4l1mo4tZpqcJpnZjnm582fCL&#10;Vy9yazEZD7gzsJJgCWu0/uvVt1d/Wf8P/r2xYDfM0UU2G8HQZ3n2MnuRqx0z+QtfezXNl/g/vJC1&#10;ErN7qWc3WpVWCDsd6tjEg0UI4Rj3Xdulav7DOSzS1nnh/PPqTD70htWZDrU5d8WZJ9WNT/D59ONc&#10;ZIClop6u4nbT9XIeZJFYhQLnQE0X07P1t/Wb9T9hrt5efXf1g0XkdImhOFdWufp1Cm+v9xewc8eU&#10;EcIchu+4PXGMepzCXMmJc7kn502/fTDK8qJ8FqVLCzfGgxxgL9AYvHpelLBaMLQagrcu0ngxebqI&#10;Y/EDSS06jXPrVQBEEoRhlJREnB6fL3+XTuR+IDZbLRfsxvUSw71qN9xCEC1eSdywdZM4sS7GA5c5&#10;trhw6xg+mb79WRyE3+AU4vXqx4RfcQI7cWnlBOJWuTpbCeyyatLP0sklzHmeSkIvsvDpAi7/PCjK&#10;F0EOlA2zCNyq/BL+TOMUnilVWwNrnuZ/3rUfxwOC4OjAugBOMR4UfzoP8mhgxb9NAFs+4RwuW4of&#10;3BniSuXNI2fNI8n58jSFeSbAF7NQbOL4Mq42p3m6/BqY2mO8KxwKkhDuPR6EZV79OC0lBwO2GEaP&#10;H4thwE6yoHyevMxCvDiuLE7sV6uvgzxTuCiBFL9IKzwHow14yLF4ZpI+Pi/T6UJgB2dazqtaAKAt&#10;5AgfgMh4B5HRar2BHo8hMur4tqKxIYN1U4CuOBQlxB7iWiKHYjYHcCsoVvytoqJ3Rmju3SI0Xk28&#10;IbReEVot+9vSTDPWIwkNiMeupNluSrMZQUb54SiNblEar2QXCJeGSHOr3R9VpCm1q2K9RqT1RKS5&#10;HSJNc9YjKa0h0gjxXcZ8ZNHBqJJpZEippjTXdQgZGpnWUh5dI9N6qTwOOyhNc9ajKY2g3YkGGpig&#10;Phqk11Ca53qeIEWQIkZ7lGaa4Dy1OWFkWk9kGvj4lOeorT1qznoLSvM5YaAodlOasLiNnSYMcu0Q&#10;8YxM66VM8zsoTXPWoylNO0SY43jOpkekpT0aStvhehQy3si03rkeCWh6O4WaZq1Hk5pWHzkltuML&#10;i6/DUOO+7XMhPo36qIUaLAmoAYbW+kdrEAzZSWv1ih9JbAxIrPI/CrfIJyDY7pgDkuiIpfH198rX&#10;T2gXtekVvw21eSjaPr7BdteoTYc0DbX1i9o6E0X0it+C2ii3h/4n4B65a9Sm45qG2vpFbV0ZI0Sv&#10;+C2ojdnU2Uoa+QgukrtGbTq2aaitX9TWlTZC9IrfhtpcxjEb62O7/u8aten4pqG2flFbV+oI0St+&#10;C2rjlHNmqA2YDaZ9HZx5THSM01Bbv6itTh/5O5RDvF7/Z/3m6rV19d365/W/IN//7fq/kPH/PWz/&#10;dPUDbOPB9U9q92urxgXQ5Gmiaiaq5PU6JUQVTEBoAFMmRXIJ1xn+dXBAZUrSIVfB8O6wQLxIsFph&#10;K7sb6wO2MuiL8jKOcHCc/D6aQi69qFTAHTqZX+b5T74RziG4rRiJI6ZQQKBPUnn97VqC+iQ1Fk+L&#10;RFXOoSfq0eKOaVLqE5eLJM3Fi248armqHnUqx1dvLd+1jh8greOvD5fPTupMiRuBqhnm3Q8q5jtQ&#10;OGNApSpbajT2DFR1UsCNQNUMaO4HFRQiUVHFBWlwxOZsy9erWBVjw6HH9uSaGl716fIqzM5XQbkb&#10;wUonRhwkABnxacWrdsJqiNWCslyAM1eVDhopeBelIK3DvZvIAv3q6vurb1GrWv8Imta/LRisgv7d&#10;OLKm8SL7TVX2VqlU/pA5lfSDcPBwKJhRrVNR6kGph8TUnvzBosyDxWxenqZJArWVaS4L7Dbq56SG&#10;JSsVg1EZLOLPk4lVXmZQU1vmiyCZxRG+jFCiKqVEVIOiFmJUsQ+qitE6CnoACJuxmg4Z2QFCD4ov&#10;AGRYUOiRqrKoCULbR5BiHZQBIVgfewyJfqlutA4OHgDCZgjjOBDWnJARz6VcqHxNEBpOiK0itG15&#10;v0BYx8wOAGHTs39TEO6MWhtxrHmb9MPcLxDWoaQDQNh0eN8UhMShPri82+ElA8J7DcI6wnIACLXn&#10;v9swQaelMkdaBi63KfahAFvACGHpRb7vnmHa7RneYRMf57KDkAHEFqQRApWrlMjuSQZ6BnrY+It2&#10;+493QO9It14Tei7nW9lTRuDeZ4HLgCl1+Ji3oQeD93oCOwQuo8z2jMAVrkcTipUt445xQrMDnNBN&#10;6DW4HvMc0RLO6Ho6Y+C+63rsGNczDD6K6zWgx6GBnWN0PcP1wECtupbWvr52qw7W9Osd01KR2JRR&#10;B5KlIIDBPd93NwEHbU2HHg54V63e4gQIYqMT6K7gmczb3UgOku1Nhf+oM5dJBvc2ToyhJyre92gu&#10;1r6j1vaQCar8JOnu64zk1nkrnflMdYm0zhAy6Yi9Skdk2/7Rn6FH8z8gRi7zD9+uf7RgUC0rkIjV&#10;L9m2YivpkPrQY0B1tHJtgnFIOKHhFuAe163jOIV+zTI/uDvrYl/j4STFrsPiJrIjMPFtaAlshdhV&#10;dxoHJWwuM7BJi2QGzW7jGfQUx763+FSNnNxrshNbo7Bb65OgmKsURtiSLwhttZOJeIp5FEzqIH0C&#10;Lcqhx+94sIwm0N03grvjlhjZDud3jzw8uF/59/PZGbY/li19obU3zEfVmryTRR127n5V//p7vx9m&#10;ZThTvzjTttN8B2dqOsv3cybpq9zNk2TBq9AmDE9qphgZntSREH6AAmV4Ur94Up1Xs2HmNHNojjFz&#10;IO0Z9CPJl6BNPPEgYNNSlnyP6kQuApmFrl/ZC++t+ycXelHzIw26dXW7o7VudA36hDZrhC3TUpfe&#10;80caoPgBZqwuv+hl+0/QYOUHG+7NNxogx/8IH762T1XQXNgbyeR0lUivLBCuKEISXi9h5OuBIkm2&#10;8fGUOuFSbP1xI/+XDm1CfUmx0BXbc4gIXdXmDeZjSq8E4T5zZKJxt21zbA4w2hEUHB+OoNIuU6Rt&#10;VrzDLOHqOy5AcnutiJ0fgJEn7jchrjn5BvbDJ1y8heV5HcEqyFffWxEobWcEsUY0cONSIx88cwL5&#10;QkIdgPxNvHPHBbkEVwFHnAOfSMKP0rQkFHMh+grKOvrhRDWFXOEO8XR9aQ4muR8CcAG9g7x1O51u&#10;BsStr6Ed9ZWv6jM/CnHKAcy7w14HgXgzELbJvysUS+WnhfZN/o2nquQoFzQUzILvhK7HoH7DQHdv&#10;jnKbYHrGf2ulfn92nkzsbOAPmN0mAHeqDRw+C+UrRR/iZx5+eK3FRpXOQJmrDhmVoY06ozLocBsH&#10;dtihMmznt8BgBVKlIBwK2Qb3NIhFqaIQKPWpylV+jZ56NxALOqH4DKhQ6NUnS/E7o83fQtWqP6z6&#10;6P8AAAD//wMAUEsDBBQABgAIAAAAIQCgkNP33AAAAAUBAAAPAAAAZHJzL2Rvd25yZXYueG1sTI9B&#10;S8NAEIXvgv9hGcGb3SRiDTGbUop6KoKtIN6myTQJzc6G7DZJ/72jF708GN7w3vfy1Ww7NdLgW8cG&#10;4kUEirh0Vcu1gY/9y10KygfkCjvHZOBCHlbF9VWOWeUmfqdxF2olIewzNNCE0Gda+7Ihi37hemLx&#10;jm6wGOQcal0NOEm47XQSRUttsWVpaLCnTUPlaXe2Bl4nnNb38fO4PR03l6/9w9vnNiZjbm/m9ROo&#10;QHP4e4YffEGHQpgO7syVV50BGRJ+Vbw0WcqMg4HHNE5AF7n+T198AwAA//8DAFBLAQItABQABgAI&#10;AAAAIQC2gziS/gAAAOEBAAATAAAAAAAAAAAAAAAAAAAAAABbQ29udGVudF9UeXBlc10ueG1sUEsB&#10;Ai0AFAAGAAgAAAAhADj9If/WAAAAlAEAAAsAAAAAAAAAAAAAAAAALwEAAF9yZWxzLy5yZWxzUEsB&#10;Ai0AFAAGAAgAAAAhAM5hp2wLCwAAoHUAAA4AAAAAAAAAAAAAAAAALgIAAGRycy9lMm9Eb2MueG1s&#10;UEsBAi0AFAAGAAgAAAAhAKCQ0/fcAAAABQEAAA8AAAAAAAAAAAAAAAAAZQ0AAGRycy9kb3ducmV2&#10;LnhtbFBLBQYAAAAABAAEAPMAAABuDgAAAAA=&#10;">
                <v:shapetype id="_x0000_t202" coordsize="21600,21600" o:spt="202" path="m,l,21600r21600,l21600,xe">
                  <v:stroke joinstyle="miter"/>
                  <v:path gradientshapeok="t" o:connecttype="rect"/>
                </v:shapetype>
                <v:shape id="Надпись 1" o:spid="_x0000_s1030" type="#_x0000_t202" style="position:absolute;left:11353;width:32843;height:4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IK/wgAAANoAAAAPAAAAZHJzL2Rvd25yZXYueG1sRI/RisIw&#10;FETfBf8hXGHfNFVBpBpFZRdk1wd19wMuzbUtNjdNE7Xu1xtB8HGYmTPMfNmaSlyp8aVlBcNBAoI4&#10;s7rkXMHf71d/CsIHZI2VZVJwJw/LRbczx1TbGx/oegy5iBD2KSooQqhTKX1WkEE/sDVx9E62MRii&#10;bHKpG7xFuKnkKEkm0mDJcaHAmjYFZefjxSjYfDo/3e/ab1w797P9dy6/j5xSH712NQMRqA3v8Ku9&#10;1QrG8LwSb4BcPAAAAP//AwBQSwECLQAUAAYACAAAACEA2+H2y+4AAACFAQAAEwAAAAAAAAAAAAAA&#10;AAAAAAAAW0NvbnRlbnRfVHlwZXNdLnhtbFBLAQItABQABgAIAAAAIQBa9CxbvwAAABUBAAALAAAA&#10;AAAAAAAAAAAAAB8BAABfcmVscy8ucmVsc1BLAQItABQABgAIAAAAIQCSiIK/wgAAANoAAAAPAAAA&#10;AAAAAAAAAAAAAAcCAABkcnMvZG93bnJldi54bWxQSwUGAAAAAAMAAwC3AAAA9gIAAAAA&#10;" fillcolor="#deeaf6 [660]" strokeweight=".5pt">
                  <v:textbox>
                    <w:txbxContent>
                      <w:p w14:paraId="050168FA" w14:textId="77777777" w:rsidR="001D4931" w:rsidRPr="00576139" w:rsidRDefault="001D4931" w:rsidP="00221339">
                        <w:pPr>
                          <w:jc w:val="center"/>
                          <w:rPr>
                            <w:rFonts w:ascii="Times New Roman" w:hAnsi="Times New Roman" w:cs="Times New Roman"/>
                            <w:sz w:val="24"/>
                            <w:szCs w:val="24"/>
                            <w:lang w:val="kk-KZ"/>
                          </w:rPr>
                        </w:pPr>
                        <w:r w:rsidRPr="00576139">
                          <w:rPr>
                            <w:rFonts w:ascii="Times New Roman" w:hAnsi="Times New Roman" w:cs="Times New Roman"/>
                            <w:sz w:val="24"/>
                            <w:szCs w:val="24"/>
                            <w:lang w:val="kk-KZ"/>
                          </w:rPr>
                          <w:t>Инновационный потенциал предпринимательских структур</w:t>
                        </w:r>
                      </w:p>
                    </w:txbxContent>
                  </v:textbox>
                </v:shape>
                <v:shape id="Надпись 2" o:spid="_x0000_s1031" type="#_x0000_t202" style="position:absolute;left:2590;top:7391;width:2110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w1hwgAAANoAAAAPAAAAZHJzL2Rvd25yZXYueG1sRI/NasMw&#10;EITvgb6D2EBvsZximuJaDiEQyLVOC+ltsdY/1FrZkuq4b18VCjkOM/MNU+wXM4iZnO8tK9gmKQji&#10;2uqeWwXvl9PmBYQPyBoHy6Tghzzsy4dVgbm2N36juQqtiBD2OSroQhhzKX3dkUGf2JE4eo11BkOU&#10;rpXa4S3CzSCf0vRZGuw5LnQ40rGj+qv6Ngr07uxayiZ3vJw+h2nazh98bZR6XC+HVxCBlnAP/7fP&#10;WkEGf1fiDZDlLwAAAP//AwBQSwECLQAUAAYACAAAACEA2+H2y+4AAACFAQAAEwAAAAAAAAAAAAAA&#10;AAAAAAAAW0NvbnRlbnRfVHlwZXNdLnhtbFBLAQItABQABgAIAAAAIQBa9CxbvwAAABUBAAALAAAA&#10;AAAAAAAAAAAAAB8BAABfcmVscy8ucmVsc1BLAQItABQABgAIAAAAIQDWTw1hwgAAANoAAAAPAAAA&#10;AAAAAAAAAAAAAAcCAABkcnMvZG93bnJldi54bWxQSwUGAAAAAAMAAwC3AAAA9gIAAAAA&#10;" fillcolor="#e2efd9 [665]" strokeweight=".5pt">
                  <v:textbox>
                    <w:txbxContent>
                      <w:p w14:paraId="7C1A3A2D" w14:textId="77777777" w:rsidR="001D4931" w:rsidRPr="00576139" w:rsidRDefault="001D4931" w:rsidP="00221339">
                        <w:pPr>
                          <w:jc w:val="center"/>
                          <w:rPr>
                            <w:rFonts w:ascii="Times New Roman" w:hAnsi="Times New Roman" w:cs="Times New Roman"/>
                            <w:sz w:val="24"/>
                            <w:szCs w:val="24"/>
                            <w:lang w:val="kk-KZ"/>
                          </w:rPr>
                        </w:pPr>
                        <w:r>
                          <w:rPr>
                            <w:rFonts w:ascii="Times New Roman" w:hAnsi="Times New Roman" w:cs="Times New Roman"/>
                            <w:sz w:val="24"/>
                            <w:szCs w:val="24"/>
                            <w:lang w:val="kk-KZ"/>
                          </w:rPr>
                          <w:t>Драйверы</w:t>
                        </w:r>
                      </w:p>
                    </w:txbxContent>
                  </v:textbox>
                </v:shape>
                <v:shape id="Надпись 3" o:spid="_x0000_s1032" type="#_x0000_t202" style="position:absolute;left:30403;top:7391;width:21032;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o+jwwAAANoAAAAPAAAAZHJzL2Rvd25yZXYueG1sRI9BawIx&#10;FITvBf9DeEJvNVuLRVajaItQBKGuHjw+kufu0s3LksR1/feNIHgcZr4ZZr7sbSM68qF2rOB9lIEg&#10;1s7UXCo4HjZvUxAhIhtsHJOCGwVYLgYvc8yNu/KeuiKWIpVwyFFBFWObSxl0RRbDyLXEyTs7bzEm&#10;6UtpPF5TuW3kOMs+pcWa00KFLX1VpP+Ki1Uw0cfv7vR7stvzaq13flysPw43pV6H/WoGIlIfn+EH&#10;/WMSB/cr6QbIxT8AAAD//wMAUEsBAi0AFAAGAAgAAAAhANvh9svuAAAAhQEAABMAAAAAAAAAAAAA&#10;AAAAAAAAAFtDb250ZW50X1R5cGVzXS54bWxQSwECLQAUAAYACAAAACEAWvQsW78AAAAVAQAACwAA&#10;AAAAAAAAAAAAAAAfAQAAX3JlbHMvLnJlbHNQSwECLQAUAAYACAAAACEAHlaPo8MAAADaAAAADwAA&#10;AAAAAAAAAAAAAAAHAgAAZHJzL2Rvd25yZXYueG1sUEsFBgAAAAADAAMAtwAAAPcCAAAAAA==&#10;" fillcolor="#f7caac [1301]" strokeweight=".5pt">
                  <v:textbox>
                    <w:txbxContent>
                      <w:p w14:paraId="74D42CFB" w14:textId="77777777" w:rsidR="001D4931" w:rsidRPr="00576139" w:rsidRDefault="001D4931" w:rsidP="00221339">
                        <w:pPr>
                          <w:jc w:val="center"/>
                          <w:rPr>
                            <w:rFonts w:ascii="Times New Roman" w:hAnsi="Times New Roman" w:cs="Times New Roman"/>
                            <w:sz w:val="24"/>
                            <w:szCs w:val="24"/>
                            <w:lang w:val="kk-KZ"/>
                          </w:rPr>
                        </w:pPr>
                        <w:r>
                          <w:rPr>
                            <w:rFonts w:ascii="Times New Roman" w:hAnsi="Times New Roman" w:cs="Times New Roman"/>
                            <w:sz w:val="24"/>
                            <w:szCs w:val="24"/>
                            <w:lang w:val="kk-KZ"/>
                          </w:rPr>
                          <w:t>Барьеры</w:t>
                        </w:r>
                      </w:p>
                    </w:txbxContent>
                  </v:textbox>
                </v:shape>
                <v:shape id="Надпись 4" o:spid="_x0000_s1033" type="#_x0000_t202" style="position:absolute;left:2590;top:11963;width:17222;height:6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aNvwAAANoAAAAPAAAAZHJzL2Rvd25yZXYueG1sRI/NqsIw&#10;FIT3F3yHcAR311QRr1SjiCC49Q90d2iObbE5aZNY69sbQbjLYWa+YRarzlSiJedLywpGwwQEcWZ1&#10;ybmC03H7OwPhA7LGyjIpeJGH1bL3s8BU2yfvqT2EXEQI+xQVFCHUqZQ+K8igH9qaOHo36wyGKF0u&#10;tcNnhJtKjpNkKg2WHBcKrGlTUHY/PIwC/bdzOU0atzlur1XTjNozX25KDfrdeg4iUBf+w9/2TiuY&#10;wudKvAFy+QYAAP//AwBQSwECLQAUAAYACAAAACEA2+H2y+4AAACFAQAAEwAAAAAAAAAAAAAAAAAA&#10;AAAAW0NvbnRlbnRfVHlwZXNdLnhtbFBLAQItABQABgAIAAAAIQBa9CxbvwAAABUBAAALAAAAAAAA&#10;AAAAAAAAAB8BAABfcmVscy8ucmVsc1BLAQItABQABgAIAAAAIQBJ0TaNvwAAANoAAAAPAAAAAAAA&#10;AAAAAAAAAAcCAABkcnMvZG93bnJldi54bWxQSwUGAAAAAAMAAwC3AAAA8wIAAAAA&#10;" fillcolor="#e2efd9 [665]" strokeweight=".5pt">
                  <v:textbox>
                    <w:txbxContent>
                      <w:p w14:paraId="325822B7" w14:textId="7DD328E2" w:rsidR="001D4931" w:rsidRPr="00576139" w:rsidRDefault="001D4931" w:rsidP="00221339">
                        <w:pPr>
                          <w:jc w:val="center"/>
                          <w:rPr>
                            <w:rFonts w:ascii="Times New Roman" w:hAnsi="Times New Roman" w:cs="Times New Roman"/>
                            <w:sz w:val="24"/>
                            <w:szCs w:val="24"/>
                            <w:lang w:val="kk-KZ"/>
                          </w:rPr>
                        </w:pPr>
                        <w:r w:rsidRPr="008C5F96">
                          <w:rPr>
                            <w:rFonts w:ascii="Times New Roman" w:hAnsi="Times New Roman" w:cs="Times New Roman"/>
                            <w:sz w:val="24"/>
                            <w:szCs w:val="24"/>
                            <w:lang w:val="kk-KZ"/>
                          </w:rPr>
                          <w:t>Управленческо-инновационные ресурсы</w:t>
                        </w:r>
                      </w:p>
                    </w:txbxContent>
                  </v:textbox>
                </v:shape>
                <v:shape id="Надпись 5" o:spid="_x0000_s1034" type="#_x0000_t202" style="position:absolute;left:2514;top:20497;width:17221;height:6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ZMWvwAAANoAAAAPAAAAZHJzL2Rvd25yZXYueG1sRI/NqsIw&#10;FIT3F3yHcAR311SRq1SjiCC49Q90d2iObbE5aZNY69ubC4LLYWa+YRarzlSiJedLywpGwwQEcWZ1&#10;ybmC03H7OwPhA7LGyjIpeJGH1bL3s8BU2yfvqT2EXEQI+xQVFCHUqZQ+K8igH9qaOHo36wyGKF0u&#10;tcNnhJtKjpPkTxosOS4UWNOmoOx+eBgFerpzOU0atzlur1XTjNozX25KDfrdeg4iUBe+4U97pxVM&#10;4f9KvAFy+QYAAP//AwBQSwECLQAUAAYACAAAACEA2+H2y+4AAACFAQAAEwAAAAAAAAAAAAAAAAAA&#10;AAAAW0NvbnRlbnRfVHlwZXNdLnhtbFBLAQItABQABgAIAAAAIQBa9CxbvwAAABUBAAALAAAAAAAA&#10;AAAAAAAAAB8BAABfcmVscy8ucmVsc1BLAQItABQABgAIAAAAIQAmnZMWvwAAANoAAAAPAAAAAAAA&#10;AAAAAAAAAAcCAABkcnMvZG93bnJldi54bWxQSwUGAAAAAAMAAwC3AAAA8wIAAAAA&#10;" fillcolor="#e2efd9 [665]" strokeweight=".5pt">
                  <v:textbox>
                    <w:txbxContent>
                      <w:p w14:paraId="69A1D900" w14:textId="5834A2ED" w:rsidR="001D4931" w:rsidRPr="00576139" w:rsidRDefault="001D4931" w:rsidP="00221339">
                        <w:pPr>
                          <w:jc w:val="center"/>
                          <w:rPr>
                            <w:rFonts w:ascii="Times New Roman" w:hAnsi="Times New Roman" w:cs="Times New Roman"/>
                            <w:sz w:val="24"/>
                            <w:szCs w:val="24"/>
                            <w:lang w:val="kk-KZ"/>
                          </w:rPr>
                        </w:pPr>
                        <w:r w:rsidRPr="008C5F96">
                          <w:rPr>
                            <w:rFonts w:ascii="Times New Roman" w:hAnsi="Times New Roman" w:cs="Times New Roman"/>
                            <w:sz w:val="24"/>
                            <w:szCs w:val="24"/>
                            <w:lang w:val="kk-KZ"/>
                          </w:rPr>
                          <w:t>Технологические и материально-сырьевые ресурсы</w:t>
                        </w:r>
                      </w:p>
                    </w:txbxContent>
                  </v:textbox>
                </v:shape>
                <v:shape id="Надпись 6" o:spid="_x0000_s1035" type="#_x0000_t202" style="position:absolute;left:2514;top:29413;width:1722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gdkvQAAANoAAAAPAAAAZHJzL2Rvd25yZXYueG1sRE9Ni8Iw&#10;EL0L/ocwgrc1VWRXqmkRQfCq7oLehmZsi82kTWKt/94cFjw+3vcmH0wjenK+tqxgPktAEBdW11wq&#10;+D3vv1YgfEDW2FgmBS/ykGfj0QZTbZ98pP4UShFD2KeooAqhTaX0RUUG/cy2xJG7WWcwROhKqR0+&#10;Y7hp5CJJvqXBmmNDhS3tKirup4dRoH8OrqRl53bn/bXpunn/x5ebUtPJsF2DCDSEj/jffdAK4tZ4&#10;Jd4Amb0BAAD//wMAUEsBAi0AFAAGAAgAAAAhANvh9svuAAAAhQEAABMAAAAAAAAAAAAAAAAAAAAA&#10;AFtDb250ZW50X1R5cGVzXS54bWxQSwECLQAUAAYACAAAACEAWvQsW78AAAAVAQAACwAAAAAAAAAA&#10;AAAAAAAfAQAAX3JlbHMvLnJlbHNQSwECLQAUAAYACAAAACEAVwIHZL0AAADaAAAADwAAAAAAAAAA&#10;AAAAAAAHAgAAZHJzL2Rvd25yZXYueG1sUEsFBgAAAAADAAMAtwAAAPECAAAAAA==&#10;" fillcolor="#e2efd9 [665]" strokeweight=".5pt">
                  <v:textbox>
                    <w:txbxContent>
                      <w:p w14:paraId="30CB40ED" w14:textId="6F2B5FD7" w:rsidR="001D4931" w:rsidRPr="00576139" w:rsidRDefault="001D4931" w:rsidP="00221339">
                        <w:pPr>
                          <w:jc w:val="center"/>
                          <w:rPr>
                            <w:rFonts w:ascii="Times New Roman" w:hAnsi="Times New Roman" w:cs="Times New Roman"/>
                            <w:sz w:val="24"/>
                            <w:szCs w:val="24"/>
                            <w:lang w:val="kk-KZ"/>
                          </w:rPr>
                        </w:pPr>
                        <w:r w:rsidRPr="008C5F96">
                          <w:rPr>
                            <w:rFonts w:ascii="Times New Roman" w:hAnsi="Times New Roman" w:cs="Times New Roman"/>
                            <w:sz w:val="24"/>
                            <w:szCs w:val="24"/>
                            <w:lang w:val="kk-KZ"/>
                          </w:rPr>
                          <w:t>Финансовые ресурсы и инструменты</w:t>
                        </w:r>
                      </w:p>
                    </w:txbxContent>
                  </v:textbox>
                </v:shape>
                <v:shape id="Надпись 7" o:spid="_x0000_s1036" type="#_x0000_t202" style="position:absolute;left:2590;top:35585;width:1722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qL/wAAAANoAAAAPAAAAZHJzL2Rvd25yZXYueG1sRI9Bi8Iw&#10;FITvC/6H8ARva6rIrlajiCB4VVfQ26N5tsXmpU1irf/eLAgeh5n5hlmsOlOJlpwvLSsYDRMQxJnV&#10;JecK/o7b7ykIH5A1VpZJwZM8rJa9rwWm2j54T+0h5CJC2KeooAihTqX0WUEG/dDWxNG7WmcwROly&#10;qR0+ItxUcpwkP9JgyXGhwJo2BWW3w90o0L87l9OkcZvj9lI1zag98fmq1KDfrecgAnXhE363d1rB&#10;DP6vxBsgly8AAAD//wMAUEsBAi0AFAAGAAgAAAAhANvh9svuAAAAhQEAABMAAAAAAAAAAAAAAAAA&#10;AAAAAFtDb250ZW50X1R5cGVzXS54bWxQSwECLQAUAAYACAAAACEAWvQsW78AAAAVAQAACwAAAAAA&#10;AAAAAAAAAAAfAQAAX3JlbHMvLnJlbHNQSwECLQAUAAYACAAAACEAOE6i/8AAAADaAAAADwAAAAAA&#10;AAAAAAAAAAAHAgAAZHJzL2Rvd25yZXYueG1sUEsFBgAAAAADAAMAtwAAAPQCAAAAAA==&#10;" fillcolor="#e2efd9 [665]" strokeweight=".5pt">
                  <v:textbox>
                    <w:txbxContent>
                      <w:p w14:paraId="4623EBD8" w14:textId="5460BD30" w:rsidR="001D4931" w:rsidRPr="00576139" w:rsidRDefault="001D4931" w:rsidP="00221339">
                        <w:pPr>
                          <w:jc w:val="center"/>
                          <w:rPr>
                            <w:rFonts w:ascii="Times New Roman" w:hAnsi="Times New Roman" w:cs="Times New Roman"/>
                            <w:sz w:val="24"/>
                            <w:szCs w:val="24"/>
                            <w:lang w:val="kk-KZ"/>
                          </w:rPr>
                        </w:pPr>
                        <w:r w:rsidRPr="008C5F96">
                          <w:rPr>
                            <w:rFonts w:ascii="Times New Roman" w:hAnsi="Times New Roman" w:cs="Times New Roman"/>
                            <w:sz w:val="24"/>
                            <w:szCs w:val="24"/>
                            <w:lang w:val="kk-KZ"/>
                          </w:rPr>
                          <w:t>Человеческий капитал и компетенции</w:t>
                        </w:r>
                      </w:p>
                    </w:txbxContent>
                  </v:textbox>
                </v:shape>
                <v:shape id="Надпись 8" o:spid="_x0000_s1037" type="#_x0000_t202" style="position:absolute;left:2514;top:42105;width:17221;height:4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cXwwgAAANsAAAAPAAAAZHJzL2Rvd25yZXYueG1sRI9Ba8JA&#10;EIXvBf/DMoK3ulGklegqIgheqy3obciOSTA7m+xuY/z3zqHQ2wzvzXvfrLeDa1RPIdaeDcymGSji&#10;wtuaSwPf58P7ElRMyBYbz2TgSRG2m9HbGnPrH/xF/SmVSkI45migSqnNtY5FRQ7j1LfEot18cJhk&#10;DaW2AR8S7ho9z7IP7bBmaaiwpX1Fxf306wzYz2MoadGF/flwbbpu1v/w5WbMZDzsVqASDenf/Hd9&#10;tIIv9PKLDKA3LwAAAP//AwBQSwECLQAUAAYACAAAACEA2+H2y+4AAACFAQAAEwAAAAAAAAAAAAAA&#10;AAAAAAAAW0NvbnRlbnRfVHlwZXNdLnhtbFBLAQItABQABgAIAAAAIQBa9CxbvwAAABUBAAALAAAA&#10;AAAAAAAAAAAAAB8BAABfcmVscy8ucmVsc1BLAQItABQABgAIAAAAIQAOUcXwwgAAANsAAAAPAAAA&#10;AAAAAAAAAAAAAAcCAABkcnMvZG93bnJldi54bWxQSwUGAAAAAAMAAwC3AAAA9gIAAAAA&#10;" fillcolor="#e2efd9 [665]" strokeweight=".5pt">
                  <v:textbox>
                    <w:txbxContent>
                      <w:p w14:paraId="1ED7444C" w14:textId="77777777" w:rsidR="001D4931" w:rsidRPr="00576139" w:rsidRDefault="001D4931" w:rsidP="00221339">
                        <w:pPr>
                          <w:jc w:val="center"/>
                          <w:rPr>
                            <w:rFonts w:ascii="Times New Roman" w:hAnsi="Times New Roman" w:cs="Times New Roman"/>
                            <w:sz w:val="24"/>
                            <w:szCs w:val="24"/>
                            <w:lang w:val="kk-KZ"/>
                          </w:rPr>
                        </w:pPr>
                        <w:r>
                          <w:rPr>
                            <w:rFonts w:ascii="Times New Roman" w:hAnsi="Times New Roman" w:cs="Times New Roman"/>
                            <w:sz w:val="24"/>
                            <w:szCs w:val="24"/>
                            <w:lang w:val="kk-KZ"/>
                          </w:rPr>
                          <w:t>Инновационная культура</w:t>
                        </w:r>
                      </w:p>
                    </w:txbxContent>
                  </v:textbox>
                </v:shape>
                <v:shape id="Надпись 10" o:spid="_x0000_s1038" type="#_x0000_t202" style="position:absolute;left:34213;top:11963;width:1722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sjwgAAANsAAAAPAAAAZHJzL2Rvd25yZXYueG1sRE9LawIx&#10;EL4X/A9hBG81q2Ipq1F8IBSh0K4ePA7JuLu4mSxJXNd/3xQKvc3H95zlureN6MiH2rGCyTgDQayd&#10;qblUcD4dXt9BhIhssHFMCp4UYL0avCwxN+7B39QVsRQphEOOCqoY21zKoCuyGMauJU7c1XmLMUFf&#10;SuPxkcJtI6dZ9iYt1pwaKmxpV5G+FXerYK7P++7ydbHH62arP/202M5OT6VGw36zABGpj//iP/eH&#10;SfMn8PtLOkCufgAAAP//AwBQSwECLQAUAAYACAAAACEA2+H2y+4AAACFAQAAEwAAAAAAAAAAAAAA&#10;AAAAAAAAW0NvbnRlbnRfVHlwZXNdLnhtbFBLAQItABQABgAIAAAAIQBa9CxbvwAAABUBAAALAAAA&#10;AAAAAAAAAAAAAB8BAABfcmVscy8ucmVsc1BLAQItABQABgAIAAAAIQB/DIsjwgAAANsAAAAPAAAA&#10;AAAAAAAAAAAAAAcCAABkcnMvZG93bnJldi54bWxQSwUGAAAAAAMAAwC3AAAA9gIAAAAA&#10;" fillcolor="#f7caac [1301]" strokeweight=".5pt">
                  <v:textbox>
                    <w:txbxContent>
                      <w:p w14:paraId="4A8B35D5" w14:textId="77777777" w:rsidR="001D4931" w:rsidRPr="00576139" w:rsidRDefault="001D4931" w:rsidP="00221339">
                        <w:pPr>
                          <w:jc w:val="center"/>
                          <w:rPr>
                            <w:rFonts w:ascii="Times New Roman" w:hAnsi="Times New Roman" w:cs="Times New Roman"/>
                            <w:sz w:val="24"/>
                            <w:szCs w:val="24"/>
                            <w:lang w:val="kk-KZ"/>
                          </w:rPr>
                        </w:pPr>
                        <w:r>
                          <w:rPr>
                            <w:rFonts w:ascii="Times New Roman" w:hAnsi="Times New Roman" w:cs="Times New Roman"/>
                            <w:sz w:val="24"/>
                            <w:szCs w:val="24"/>
                            <w:lang w:val="kk-KZ"/>
                          </w:rPr>
                          <w:t>Нехватка финансирования</w:t>
                        </w:r>
                      </w:p>
                    </w:txbxContent>
                  </v:textbox>
                </v:shape>
                <v:shape id="Надпись 11" o:spid="_x0000_s1039" type="#_x0000_t202" style="position:absolute;left:34213;top:18059;width:1722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hVUwgAAANsAAAAPAAAAZHJzL2Rvd25yZXYueG1sRE/fa8Iw&#10;EH4f7H8IN/BtplaU0RlFNwZDGGj1wccjOdticylJVut/vwwE3+7j+3mL1WBb0ZMPjWMFk3EGglg7&#10;03Cl4Hj4en0DESKywdYxKbhRgNXy+WmBhXFX3lNfxkqkEA4FKqhj7Aopg67JYhi7jjhxZ+ctxgR9&#10;JY3Hawq3rcyzbC4tNpwaauzooyZ9KX+tgpk+fvan3cluz+uN/vF5uZkebkqNXob1O4hIQ3yI7+5v&#10;k+bn8P9LOkAu/wAAAP//AwBQSwECLQAUAAYACAAAACEA2+H2y+4AAACFAQAAEwAAAAAAAAAAAAAA&#10;AAAAAAAAW0NvbnRlbnRfVHlwZXNdLnhtbFBLAQItABQABgAIAAAAIQBa9CxbvwAAABUBAAALAAAA&#10;AAAAAAAAAAAAAB8BAABfcmVscy8ucmVsc1BLAQItABQABgAIAAAAIQCP3hVUwgAAANsAAAAPAAAA&#10;AAAAAAAAAAAAAAcCAABkcnMvZG93bnJldi54bWxQSwUGAAAAAAMAAwC3AAAA9gIAAAAA&#10;" fillcolor="#f7caac [1301]" strokeweight=".5pt">
                  <v:textbox>
                    <w:txbxContent>
                      <w:p w14:paraId="7A182C16" w14:textId="0D3E269B" w:rsidR="001D4931" w:rsidRPr="00576139" w:rsidRDefault="001D4931" w:rsidP="00221339">
                        <w:pPr>
                          <w:jc w:val="center"/>
                          <w:rPr>
                            <w:rFonts w:ascii="Times New Roman" w:hAnsi="Times New Roman" w:cs="Times New Roman"/>
                            <w:sz w:val="24"/>
                            <w:szCs w:val="24"/>
                            <w:lang w:val="kk-KZ"/>
                          </w:rPr>
                        </w:pPr>
                        <w:r w:rsidRPr="008C5F96">
                          <w:rPr>
                            <w:rFonts w:ascii="Times New Roman" w:hAnsi="Times New Roman" w:cs="Times New Roman"/>
                            <w:sz w:val="24"/>
                            <w:szCs w:val="24"/>
                            <w:lang w:val="kk-KZ"/>
                          </w:rPr>
                          <w:t>Недостаток квалифицированных кадров</w:t>
                        </w:r>
                      </w:p>
                    </w:txbxContent>
                  </v:textbox>
                </v:shape>
                <v:shape id="Надпись 12" o:spid="_x0000_s1040" type="#_x0000_t202" style="position:absolute;left:34213;top:24079;width:1722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DPwgAAANsAAAAPAAAAZHJzL2Rvd25yZXYueG1sRE9NawIx&#10;EL0X/A9hCt5qtoqlbI2iFkEEoV09eByScXfpZrIk6br+eyMI3ubxPme26G0jOvKhdqzgfZSBINbO&#10;1FwqOB42b58gQkQ22DgmBVcKsJgPXmaYG3fhX+qKWIoUwiFHBVWMbS5l0BVZDCPXEifu7LzFmKAv&#10;pfF4SeG2keMs+5AWa04NFba0rkj/Ff9WwVQfv7vTz8nuzsuV3vtxsZocrkoNX/vlF4hIfXyKH+6t&#10;SfMncP8lHSDnNwAAAP//AwBQSwECLQAUAAYACAAAACEA2+H2y+4AAACFAQAAEwAAAAAAAAAAAAAA&#10;AAAAAAAAW0NvbnRlbnRfVHlwZXNdLnhtbFBLAQItABQABgAIAAAAIQBa9CxbvwAAABUBAAALAAAA&#10;AAAAAAAAAAAAAB8BAABfcmVscy8ucmVsc1BLAQItABQABgAIAAAAIQDgkrDPwgAAANsAAAAPAAAA&#10;AAAAAAAAAAAAAAcCAABkcnMvZG93bnJldi54bWxQSwUGAAAAAAMAAwC3AAAA9gIAAAAA&#10;" fillcolor="#f7caac [1301]" strokeweight=".5pt">
                  <v:textbox>
                    <w:txbxContent>
                      <w:p w14:paraId="6568105B" w14:textId="4566F7CD" w:rsidR="001D4931" w:rsidRPr="00576139" w:rsidRDefault="001D4931" w:rsidP="00221339">
                        <w:pPr>
                          <w:jc w:val="center"/>
                          <w:rPr>
                            <w:rFonts w:ascii="Times New Roman" w:hAnsi="Times New Roman" w:cs="Times New Roman"/>
                            <w:sz w:val="24"/>
                            <w:szCs w:val="24"/>
                            <w:lang w:val="kk-KZ"/>
                          </w:rPr>
                        </w:pPr>
                        <w:r w:rsidRPr="008C5F96">
                          <w:rPr>
                            <w:rFonts w:ascii="Times New Roman" w:hAnsi="Times New Roman" w:cs="Times New Roman"/>
                            <w:sz w:val="24"/>
                            <w:szCs w:val="24"/>
                            <w:lang w:val="kk-KZ"/>
                          </w:rPr>
                          <w:t>Отсутствие стратегии монетизации</w:t>
                        </w:r>
                      </w:p>
                    </w:txbxContent>
                  </v:textbox>
                </v:shape>
                <v:shape id="Надпись 13" o:spid="_x0000_s1041" type="#_x0000_t202" style="position:absolute;left:34213;top:30251;width:1722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yi7wwAAANsAAAAPAAAAZHJzL2Rvd25yZXYueG1sRE9LawIx&#10;EL4L/Q9hCr3VbO2DsjWKtggiCLrrweOQjLtLN5MlSdf13zeC4G0+vudM54NtRU8+NI4VvIwzEMTa&#10;mYYrBYdy9fwJIkRkg61jUnChAPPZw2iKuXFn3lNfxEqkEA45Kqhj7HIpg67JYhi7jjhxJ+ctxgR9&#10;JY3Hcwq3rZxk2Ye02HBqqLGj75r0b/FnFbzrw09/3B3t5rRY6q2fFMvX8qLU0+Ow+AIRaYh38c29&#10;Nmn+G1x/SQfI2T8AAAD//wMAUEsBAi0AFAAGAAgAAAAhANvh9svuAAAAhQEAABMAAAAAAAAAAAAA&#10;AAAAAAAAAFtDb250ZW50X1R5cGVzXS54bWxQSwECLQAUAAYACAAAACEAWvQsW78AAAAVAQAACwAA&#10;AAAAAAAAAAAAAAAfAQAAX3JlbHMvLnJlbHNQSwECLQAUAAYACAAAACEAb3sou8MAAADbAAAADwAA&#10;AAAAAAAAAAAAAAAHAgAAZHJzL2Rvd25yZXYueG1sUEsFBgAAAAADAAMAtwAAAPcCAAAAAA==&#10;" fillcolor="#f7caac [1301]" strokeweight=".5pt">
                  <v:textbox>
                    <w:txbxContent>
                      <w:p w14:paraId="44CF0452" w14:textId="77777777" w:rsidR="001D4931" w:rsidRPr="00576139" w:rsidRDefault="001D4931" w:rsidP="00221339">
                        <w:pPr>
                          <w:jc w:val="center"/>
                          <w:rPr>
                            <w:rFonts w:ascii="Times New Roman" w:hAnsi="Times New Roman" w:cs="Times New Roman"/>
                            <w:sz w:val="24"/>
                            <w:szCs w:val="24"/>
                            <w:lang w:val="kk-KZ"/>
                          </w:rPr>
                        </w:pPr>
                        <w:r>
                          <w:rPr>
                            <w:rFonts w:ascii="Times New Roman" w:hAnsi="Times New Roman" w:cs="Times New Roman"/>
                            <w:sz w:val="24"/>
                            <w:szCs w:val="24"/>
                            <w:lang w:val="kk-KZ"/>
                          </w:rPr>
                          <w:t>Сложности масштабирования</w:t>
                        </w:r>
                      </w:p>
                    </w:txbxContent>
                  </v:textbox>
                </v:shape>
                <v:shape id="Надпись 14" o:spid="_x0000_s1042" type="#_x0000_t202" style="position:absolute;left:34213;top:36347;width:1722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40gwgAAANsAAAAPAAAAZHJzL2Rvd25yZXYueG1sRE9LawIx&#10;EL4X/A9hCr3VbBWLbI3iA6EUhLp68Dgk4+7SzWRJ4rr++0YQvM3H95zZoreN6MiH2rGCj2EGglg7&#10;U3Op4HjYvk9BhIhssHFMCm4UYDEfvMwwN+7Ke+qKWIoUwiFHBVWMbS5l0BVZDEPXEifu7LzFmKAv&#10;pfF4TeG2kaMs+5QWa04NFba0rkj/FRerYKKPm+70e7I/5+VK7/yoWI0PN6XeXvvlF4hIfXyKH+5v&#10;k+ZP4P5LOkDO/wEAAP//AwBQSwECLQAUAAYACAAAACEA2+H2y+4AAACFAQAAEwAAAAAAAAAAAAAA&#10;AAAAAAAAW0NvbnRlbnRfVHlwZXNdLnhtbFBLAQItABQABgAIAAAAIQBa9CxbvwAAABUBAAALAAAA&#10;AAAAAAAAAAAAAB8BAABfcmVscy8ucmVsc1BLAQItABQABgAIAAAAIQAAN40gwgAAANsAAAAPAAAA&#10;AAAAAAAAAAAAAAcCAABkcnMvZG93bnJldi54bWxQSwUGAAAAAAMAAwC3AAAA9gIAAAAA&#10;" fillcolor="#f7caac [1301]" strokeweight=".5pt">
                  <v:textbox>
                    <w:txbxContent>
                      <w:p w14:paraId="08529D84" w14:textId="77777777" w:rsidR="001D4931" w:rsidRPr="00576139" w:rsidRDefault="001D4931" w:rsidP="00221339">
                        <w:pPr>
                          <w:jc w:val="center"/>
                          <w:rPr>
                            <w:rFonts w:ascii="Times New Roman" w:hAnsi="Times New Roman" w:cs="Times New Roman"/>
                            <w:sz w:val="24"/>
                            <w:szCs w:val="24"/>
                            <w:lang w:val="kk-KZ"/>
                          </w:rPr>
                        </w:pPr>
                        <w:r>
                          <w:rPr>
                            <w:rFonts w:ascii="Times New Roman" w:hAnsi="Times New Roman" w:cs="Times New Roman"/>
                            <w:sz w:val="24"/>
                            <w:szCs w:val="24"/>
                            <w:lang w:val="kk-KZ"/>
                          </w:rPr>
                          <w:t>Регуляторные ограничения</w:t>
                        </w:r>
                      </w:p>
                    </w:txbxContent>
                  </v:textbox>
                </v:shape>
                <v:shape id="Надпись 15" o:spid="_x0000_s1043" type="#_x0000_t202" style="position:absolute;left:34213;top:42443;width:1722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RNXwgAAANsAAAAPAAAAZHJzL2Rvd25yZXYueG1sRE9LawIx&#10;EL4X/A9hCr3VbBVFtkbxgVAKQl09eByScXfpZrIkcV3/fSMIvc3H95z5sreN6MiH2rGCj2EGglg7&#10;U3Op4HTcvc9AhIhssHFMCu4UYLkYvMwxN+7GB+qKWIoUwiFHBVWMbS5l0BVZDEPXEifu4rzFmKAv&#10;pfF4S+G2kaMsm0qLNaeGClvaVKR/i6tVMNGnbXf+Odvvy2qt935UrMfHu1Jvr/3qE0SkPv6Ln+4v&#10;k+ZP4fFLOkAu/gAAAP//AwBQSwECLQAUAAYACAAAACEA2+H2y+4AAACFAQAAEwAAAAAAAAAAAAAA&#10;AAAAAAAAW0NvbnRlbnRfVHlwZXNdLnhtbFBLAQItABQABgAIAAAAIQBa9CxbvwAAABUBAAALAAAA&#10;AAAAAAAAAAAAAB8BAABfcmVscy8ucmVsc1BLAQItABQABgAIAAAAIQDw5RNXwgAAANsAAAAPAAAA&#10;AAAAAAAAAAAAAAcCAABkcnMvZG93bnJldi54bWxQSwUGAAAAAAMAAwC3AAAA9gIAAAAA&#10;" fillcolor="#f7caac [1301]" strokeweight=".5pt">
                  <v:textbox>
                    <w:txbxContent>
                      <w:p w14:paraId="71E3E247" w14:textId="77777777" w:rsidR="001D4931" w:rsidRPr="00576139" w:rsidRDefault="001D4931" w:rsidP="00221339">
                        <w:pPr>
                          <w:jc w:val="center"/>
                          <w:rPr>
                            <w:rFonts w:ascii="Times New Roman" w:hAnsi="Times New Roman" w:cs="Times New Roman"/>
                            <w:sz w:val="24"/>
                            <w:szCs w:val="24"/>
                            <w:lang w:val="kk-KZ"/>
                          </w:rPr>
                        </w:pPr>
                        <w:r>
                          <w:rPr>
                            <w:rFonts w:ascii="Times New Roman" w:hAnsi="Times New Roman" w:cs="Times New Roman"/>
                            <w:sz w:val="24"/>
                            <w:szCs w:val="24"/>
                            <w:lang w:val="kk-KZ"/>
                          </w:rPr>
                          <w:t>Инертность потребителей</w:t>
                        </w:r>
                      </w:p>
                    </w:txbxContent>
                  </v:textbox>
                </v:shape>
                <v:line id="Прямая соединительная линия 16" o:spid="_x0000_s1044" style="position:absolute;visibility:visible;mso-wrap-style:square" from="14630,4648" to="14630,7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7" o:spid="_x0000_s1045" style="position:absolute;visibility:visible;mso-wrap-style:square" from="39547,4648" to="39547,7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line id="Прямая соединительная линия 18" o:spid="_x0000_s1046" style="position:absolute;visibility:visible;mso-wrap-style:square" from="22021,10439" to="22021,44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YuwgAAANsAAAAPAAAAZHJzL2Rvd25yZXYueG1sRE/fa8Iw&#10;EH4X9j+EG+xFZjoF0a6pDJkgOHSrYc9Hc2vLmktpMq3//SIIvt3H9/Oy1WBbcaLeN44VvEwSEMSl&#10;Mw1XCvRx87wA4QOywdYxKbiQh1X+MMowNe7MX3QqQiViCPsUFdQhdKmUvqzJop+4jjhyP663GCLs&#10;K2l6PMdw28ppksylxYZjQ40drWsqf4s/q2Cnl9/j2WGhtT0We/zUzfvhY63U0+Pw9goi0BDu4pt7&#10;a+L8JVx/iQfI/B8AAP//AwBQSwECLQAUAAYACAAAACEA2+H2y+4AAACFAQAAEwAAAAAAAAAAAAAA&#10;AAAAAAAAW0NvbnRlbnRfVHlwZXNdLnhtbFBLAQItABQABgAIAAAAIQBa9CxbvwAAABUBAAALAAAA&#10;AAAAAAAAAAAAAB8BAABfcmVscy8ucmVsc1BLAQItABQABgAIAAAAIQCA+9YuwgAAANsAAAAPAAAA&#10;AAAAAAAAAAAAAAcCAABkcnMvZG93bnJldi54bWxQSwUGAAAAAAMAAwC3AAAA9gIAAAAA&#10;" strokecolor="black [3200]" strokeweight=".5pt">
                  <v:stroke joinstyle="miter"/>
                </v:line>
                <v:line id="Прямая соединительная линия 19" o:spid="_x0000_s1047" style="position:absolute;visibility:visible;mso-wrap-style:square" from="31927,10439" to="32004,44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bUOwQAAANsAAAAPAAAAZHJzL2Rvd25yZXYueG1sRE9da8Iw&#10;FH0X/A/hCr6IplMYXWcUkQmCY241+Hxp7tpic1OaqPXfm4fBHg/ne7nubSNu1PnasYKXWQKCuHCm&#10;5lKBPu2mKQgfkA02jknBgzysV8PBEjPj7vxDtzyUIoawz1BBFUKbSemLiiz6mWuJI/frOoshwq6U&#10;psN7DLeNnCfJq7RYc2yosKVtRcUlv1oFB/12niyOqdb2lH/ht64/jp9bpcajfvMOIlAf/sV/7r1R&#10;MI/r45f4A+TqCQAA//8DAFBLAQItABQABgAIAAAAIQDb4fbL7gAAAIUBAAATAAAAAAAAAAAAAAAA&#10;AAAAAABbQ29udGVudF9UeXBlc10ueG1sUEsBAi0AFAAGAAgAAAAhAFr0LFu/AAAAFQEAAAsAAAAA&#10;AAAAAAAAAAAAHwEAAF9yZWxzLy5yZWxzUEsBAi0AFAAGAAgAAAAhAN+ttQ7BAAAA2wAAAA8AAAAA&#10;AAAAAAAAAAAABwIAAGRycy9kb3ducmV2LnhtbFBLBQYAAAAAAwADALcAAAD1AgAAAAA=&#10;" strokecolor="black [3200]" strokeweight=".5pt">
                  <v:stroke joinstyle="miter"/>
                </v:line>
                <v:shapetype id="_x0000_t32" coordsize="21600,21600" o:spt="32" o:oned="t" path="m,l21600,21600e" filled="f">
                  <v:path arrowok="t" fillok="f" o:connecttype="none"/>
                  <o:lock v:ext="edit" shapetype="t"/>
                </v:shapetype>
                <v:shape id="Прямая со стрелкой 21" o:spid="_x0000_s1048" type="#_x0000_t32" style="position:absolute;left:19735;top:44217;width:228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qAyxAAAANsAAAAPAAAAZHJzL2Rvd25yZXYueG1sRI9Ba8JA&#10;FITvBf/D8oReSt2YiJXoKqWltFdTKfX2zD6TYPZtyNtq+u+7gtDjMDPfMKvN4Fp1pl4azwamkwQU&#10;celtw5WB3efb4wKUBGSLrWcy8EsCm/XoboW59Rfe0rkIlYoQlhwN1CF0udZS1uRQJr4jjt7R9w5D&#10;lH2lbY+XCHetTpNkrh02HBdq7OilpvJU/DgDWZhJup19P0mxrw4P9jXL5OvdmPvx8LwEFWgI/+Fb&#10;+8MaSKdw/RJ/gF7/AQAA//8DAFBLAQItABQABgAIAAAAIQDb4fbL7gAAAIUBAAATAAAAAAAAAAAA&#10;AAAAAAAAAABbQ29udGVudF9UeXBlc10ueG1sUEsBAi0AFAAGAAgAAAAhAFr0LFu/AAAAFQEAAAsA&#10;AAAAAAAAAAAAAAAAHwEAAF9yZWxzLy5yZWxzUEsBAi0AFAAGAAgAAAAhANJqoDLEAAAA2wAAAA8A&#10;AAAAAAAAAAAAAAAABwIAAGRycy9kb3ducmV2LnhtbFBLBQYAAAAAAwADALcAAAD4AgAAAAA=&#10;" strokecolor="black [3200]" strokeweight=".5pt">
                  <v:stroke endarrow="block" joinstyle="miter"/>
                </v:shape>
                <v:shape id="Прямая со стрелкой 22" o:spid="_x0000_s1049" type="#_x0000_t32" style="position:absolute;left:19812;top:38100;width:220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D5FxAAAANsAAAAPAAAAZHJzL2Rvd25yZXYueG1sRI9Ba8JA&#10;FITvhf6H5QleSt00EVuiq5SKtFdjKe3tNftMgtm3IW/V9N93BcHjMDPfMIvV4Fp1ol4azwaeJgko&#10;4tLbhisDn7vN4wsoCcgWW89k4I8EVsv7uwXm1p95S6ciVCpCWHI0UIfQ5VpLWZNDmfiOOHp73zsM&#10;UfaVtj2eI9y1Ok2SmXbYcFyosaO3mspDcXQGsjCVdDv9fpbip/p9sOssk693Y8aj4XUOKtAQbuFr&#10;+8MaSFO4fIk/QC//AQAA//8DAFBLAQItABQABgAIAAAAIQDb4fbL7gAAAIUBAAATAAAAAAAAAAAA&#10;AAAAAAAAAABbQ29udGVudF9UeXBlc10ueG1sUEsBAi0AFAAGAAgAAAAhAFr0LFu/AAAAFQEAAAsA&#10;AAAAAAAAAAAAAAAAHwEAAF9yZWxzLy5yZWxzUEsBAi0AFAAGAAgAAAAhACK4PkXEAAAA2wAAAA8A&#10;AAAAAAAAAAAAAAAABwIAAGRycy9kb3ducmV2LnhtbFBLBQYAAAAAAwADALcAAAD4AgAAAAA=&#10;" strokecolor="black [3200]" strokeweight=".5pt">
                  <v:stroke endarrow="block" joinstyle="miter"/>
                </v:shape>
                <v:shape id="Прямая со стрелкой 23" o:spid="_x0000_s1050" type="#_x0000_t32" style="position:absolute;left:19735;top:31862;width:228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JvexAAAANsAAAAPAAAAZHJzL2Rvd25yZXYueG1sRI9Ba8JA&#10;FITvhf6H5QleSt00EVuiq5SKtFdjKe3tNftMgtm3IW/V9N93BcHjMDPfMIvV4Fp1ol4azwaeJgko&#10;4tLbhisDn7vN4wsoCcgWW89k4I8EVsv7uwXm1p95S6ciVCpCWHI0UIfQ5VpLWZNDmfiOOHp73zsM&#10;UfaVtj2eI9y1Ok2SmXbYcFyosaO3mspDcXQGsjCVdDv9fpbip/p9sOssk693Y8aj4XUOKtAQbuFr&#10;+8MaSDO4fIk/QC//AQAA//8DAFBLAQItABQABgAIAAAAIQDb4fbL7gAAAIUBAAATAAAAAAAAAAAA&#10;AAAAAAAAAABbQ29udGVudF9UeXBlc10ueG1sUEsBAi0AFAAGAAgAAAAhAFr0LFu/AAAAFQEAAAsA&#10;AAAAAAAAAAAAAAAAHwEAAF9yZWxzLy5yZWxzUEsBAi0AFAAGAAgAAAAhAE30m97EAAAA2wAAAA8A&#10;AAAAAAAAAAAAAAAABwIAAGRycy9kb3ducmV2LnhtbFBLBQYAAAAAAwADALcAAAD4AgAAAAA=&#10;" strokecolor="black [3200]" strokeweight=".5pt">
                  <v:stroke endarrow="block" joinstyle="miter"/>
                </v:shape>
                <v:shape id="Прямая со стрелкой 24" o:spid="_x0000_s1051" type="#_x0000_t32" style="position:absolute;left:19735;top:24079;width:228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QOqxAAAANsAAAAPAAAAZHJzL2Rvd25yZXYueG1sRI9BS8NA&#10;FITvgv9heUIv0m5Mgi2x2yKWotdGkfb2mn0mwezbkLdt4793BaHHYWa+YZbr0XXqTIO0ng08zBJQ&#10;xJW3LdcGPt630wUoCcgWO89k4IcE1qvbmyUW1l94R+cy1CpCWAo00ITQF1pL1ZBDmfmeOHpffnAY&#10;ohxqbQe8RLjrdJokj9phy3GhwZ5eGqq+y5MzkIVc0l2+n0t5qI/3dpNl8vlqzORufH4CFWgM1/B/&#10;+80aSHP4+xJ/gF79AgAA//8DAFBLAQItABQABgAIAAAAIQDb4fbL7gAAAIUBAAATAAAAAAAAAAAA&#10;AAAAAAAAAABbQ29udGVudF9UeXBlc10ueG1sUEsBAi0AFAAGAAgAAAAhAFr0LFu/AAAAFQEAAAsA&#10;AAAAAAAAAAAAAAAAHwEAAF9yZWxzLy5yZWxzUEsBAi0AFAAGAAgAAAAhAMIdA6rEAAAA2wAAAA8A&#10;AAAAAAAAAAAAAAAABwIAAGRycy9kb3ducmV2LnhtbFBLBQYAAAAAAwADALcAAAD4AgAAAAA=&#10;" strokecolor="black [3200]" strokeweight=".5pt">
                  <v:stroke endarrow="block" joinstyle="miter"/>
                </v:shape>
                <v:shape id="Прямая со стрелкой 25" o:spid="_x0000_s1052" type="#_x0000_t32" style="position:absolute;left:19735;top:15294;width:228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aYxxQAAANsAAAAPAAAAZHJzL2Rvd25yZXYueG1sRI9BS8NA&#10;FITvhf6H5Qleit2YtFpit0UUsdemIvb2zD6T0OzbkLe28d93hUKPw8x8wyzXg2vVkXppPBu4nyag&#10;iEtvG64MfOze7hagJCBbbD2TgT8SWK/GoyXm1p94S8ciVCpCWHI0UIfQ5VpLWZNDmfqOOHo/vncY&#10;ouwrbXs8RbhrdZokD9phw3Ghxo5eaioPxa8zkIWZpNvZ16MU++p7Yl+zTD7fjbm9GZ6fQAUawjV8&#10;aW+sgXQO/1/iD9CrMwAAAP//AwBQSwECLQAUAAYACAAAACEA2+H2y+4AAACFAQAAEwAAAAAAAAAA&#10;AAAAAAAAAAAAW0NvbnRlbnRfVHlwZXNdLnhtbFBLAQItABQABgAIAAAAIQBa9CxbvwAAABUBAAAL&#10;AAAAAAAAAAAAAAAAAB8BAABfcmVscy8ucmVsc1BLAQItABQABgAIAAAAIQCtUaYxxQAAANsAAAAP&#10;AAAAAAAAAAAAAAAAAAcCAABkcnMvZG93bnJldi54bWxQSwUGAAAAAAMAAwC3AAAA+QIAAAAA&#10;" strokecolor="black [3200]" strokeweight=".5pt">
                  <v:stroke endarrow="block" joinstyle="miter"/>
                </v:shape>
                <v:shape id="Прямая со стрелкой 26" o:spid="_x0000_s1053" type="#_x0000_t32" style="position:absolute;left:31927;top:14020;width:2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X4wwwAAANsAAAAPAAAAZHJzL2Rvd25yZXYueG1sRI9Li8JA&#10;EITvgv9haMGbTlYwaDYT8YGge/OB5ybTm4TN9MTMaOK/dxYW9lhU1VdUuupNLZ7Uusqygo9pBII4&#10;t7riQsH1sp8sQDiPrLG2TApe5GCVDQcpJtp2fKLn2RciQNglqKD0vkmkdHlJBt3UNsTB+7atQR9k&#10;W0jdYhfgppazKIqlwYrDQokNbUvKf84Po6BDf1tu1sV9u9kdD/28vseX65dS41G//gThqff/4b/2&#10;QSuYxfD7JfwAmb0BAAD//wMAUEsBAi0AFAAGAAgAAAAhANvh9svuAAAAhQEAABMAAAAAAAAAAAAA&#10;AAAAAAAAAFtDb250ZW50X1R5cGVzXS54bWxQSwECLQAUAAYACAAAACEAWvQsW78AAAAVAQAACwAA&#10;AAAAAAAAAAAAAAAfAQAAX3JlbHMvLnJlbHNQSwECLQAUAAYACAAAACEAHKF+MMMAAADbAAAADwAA&#10;AAAAAAAAAAAAAAAHAgAAZHJzL2Rvd25yZXYueG1sUEsFBgAAAAADAAMAtwAAAPcCAAAAAA==&#10;" strokecolor="black [3200]" strokeweight=".5pt">
                  <v:stroke endarrow="block" joinstyle="miter"/>
                </v:shape>
                <v:shape id="Прямая со стрелкой 28" o:spid="_x0000_s1054" type="#_x0000_t32" style="position:absolute;left:32004;top:20421;width:2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k/ZvQAAANsAAAAPAAAAZHJzL2Rvd25yZXYueG1sRE/JCsIw&#10;EL0L/kMYwZumCopWo7ggqDcXPA/N2BabSW2irX9vDoLHx9vny8YU4k2Vyy0rGPQjEMSJ1TmnCq6X&#10;XW8CwnlkjYVlUvAhB8tFuzXHWNuaT/Q++1SEEHYxKsi8L2MpXZKRQde3JXHg7rYy6AOsUqkrrEO4&#10;KeQwisbSYM6hIcOSNhklj/PLKKjR36brVfrcrLeHfTMqnuPL9ahUt9OsZiA8Nf4v/rn3WsEwjA1f&#10;wg+Qiy8AAAD//wMAUEsBAi0AFAAGAAgAAAAhANvh9svuAAAAhQEAABMAAAAAAAAAAAAAAAAAAAAA&#10;AFtDb250ZW50X1R5cGVzXS54bWxQSwECLQAUAAYACAAAACEAWvQsW78AAAAVAQAACwAAAAAAAAAA&#10;AAAAAAAfAQAAX3JlbHMvLnJlbHNQSwECLQAUAAYACAAAACEAAnJP2b0AAADbAAAADwAAAAAAAAAA&#10;AAAAAAAHAgAAZHJzL2Rvd25yZXYueG1sUEsFBgAAAAADAAMAtwAAAPECAAAAAA==&#10;" strokecolor="black [3200]" strokeweight=".5pt">
                  <v:stroke endarrow="block" joinstyle="miter"/>
                </v:shape>
                <v:shape id="Прямая со стрелкой 29" o:spid="_x0000_s1055" type="#_x0000_t32" style="position:absolute;left:32004;top:26441;width:2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upCwgAAANsAAAAPAAAAZHJzL2Rvd25yZXYueG1sRI9Pi8Iw&#10;FMTvC36H8ARva6qgrLWp+AdB97Yqnh/Nsy02L7WJtn57syB4HGbmN0yy6EwlHtS40rKC0TACQZxZ&#10;XXKu4HTcfv+AcB5ZY2WZFDzJwSLtfSUYa9vyHz0OPhcBwi5GBYX3dSylywoy6Ia2Jg7exTYGfZBN&#10;LnWDbYCbSo6jaCoNlhwWCqxpXVB2PdyNghb9ebZa5rf1arPfdZPqNj2efpUa9LvlHISnzn/C7/ZO&#10;KxjP4P9L+AEyfQEAAP//AwBQSwECLQAUAAYACAAAACEA2+H2y+4AAACFAQAAEwAAAAAAAAAAAAAA&#10;AAAAAAAAW0NvbnRlbnRfVHlwZXNdLnhtbFBLAQItABQABgAIAAAAIQBa9CxbvwAAABUBAAALAAAA&#10;AAAAAAAAAAAAAB8BAABfcmVscy8ucmVsc1BLAQItABQABgAIAAAAIQBtPupCwgAAANsAAAAPAAAA&#10;AAAAAAAAAAAAAAcCAABkcnMvZG93bnJldi54bWxQSwUGAAAAAAMAAwC3AAAA9gIAAAAA&#10;" strokecolor="black [3200]" strokeweight=".5pt">
                  <v:stroke endarrow="block" joinstyle="miter"/>
                </v:shape>
                <v:shape id="Прямая со стрелкой 30" o:spid="_x0000_s1056" type="#_x0000_t32" style="position:absolute;left:31927;top:32308;width:2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dUCvwAAANsAAAAPAAAAZHJzL2Rvd25yZXYueG1sRE/LisIw&#10;FN0P+A/hCu7GVEXRahQfCDo7q7i+NNe22NzUJtr692YhzPJw3otVa0rxotoVlhUM+hEI4tTqgjMF&#10;l/P+dwrCeWSNpWVS8CYHq2XnZ4Gxtg2f6JX4TIQQdjEqyL2vYildmpNB17cVceButjboA6wzqWts&#10;Qrgp5TCKJtJgwaEhx4q2OaX35GkUNOivs806e2w3u+OhHZePyfnyp1Sv267nIDy1/l/8dR+0glFY&#10;H76EHyCXHwAAAP//AwBQSwECLQAUAAYACAAAACEA2+H2y+4AAACFAQAAEwAAAAAAAAAAAAAAAAAA&#10;AAAAW0NvbnRlbnRfVHlwZXNdLnhtbFBLAQItABQABgAIAAAAIQBa9CxbvwAAABUBAAALAAAAAAAA&#10;AAAAAAAAAB8BAABfcmVscy8ucmVsc1BLAQItABQABgAIAAAAIQB53dUCvwAAANsAAAAPAAAAAAAA&#10;AAAAAAAAAAcCAABkcnMvZG93bnJldi54bWxQSwUGAAAAAAMAAwC3AAAA8wIAAAAA&#10;" strokecolor="black [3200]" strokeweight=".5pt">
                  <v:stroke endarrow="block" joinstyle="miter"/>
                </v:shape>
                <v:shape id="Прямая со стрелкой 31" o:spid="_x0000_s1057" type="#_x0000_t32" style="position:absolute;left:32004;top:38557;width:2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XCZwgAAANsAAAAPAAAAZHJzL2Rvd25yZXYueG1sRI9Lq8Iw&#10;FIT3F/wP4QjurqmKotUoPhD07nzg+tAc22JzUpto6783gnCXw8x8w8wWjSnEkyqXW1bQ60YgiBOr&#10;c04VnE/b3zEI55E1FpZJwYscLOatnxnG2tZ8oOfRpyJA2MWoIPO+jKV0SUYGXdeWxMG72sqgD7JK&#10;pa6wDnBTyH4UjaTBnMNChiWtM0pux4dRUKO/TFbL9L5ebfa7ZljcR6fzn1KddrOcgvDU+P/wt73T&#10;CgY9+HwJP0DO3wAAAP//AwBQSwECLQAUAAYACAAAACEA2+H2y+4AAACFAQAAEwAAAAAAAAAAAAAA&#10;AAAAAAAAW0NvbnRlbnRfVHlwZXNdLnhtbFBLAQItABQABgAIAAAAIQBa9CxbvwAAABUBAAALAAAA&#10;AAAAAAAAAAAAAB8BAABfcmVscy8ucmVsc1BLAQItABQABgAIAAAAIQAWkXCZwgAAANsAAAAPAAAA&#10;AAAAAAAAAAAAAAcCAABkcnMvZG93bnJldi54bWxQSwUGAAAAAAMAAwC3AAAA9gIAAAAA&#10;" strokecolor="black [3200]" strokeweight=".5pt">
                  <v:stroke endarrow="block" joinstyle="miter"/>
                </v:shape>
                <v:shape id="Прямая со стрелкой 32" o:spid="_x0000_s1058" type="#_x0000_t32" style="position:absolute;left:32004;top:44805;width:2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7uwwAAANsAAAAPAAAAZHJzL2Rvd25yZXYueG1sRI9Pi8Iw&#10;FMTvC36H8ARva6qLorWpqIvg7s0/eH40z7bYvNQm2vrtN4Kwx2FmfsMky85U4kGNKy0rGA0jEMSZ&#10;1SXnCk7H7ecMhPPIGivLpOBJDpZp7yPBWNuW9/Q4+FwECLsYFRTe17GULivIoBvamjh4F9sY9EE2&#10;udQNtgFuKjmOoqk0WHJYKLCmTUHZ9XA3Clr05/l6ld826++fXTepbtPj6VepQb9bLUB46vx/+N3e&#10;aQVfY3h9CT9Apn8AAAD//wMAUEsBAi0AFAAGAAgAAAAhANvh9svuAAAAhQEAABMAAAAAAAAAAAAA&#10;AAAAAAAAAFtDb250ZW50X1R5cGVzXS54bWxQSwECLQAUAAYACAAAACEAWvQsW78AAAAVAQAACwAA&#10;AAAAAAAAAAAAAAAfAQAAX3JlbHMvLnJlbHNQSwECLQAUAAYACAAAACEA5kPu7sMAAADbAAAADwAA&#10;AAAAAAAAAAAAAAAHAgAAZHJzL2Rvd25yZXYueG1sUEsFBgAAAAADAAMAtwAAAPcCAAAAAA==&#10;" strokecolor="black [3200]" strokeweight=".5pt">
                  <v:stroke endarrow="block" joinstyle="miter"/>
                </v:shape>
                <v:shape id="Надпись 34" o:spid="_x0000_s1059" type="#_x0000_t202" style="position:absolute;left:10232;top:48996;width:35379;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DvkwAAAANsAAAAPAAAAZHJzL2Rvd25yZXYueG1sRE9ba8Iw&#10;FH4f+B/CEXybqVOGVqOIMBSZghfQx0NzbIvNSUmi1v16Mxjs8bvzTWaNqcSdnC8tK+h1ExDEmdUl&#10;5wqOh6/3IQgfkDVWlknBkzzMpq23CabaPnhH933IRSxhn6KCIoQ6ldJnBRn0XVsTR+1incEQocul&#10;dviI5aaSH0nyKQ2WHBcKrGlRUHbd34yC70FzWm9Hz+PyzD/uuplHukqU6rSb+RhEoCb8m//SK62g&#10;P4DfL/EHyOkLAAD//wMAUEsBAi0AFAAGAAgAAAAhANvh9svuAAAAhQEAABMAAAAAAAAAAAAAAAAA&#10;AAAAAFtDb250ZW50X1R5cGVzXS54bWxQSwECLQAUAAYACAAAACEAWvQsW78AAAAVAQAACwAAAAAA&#10;AAAAAAAAAAAfAQAAX3JlbHMvLnJlbHNQSwECLQAUAAYACAAAACEAIsg75MAAAADbAAAADwAAAAAA&#10;AAAAAAAAAAAHAgAAZHJzL2Rvd25yZXYueG1sUEsFBgAAAAADAAMAtwAAAPQCAAAAAA==&#10;" fillcolor="white [3201]" strokecolor="#4472c4 [3208]" strokeweight="1pt">
                  <v:textbox>
                    <w:txbxContent>
                      <w:p w14:paraId="3A0730BC" w14:textId="1EDAB5F8" w:rsidR="001D4931" w:rsidRPr="00576139" w:rsidRDefault="001D4931" w:rsidP="00221339">
                        <w:pPr>
                          <w:jc w:val="center"/>
                          <w:rPr>
                            <w:rFonts w:ascii="Times New Roman" w:hAnsi="Times New Roman" w:cs="Times New Roman"/>
                            <w:sz w:val="24"/>
                            <w:szCs w:val="24"/>
                            <w:lang w:val="kk-KZ"/>
                          </w:rPr>
                        </w:pPr>
                        <w:r w:rsidRPr="00E21E90">
                          <w:rPr>
                            <w:rFonts w:ascii="Times New Roman" w:hAnsi="Times New Roman" w:cs="Times New Roman"/>
                            <w:sz w:val="24"/>
                            <w:szCs w:val="24"/>
                            <w:lang w:val="kk-KZ"/>
                          </w:rPr>
                          <w:t>Цифровая адаптация и цифровая трансформация</w:t>
                        </w:r>
                      </w:p>
                    </w:txbxContent>
                  </v:textbox>
                </v:shape>
                <v:rect id="Прямоугольник 35" o:spid="_x0000_s1060" style="position:absolute;left:29946;top:6019;width:24841;height:42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2EBwwAAANsAAAAPAAAAZHJzL2Rvd25yZXYueG1sRI/BasMw&#10;EETvhf6D2EJvjdyahuBEMU3AYAylNMkHLNLGNrFWxlJt9++jQCDHYWbeMJt8tp0YafCtYwXviwQE&#10;sXam5VrB6Vi8rUD4gGywc0wK/slDvn1+2mBm3MS/NB5CLSKEfYYKmhD6TEqvG7LoF64njt7ZDRZD&#10;lEMtzYBThNtOfiTJUlpsOS402NO+IX05/FkF5U4GWxXuuzu2k07TdFn9uEqp15f5aw0i0Bwe4Xu7&#10;NArST7h9iT9Abq8AAAD//wMAUEsBAi0AFAAGAAgAAAAhANvh9svuAAAAhQEAABMAAAAAAAAAAAAA&#10;AAAAAAAAAFtDb250ZW50X1R5cGVzXS54bWxQSwECLQAUAAYACAAAACEAWvQsW78AAAAVAQAACwAA&#10;AAAAAAAAAAAAAAAfAQAAX3JlbHMvLnJlbHNQSwECLQAUAAYACAAAACEArA9hAcMAAADbAAAADwAA&#10;AAAAAAAAAAAAAAAHAgAAZHJzL2Rvd25yZXYueG1sUEsFBgAAAAADAAMAtwAAAPcCAAAAAA==&#10;" filled="f" strokecolor="black [3200]" strokeweight="1.5pt">
                  <v:stroke dashstyle="dash" joinstyle="round"/>
                </v:rect>
                <v:rect id="Прямоугольник 36" o:spid="_x0000_s1061" style="position:absolute;top:6019;width:24079;height:42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f92wgAAANsAAAAPAAAAZHJzL2Rvd25yZXYueG1sRI/RaoNA&#10;FETfA/mH5Qb6lqypIMVmlSQgiFBKTT/g4t6q1L0r7lbt33cDgT4OM3OGOeWrGcRMk+stKzgeIhDE&#10;jdU9two+b8X+BYTzyBoHy6Tglxzk2XZzwlTbhT9orn0rAoRdigo678dUStd0ZNAd7EgcvC87GfRB&#10;Tq3UEy4Bbgb5HEWJNNhzWOhwpGtHzXf9YxSUF+lNVdi34dYvTRzHSfVuK6Weduv5FYSn1f+HH+1S&#10;K4gTuH8JP0BmfwAAAP//AwBQSwECLQAUAAYACAAAACEA2+H2y+4AAACFAQAAEwAAAAAAAAAAAAAA&#10;AAAAAAAAW0NvbnRlbnRfVHlwZXNdLnhtbFBLAQItABQABgAIAAAAIQBa9CxbvwAAABUBAAALAAAA&#10;AAAAAAAAAAAAAB8BAABfcmVscy8ucmVsc1BLAQItABQABgAIAAAAIQBc3f92wgAAANsAAAAPAAAA&#10;AAAAAAAAAAAAAAcCAABkcnMvZG93bnJldi54bWxQSwUGAAAAAAMAAwC3AAAA9gIAAAAA&#10;" filled="f" strokecolor="black [3200]" strokeweight="1.5pt">
                  <v:stroke dashstyle="dash" joinstyle="round"/>
                </v:rect>
                <v:shape id="Надпись 33" o:spid="_x0000_s1062" type="#_x0000_t202" style="position:absolute;left:22098;top:21118;width:9829;height:12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upxQAAANsAAAAPAAAAZHJzL2Rvd25yZXYueG1sRI/RasJA&#10;FETfBf9huULfdFMjtqRugliKFh9K0n7AbfY2Cc3eDdltjH59VxB8HGbmDLPJRtOKgXrXWFbwuIhA&#10;EJdWN1wp+Pp8mz+DcB5ZY2uZFJzJQZZOJxtMtD1xTkPhKxEg7BJUUHvfJVK6siaDbmE74uD92N6g&#10;D7KvpO7xFOCmlcsoWkuDDYeFGjva1VT+Fn9Gwfuw7Pzrx1HvV0UUr03+dDmU30o9zMbtCwhPo7+H&#10;b+2DVhDHcP0SfoBM/wEAAP//AwBQSwECLQAUAAYACAAAACEA2+H2y+4AAACFAQAAEwAAAAAAAAAA&#10;AAAAAAAAAAAAW0NvbnRlbnRfVHlwZXNdLnhtbFBLAQItABQABgAIAAAAIQBa9CxbvwAAABUBAAAL&#10;AAAAAAAAAAAAAAAAAB8BAABfcmVscy8ucmVsc1BLAQItABQABgAIAAAAIQC/k8upxQAAANsAAAAP&#10;AAAAAAAAAAAAAAAAAAcCAABkcnMvZG93bnJldi54bWxQSwUGAAAAAAMAAwC3AAAA+QIAAAAA&#10;" fillcolor="#ffd966 [1943]" strokeweight=".5pt">
                  <v:textbox>
                    <w:txbxContent>
                      <w:p w14:paraId="3E79084F" w14:textId="2881DF86" w:rsidR="001D4931" w:rsidRPr="00251C63" w:rsidRDefault="001D4931" w:rsidP="00221339">
                        <w:pPr>
                          <w:jc w:val="center"/>
                          <w:rPr>
                            <w:rFonts w:ascii="Times New Roman" w:hAnsi="Times New Roman" w:cs="Times New Roman"/>
                            <w:sz w:val="24"/>
                            <w:szCs w:val="24"/>
                            <w:lang w:val="kk-KZ"/>
                          </w:rPr>
                        </w:pPr>
                        <w:r w:rsidRPr="00E21E90">
                          <w:rPr>
                            <w:rFonts w:ascii="Times New Roman" w:hAnsi="Times New Roman" w:cs="Times New Roman"/>
                            <w:sz w:val="24"/>
                            <w:szCs w:val="24"/>
                            <w:lang w:val="kk-KZ"/>
                          </w:rPr>
                          <w:t>Институциональная среда и г</w:t>
                        </w:r>
                        <w:r w:rsidRPr="00251C63">
                          <w:rPr>
                            <w:rFonts w:ascii="Times New Roman" w:hAnsi="Times New Roman" w:cs="Times New Roman"/>
                            <w:sz w:val="24"/>
                            <w:szCs w:val="24"/>
                            <w:lang w:val="kk-KZ"/>
                          </w:rPr>
                          <w:t>осудар</w:t>
                        </w:r>
                        <w:r>
                          <w:rPr>
                            <w:rFonts w:ascii="Times New Roman" w:hAnsi="Times New Roman" w:cs="Times New Roman"/>
                            <w:sz w:val="24"/>
                            <w:szCs w:val="24"/>
                            <w:lang w:val="kk-KZ"/>
                          </w:rPr>
                          <w:t>-</w:t>
                        </w:r>
                        <w:r w:rsidRPr="00251C63">
                          <w:rPr>
                            <w:rFonts w:ascii="Times New Roman" w:hAnsi="Times New Roman" w:cs="Times New Roman"/>
                            <w:sz w:val="24"/>
                            <w:szCs w:val="24"/>
                            <w:lang w:val="kk-KZ"/>
                          </w:rPr>
                          <w:t>ственная поддержка</w:t>
                        </w:r>
                      </w:p>
                    </w:txbxContent>
                  </v:textbox>
                </v:shape>
                <v:shape id="Прямая со стрелкой 37" o:spid="_x0000_s1063" type="#_x0000_t32" style="position:absolute;left:27012;top:33985;width:39;height:1493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vKIxQAAANsAAAAPAAAAZHJzL2Rvd25yZXYueG1sRI9BawIx&#10;FITvgv8hPKE3zdailq1R1KKUlgq10vNj89xd3Lxsk+hu/fVGKHgcZuYbZjpvTSXO5HxpWcHjIAFB&#10;nFldcq5g/73uP4PwAVljZZkU/JGH+azbmWKqbcNfdN6FXEQI+xQVFCHUqZQ+K8igH9iaOHoH6wyG&#10;KF0utcMmwk0lh0kylgZLjgsF1rQqKDvuTkbBoVlvl/vNu/z8uTg92r7i78dqrNRDr128gAjUhnv4&#10;v/2mFTxN4PYl/gA5uwIAAP//AwBQSwECLQAUAAYACAAAACEA2+H2y+4AAACFAQAAEwAAAAAAAAAA&#10;AAAAAAAAAAAAW0NvbnRlbnRfVHlwZXNdLnhtbFBLAQItABQABgAIAAAAIQBa9CxbvwAAABUBAAAL&#10;AAAAAAAAAAAAAAAAAB8BAABfcmVscy8ucmVsc1BLAQItABQABgAIAAAAIQDUivKIxQAAANsAAAAP&#10;AAAAAAAAAAAAAAAAAAcCAABkcnMvZG93bnJldi54bWxQSwUGAAAAAAMAAwC3AAAA+QIAAAAA&#10;" strokecolor="#5b9bd5 [3204]" strokeweight="2.25pt">
                  <v:stroke dashstyle="dash" endarrow="block" joinstyle="miter"/>
                </v:shape>
                <v:line id="Прямая соединительная линия 40" o:spid="_x0000_s1064" style="position:absolute;flip:y;visibility:visible;mso-wrap-style:square" from="45611,50444" to="49225,50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PC9wgAAANsAAAAPAAAAZHJzL2Rvd25yZXYueG1sRE9da8Iw&#10;FH0f+B/CFXybyYa6URvFDQYiY2jVPl+aa9vZ3JQmauevXx4Gezyc73TZ20ZcqfO1Yw1PYwWCuHCm&#10;5lLDYf/x+ArCB2SDjWPS8EMelovBQ4qJcTfe0TULpYgh7BPUUIXQJlL6oiKLfuxa4sidXGcxRNiV&#10;0nR4i+G2kc9KzaTFmmNDhS29V1Scs4vV8HbcqM1W3T/X9/zL+dn0u37J91qPhv1qDiJQH/7Ff+61&#10;0TCJ6+OX+APk4hcAAP//AwBQSwECLQAUAAYACAAAACEA2+H2y+4AAACFAQAAEwAAAAAAAAAAAAAA&#10;AAAAAAAAW0NvbnRlbnRfVHlwZXNdLnhtbFBLAQItABQABgAIAAAAIQBa9CxbvwAAABUBAAALAAAA&#10;AAAAAAAAAAAAAB8BAABfcmVscy8ucmVsc1BLAQItABQABgAIAAAAIQDEbPC9wgAAANsAAAAPAAAA&#10;AAAAAAAAAAAAAAcCAABkcnMvZG93bnJldi54bWxQSwUGAAAAAAMAAwC3AAAA9gIAAAAA&#10;" strokecolor="#5b9bd5 [3204]" strokeweight="2.25pt">
                  <v:stroke dashstyle="dash" joinstyle="miter"/>
                </v:line>
                <v:line id="Прямая соединительная линия 41" o:spid="_x0000_s1065" style="position:absolute;visibility:visible;mso-wrap-style:square" from="6400,50444" to="10232,50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40BxAAAANsAAAAPAAAAZHJzL2Rvd25yZXYueG1sRI9fa8Iw&#10;FMXfB36HcIW9zdTuD1KNooKwMQbqxOdLc9eUNTdtktX67c1gsMfDOed3OIvVYBvRkw+1YwXTSQaC&#10;uHS65krB6XP3MAMRIrLGxjEpuFKA1XJ0t8BCuwsfqD/GSiQIhwIVmBjbQspQGrIYJq4lTt6X8xZj&#10;kr6S2uMlwW0j8yx7kRZrTgsGW9oaKr+PP1bB4eP9Mcfnzmx81731+7POrddK3Y+H9RxEpCH+h//a&#10;r1rB0xR+v6QfIJc3AAAA//8DAFBLAQItABQABgAIAAAAIQDb4fbL7gAAAIUBAAATAAAAAAAAAAAA&#10;AAAAAAAAAABbQ29udGVudF9UeXBlc10ueG1sUEsBAi0AFAAGAAgAAAAhAFr0LFu/AAAAFQEAAAsA&#10;AAAAAAAAAAAAAAAAHwEAAF9yZWxzLy5yZWxzUEsBAi0AFAAGAAgAAAAhAF/fjQHEAAAA2wAAAA8A&#10;AAAAAAAAAAAAAAAABwIAAGRycy9kb3ducmV2LnhtbFBLBQYAAAAAAwADALcAAAD4AgAAAAA=&#10;" strokecolor="#5b9bd5 [3204]" strokeweight="2.25pt">
                  <v:stroke dashstyle="dash" joinstyle="miter"/>
                </v:line>
                <v:shape id="Прямая со стрелкой 43" o:spid="_x0000_s1066" type="#_x0000_t32" style="position:absolute;left:49149;top:48082;width:0;height:23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VmRxAAAANsAAAAPAAAAZHJzL2Rvd25yZXYueG1sRI9Ba8JA&#10;FITvhf6H5Qm91Y01qRJdQyi0FCmUqHh+ZJ9JMPs2ZLdJ/PduodDjMDPfMNtsMq0YqHeNZQWLeQSC&#10;uLS64UrB6fj+vAbhPLLG1jIpuJGDbPf4sMVU25ELGg6+EgHCLkUFtfddKqUrazLo5rYjDt7F9gZ9&#10;kH0ldY9jgJtWvkTRqzTYcFiosaO3msrr4ccocEyrcfi4fRd03i/zJF6vEvxS6mk25RsQnib/H/5r&#10;f2oF8RJ+v4QfIHd3AAAA//8DAFBLAQItABQABgAIAAAAIQDb4fbL7gAAAIUBAAATAAAAAAAAAAAA&#10;AAAAAAAAAABbQ29udGVudF9UeXBlc10ueG1sUEsBAi0AFAAGAAgAAAAhAFr0LFu/AAAAFQEAAAsA&#10;AAAAAAAAAAAAAAAAHwEAAF9yZWxzLy5yZWxzUEsBAi0AFAAGAAgAAAAhAEYZWZHEAAAA2wAAAA8A&#10;AAAAAAAAAAAAAAAABwIAAGRycy9kb3ducmV2LnhtbFBLBQYAAAAAAwADALcAAAD4AgAAAAA=&#10;" strokecolor="#5b9bd5 [3204]" strokeweight="2.25pt">
                  <v:stroke dashstyle="dash" endarrow="block" joinstyle="miter"/>
                </v:shape>
                <v:shape id="Прямая со стрелкой 44" o:spid="_x0000_s1067" type="#_x0000_t32" style="position:absolute;left:6400;top:48082;width:0;height:23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MHlwgAAANsAAAAPAAAAZHJzL2Rvd25yZXYueG1sRI9Bi8Iw&#10;FITvC/6H8ARvmqp1lWoUEXZZRBBd8fxonm2xeSlNtq3/3gjCHoeZ+YZZbTpTioZqV1hWMB5FIIhT&#10;qwvOFFx+v4YLEM4jaywtk4IHOdisex8rTLRt+UTN2WciQNglqCD3vkqkdGlOBt3IVsTBu9naoA+y&#10;zqSusQ1wU8pJFH1KgwWHhRwr2uWU3s9/RoFjmrfN9+N4out+up3Fi/kMD0oN+t12CcJT5//D7/aP&#10;VhDH8PoSfoBcPwEAAP//AwBQSwECLQAUAAYACAAAACEA2+H2y+4AAACFAQAAEwAAAAAAAAAAAAAA&#10;AAAAAAAAW0NvbnRlbnRfVHlwZXNdLnhtbFBLAQItABQABgAIAAAAIQBa9CxbvwAAABUBAAALAAAA&#10;AAAAAAAAAAAAAB8BAABfcmVscy8ucmVsc1BLAQItABQABgAIAAAAIQDJ8MHlwgAAANsAAAAPAAAA&#10;AAAAAAAAAAAAAAcCAABkcnMvZG93bnJldi54bWxQSwUGAAAAAAMAAwC3AAAA9gIAAAAA&#10;" strokecolor="#5b9bd5 [3204]" strokeweight="2.25pt">
                  <v:stroke dashstyle="dash" endarrow="block" joinstyle="miter"/>
                </v:shape>
                <w10:anchorlock/>
              </v:group>
            </w:pict>
          </mc:Fallback>
        </mc:AlternateContent>
      </w:r>
    </w:p>
    <w:p w14:paraId="5E8E7DB4" w14:textId="77777777" w:rsidR="00221339" w:rsidRPr="008D092F" w:rsidRDefault="00221339" w:rsidP="002F33D0">
      <w:pPr>
        <w:spacing w:after="0" w:line="240" w:lineRule="auto"/>
        <w:ind w:firstLine="567"/>
        <w:jc w:val="center"/>
        <w:rPr>
          <w:rFonts w:ascii="Times New Roman" w:hAnsi="Times New Roman" w:cs="Times New Roman"/>
          <w:sz w:val="28"/>
          <w:szCs w:val="28"/>
        </w:rPr>
      </w:pPr>
    </w:p>
    <w:p w14:paraId="1B795BA1" w14:textId="7F83F057" w:rsidR="00221339" w:rsidRPr="008D092F" w:rsidRDefault="00DF34C6" w:rsidP="002F33D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4319BF">
        <w:rPr>
          <w:rFonts w:ascii="Times New Roman" w:hAnsi="Times New Roman" w:cs="Times New Roman"/>
          <w:sz w:val="28"/>
          <w:szCs w:val="28"/>
          <w:lang w:val="kk-KZ"/>
        </w:rPr>
        <w:t>3</w:t>
      </w:r>
      <w:r w:rsidR="00221339" w:rsidRPr="008D092F">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00221339" w:rsidRPr="008D092F">
        <w:rPr>
          <w:rFonts w:ascii="Times New Roman" w:hAnsi="Times New Roman" w:cs="Times New Roman"/>
          <w:sz w:val="28"/>
          <w:szCs w:val="28"/>
        </w:rPr>
        <w:t xml:space="preserve">Факторы влияния на инновационный потенциал предпринимательских структур </w:t>
      </w:r>
    </w:p>
    <w:p w14:paraId="19BCDEEC" w14:textId="68FCACF2" w:rsidR="00221339" w:rsidRPr="000F3C80" w:rsidRDefault="00221339" w:rsidP="002F33D0">
      <w:pPr>
        <w:spacing w:after="0" w:line="240" w:lineRule="auto"/>
        <w:ind w:firstLine="567"/>
        <w:jc w:val="both"/>
        <w:rPr>
          <w:rFonts w:ascii="Times New Roman" w:hAnsi="Times New Roman" w:cs="Times New Roman"/>
          <w:sz w:val="28"/>
          <w:szCs w:val="28"/>
          <w:lang w:val="kk-KZ"/>
        </w:rPr>
      </w:pPr>
    </w:p>
    <w:p w14:paraId="4083B494" w14:textId="33FDBDFA" w:rsidR="009151FB" w:rsidRPr="004319BF" w:rsidRDefault="00FC6007" w:rsidP="002F33D0">
      <w:pPr>
        <w:spacing w:after="0" w:line="240" w:lineRule="auto"/>
        <w:ind w:firstLine="567"/>
        <w:jc w:val="both"/>
        <w:rPr>
          <w:rFonts w:ascii="Times New Roman" w:hAnsi="Times New Roman" w:cs="Times New Roman"/>
          <w:sz w:val="24"/>
          <w:szCs w:val="24"/>
          <w:lang w:val="kk-KZ"/>
        </w:rPr>
      </w:pPr>
      <w:r w:rsidRPr="004319BF">
        <w:rPr>
          <w:rFonts w:ascii="Times New Roman" w:hAnsi="Times New Roman" w:cs="Times New Roman"/>
          <w:sz w:val="24"/>
          <w:szCs w:val="24"/>
          <w:lang w:val="kk-KZ"/>
        </w:rPr>
        <w:t xml:space="preserve">Примечание – </w:t>
      </w:r>
      <w:r w:rsidR="009151FB" w:rsidRPr="004319BF">
        <w:rPr>
          <w:rFonts w:ascii="Times New Roman" w:hAnsi="Times New Roman" w:cs="Times New Roman"/>
          <w:sz w:val="24"/>
          <w:szCs w:val="24"/>
          <w:lang w:val="kk-KZ"/>
        </w:rPr>
        <w:t>составлено автором</w:t>
      </w:r>
    </w:p>
    <w:p w14:paraId="390FE812" w14:textId="65708B1A" w:rsidR="009151FB" w:rsidRPr="009151FB" w:rsidRDefault="004C2325" w:rsidP="002F33D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Схема</w:t>
      </w:r>
      <w:r w:rsidRPr="004C2325">
        <w:rPr>
          <w:rFonts w:ascii="Times New Roman" w:hAnsi="Times New Roman" w:cs="Times New Roman"/>
          <w:sz w:val="28"/>
          <w:szCs w:val="28"/>
          <w:lang w:val="kk-KZ"/>
        </w:rPr>
        <w:t xml:space="preserve"> демонстрирует, каким образом стимулирующие и сдерживающие факторы соотносятся между собой, отражая двойственную роль государственной поддержки в институциональной среде и усиливающее воздействие цифровых процессов различного уровня зрелости предприятий – от цифровой адаптации, характерной преимущественно для малых и средних структур, до цифровой трансформации, присущей крупным компаниям.</w:t>
      </w:r>
    </w:p>
    <w:p w14:paraId="0C135CDB" w14:textId="77777777" w:rsidR="00251562" w:rsidRDefault="00251562" w:rsidP="00251562">
      <w:pPr>
        <w:spacing w:after="0" w:line="240" w:lineRule="auto"/>
        <w:ind w:firstLine="567"/>
        <w:jc w:val="both"/>
        <w:rPr>
          <w:rFonts w:ascii="Times New Roman" w:hAnsi="Times New Roman" w:cs="Times New Roman"/>
          <w:sz w:val="28"/>
          <w:szCs w:val="28"/>
        </w:rPr>
      </w:pPr>
      <w:r w:rsidRPr="00F71796">
        <w:rPr>
          <w:rFonts w:ascii="Times New Roman" w:hAnsi="Times New Roman" w:cs="Times New Roman"/>
          <w:sz w:val="28"/>
          <w:szCs w:val="28"/>
        </w:rPr>
        <w:t>Наличие благоприятной внутренней среды и ресурсов выступает катализатором инновационной активности предприятия. Ключевыми драйверами в формировании инновационного потенциала являются управленческо-инновационные, технологические, финансовые, кадрово-компетентностные ресурсы, а также инновационная культура, обеспечивающая согласованность действий персонала и руководства.</w:t>
      </w:r>
    </w:p>
    <w:p w14:paraId="1F6C4586" w14:textId="67D21946" w:rsidR="00F71796" w:rsidRPr="00F71796" w:rsidRDefault="00F71796" w:rsidP="002F33D0">
      <w:pPr>
        <w:spacing w:after="0" w:line="240" w:lineRule="auto"/>
        <w:ind w:firstLine="567"/>
        <w:jc w:val="both"/>
        <w:rPr>
          <w:rFonts w:ascii="Times New Roman" w:hAnsi="Times New Roman" w:cs="Times New Roman"/>
          <w:sz w:val="28"/>
          <w:szCs w:val="28"/>
        </w:rPr>
      </w:pPr>
      <w:r w:rsidRPr="00F71796">
        <w:rPr>
          <w:rFonts w:ascii="Times New Roman" w:hAnsi="Times New Roman" w:cs="Times New Roman"/>
          <w:sz w:val="28"/>
          <w:szCs w:val="28"/>
        </w:rPr>
        <w:t xml:space="preserve">Управленческая поддержка </w:t>
      </w:r>
      <w:r w:rsidR="009D20AE">
        <w:rPr>
          <w:rFonts w:ascii="Times New Roman" w:hAnsi="Times New Roman" w:cs="Times New Roman"/>
          <w:sz w:val="28"/>
          <w:szCs w:val="28"/>
        </w:rPr>
        <w:t>–</w:t>
      </w:r>
      <w:r w:rsidRPr="00F71796">
        <w:rPr>
          <w:rFonts w:ascii="Times New Roman" w:hAnsi="Times New Roman" w:cs="Times New Roman"/>
          <w:sz w:val="28"/>
          <w:szCs w:val="28"/>
        </w:rPr>
        <w:t xml:space="preserve"> один из наиболее значимых факторов, задающий стратегическое видение и готовность инвестировать в новые идеи. Приверженность высшего руководства инновациям формирует организационный климат, стимулирующий </w:t>
      </w:r>
      <w:r w:rsidR="00FC6007">
        <w:rPr>
          <w:rFonts w:ascii="Times New Roman" w:hAnsi="Times New Roman" w:cs="Times New Roman"/>
          <w:sz w:val="28"/>
          <w:szCs w:val="28"/>
        </w:rPr>
        <w:t>творчество и ориентацию на риск</w:t>
      </w:r>
      <w:r w:rsidR="00FC6007">
        <w:rPr>
          <w:rFonts w:ascii="Times New Roman" w:hAnsi="Times New Roman" w:cs="Times New Roman"/>
          <w:sz w:val="28"/>
          <w:szCs w:val="28"/>
          <w:lang w:val="kk-KZ"/>
        </w:rPr>
        <w:t xml:space="preserve"> </w:t>
      </w:r>
      <w:r w:rsidR="00FC6007">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{"citationID":"a2a0kg9vk3i","properties":{"formattedCitation":"[106]","plainCitation":"[106]","noteIndex":0},"citationItems":[{"id":157,"uris":["http://zotero.org/users/16887523/items/UV7Y9SMH"],"itemData":{"id":157,"type":"article-journal","abstract":"Objective: This study investigates the impact of entrepreneurial leadership on innovation performance, focusing on the mediating roles of innovation processes and products in small and medium enterprises (SMEs).\nDesign/Methods/Approach: Data were gathered from 105 SME employees through purposive sampling and analyzed using the Structural Equation Model (SEM) with Partial Least Squares (PLS).\nFindings: Reveal that entrepreneurial leadership significantly influences innovation performance. The innovation process and products also play crucial roles in enhancing innovation performance. Additionally, entrepreneurial leadership positively affects the innovation process and products, which, in turn, mediate its relationship with innovation performance. These results highlight the importance of strengthening innovation processes and products to optimize the impact of entrepreneurial leadership. SMES should prioritize leadership development while balancing process and product innovation for sustainable growth. Lastly, innovative products can partially address process deficiencies, but an integrated approach is essential for long-term success.\nOriginality/Value: The research provides a unique contribution by integrating multiple factors (leadership, innovation processes, and products) rather than analysing them in isolation. In addition to SEM-PLS, the FsQCA methodology is employed, which offers a more nuanced analysis than traditional methods. It focuses on a specific regional context and provides localised insights for business growth.\nPractical/Policy implication: The study provides actionable insights for SME leaders, emphasizing leadership training, R&amp;D investment, and process efficiency. These are sensible recommendations that can be applied in real-world settings. Also, by highlighting the role of leadership in innovation, the research adds value to entrepreneurial strategy and organizational management literature. The study suggests a holistic approach integrating leadership, product innovation, and process improvement, paving the way for future research on external factors (e.g., policies and market conditions) affecting SME innovation.","container-title":"Jurnal Manajemen Teori dan Terapan| Journal of Theory and Applied Management","DOI":"10.20473/jmtt.v18i1.70558","ISSN":"2548-2149, 1979-3650","issue":"1","journalAbbreviation":"J. Theor. Appl. Manage.","license":"https://creativecommons.org/licenses/by/4.0","page":"136-155","source":"DOI.org (Crossref)","title":"Exploring the Link between Entrepreneurial Leadership and Innovation Success: Evidence from Small and Medium Enterprises","title-short":"Exploring the Link between Entrepreneurial Leadership and Innovation Success","URL":"https://e-journal.unair.ac.id/JMTT/article/view/70558","volume":"18","author":[{"family":"Fuadiputra","given":"Iqbal Ramadhani"},{"family":"Putri","given":"Viajeng Purnama"},{"family":"Ikhram W","given":"M Abdi Dzil"}],"accessed":{"date-parts":[["2025",11,22]]},"issued":{"date-parts":[["2025",4,25]]}}}],"schema":"https://github.com/citation-style-language/schema/raw/master/csl-citation.json"} </w:instrText>
      </w:r>
      <w:r w:rsidR="00FC6007">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[106]</w:t>
      </w:r>
      <w:r w:rsidR="00FC6007">
        <w:rPr>
          <w:rFonts w:ascii="Times New Roman" w:hAnsi="Times New Roman" w:cs="Times New Roman"/>
          <w:sz w:val="28"/>
          <w:szCs w:val="28"/>
          <w:lang w:val="kk-KZ"/>
        </w:rPr>
        <w:fldChar w:fldCharType="end"/>
      </w:r>
      <w:r w:rsidRPr="00F71796">
        <w:rPr>
          <w:rFonts w:ascii="Times New Roman" w:hAnsi="Times New Roman" w:cs="Times New Roman"/>
          <w:sz w:val="28"/>
          <w:szCs w:val="28"/>
        </w:rPr>
        <w:t>. Особенно ярко влияние управленческого фактора проявляется в малых и средних предприятиях, где роль лидера является определяющей.</w:t>
      </w:r>
    </w:p>
    <w:p w14:paraId="6EAC2B01" w14:textId="66A54D48" w:rsidR="00F71796" w:rsidRPr="00F71796" w:rsidRDefault="00F71796" w:rsidP="002F33D0">
      <w:pPr>
        <w:spacing w:after="0" w:line="240" w:lineRule="auto"/>
        <w:ind w:firstLine="567"/>
        <w:jc w:val="both"/>
        <w:rPr>
          <w:rFonts w:ascii="Times New Roman" w:hAnsi="Times New Roman" w:cs="Times New Roman"/>
          <w:sz w:val="28"/>
          <w:szCs w:val="28"/>
        </w:rPr>
      </w:pPr>
      <w:r w:rsidRPr="00F71796">
        <w:rPr>
          <w:rFonts w:ascii="Times New Roman" w:hAnsi="Times New Roman" w:cs="Times New Roman"/>
          <w:sz w:val="28"/>
          <w:szCs w:val="28"/>
        </w:rPr>
        <w:t xml:space="preserve">Кадровый потенциал </w:t>
      </w:r>
      <w:r w:rsidR="009D20AE">
        <w:rPr>
          <w:rFonts w:ascii="Times New Roman" w:hAnsi="Times New Roman" w:cs="Times New Roman"/>
          <w:sz w:val="28"/>
          <w:szCs w:val="28"/>
        </w:rPr>
        <w:t>–</w:t>
      </w:r>
      <w:r w:rsidRPr="00F71796">
        <w:rPr>
          <w:rFonts w:ascii="Times New Roman" w:hAnsi="Times New Roman" w:cs="Times New Roman"/>
          <w:sz w:val="28"/>
          <w:szCs w:val="28"/>
        </w:rPr>
        <w:t xml:space="preserve"> важнейший актив предпринимательской структуры. Наличие квалифицированных и творчески мыслящих сотрудников, а также практика их постоянного обучения повышают способность компании генерировать и реализовывать новшества </w:t>
      </w:r>
      <w:r w:rsidR="00FC6007">
        <w:rPr>
          <w:rFonts w:ascii="Times New Roman" w:hAnsi="Times New Roman" w:cs="Times New Roman"/>
          <w:sz w:val="28"/>
          <w:szCs w:val="28"/>
        </w:rPr>
        <w:fldChar w:fldCharType="begin"/>
      </w:r>
      <w:r w:rsidR="009C6DCA">
        <w:rPr>
          <w:rFonts w:ascii="Times New Roman" w:hAnsi="Times New Roman" w:cs="Times New Roman"/>
          <w:sz w:val="28"/>
          <w:szCs w:val="28"/>
        </w:rPr>
        <w:instrText xml:space="preserve"> ADDIN ZOTERO_ITEM CSL_CITATION {"citationID":"a1gohtmmuic","properties":{"formattedCitation":"[107]","plainCitation":"[107]","noteIndex":0},"citationItems":[{"id":159,"uris":["http://zotero.org/users/16887523/items/V5Y3RJL6"],"itemData":{"id":159,"type":"article-journal","container-title":"Cogent Business &amp; Management","DOI":"10.1080/23311975.2024.2434729","ISSN":"2331-1975","issue":"1","journalAbbreviation":"Cogent Business &amp; Management","language":"en","page":"2434729","source":"DOI.org (Crossref)","title":"Effect of human capital on the performance of small and medium enterprises: a mediating role of innovation practice in Ethiopia","title-short":"Effect of human capital on the performance of small and medium enterprises","URL":"https://www.tandfonline.com/doi/full/10.1080/23311975.2024.2434729","volume":"11","author":[{"family":"Dinku","given":"Ashenafi Eneyew"},{"family":"Singh","given":"Manjit"},{"family":"Singh","given":"Sandeep"}],"accessed":{"date-parts":[["2025",11,22]]},"issued":{"date-parts":[["2024",12,31]]}}}],"schema":"https://github.com/citation-style-language/schema/raw/master/csl-citation.json"} </w:instrText>
      </w:r>
      <w:r w:rsidR="00FC6007">
        <w:rPr>
          <w:rFonts w:ascii="Times New Roman" w:hAnsi="Times New Roman" w:cs="Times New Roman"/>
          <w:sz w:val="28"/>
          <w:szCs w:val="28"/>
        </w:rPr>
        <w:fldChar w:fldCharType="separate"/>
      </w:r>
      <w:r w:rsidR="009C6DCA" w:rsidRPr="009C6DCA">
        <w:rPr>
          <w:rFonts w:ascii="Times New Roman" w:hAnsi="Times New Roman" w:cs="Times New Roman"/>
          <w:sz w:val="28"/>
        </w:rPr>
        <w:t>[107]</w:t>
      </w:r>
      <w:r w:rsidR="00FC6007">
        <w:rPr>
          <w:rFonts w:ascii="Times New Roman" w:hAnsi="Times New Roman" w:cs="Times New Roman"/>
          <w:sz w:val="28"/>
          <w:szCs w:val="28"/>
        </w:rPr>
        <w:fldChar w:fldCharType="end"/>
      </w:r>
      <w:r w:rsidRPr="00F71796">
        <w:rPr>
          <w:rFonts w:ascii="Times New Roman" w:hAnsi="Times New Roman" w:cs="Times New Roman"/>
          <w:sz w:val="28"/>
          <w:szCs w:val="28"/>
        </w:rPr>
        <w:t>. В то же время дефицит цифровых и инженерных компетенций остаётся одной из главных проблем инновационного развития, особенно для МСП, ограниченных кадровыми ресурсами. Крупные предприятия в этом аспекте обладают преимуществом диверсификации компетенций, но сталкиваются с задачей обновления знаний и гибкости персонала</w:t>
      </w:r>
      <w:r w:rsidR="00656D04">
        <w:rPr>
          <w:rFonts w:ascii="Times New Roman" w:hAnsi="Times New Roman" w:cs="Times New Roman"/>
          <w:sz w:val="28"/>
          <w:szCs w:val="28"/>
          <w:lang w:val="kk-KZ"/>
        </w:rPr>
        <w:t xml:space="preserve"> </w:t>
      </w:r>
      <w:r w:rsidR="00656D04">
        <w:rPr>
          <w:rFonts w:ascii="Times New Roman" w:hAnsi="Times New Roman" w:cs="Times New Roman"/>
          <w:sz w:val="28"/>
          <w:szCs w:val="28"/>
          <w:lang w:val="kk-KZ"/>
        </w:rPr>
        <w:fldChar w:fldCharType="begin"/>
      </w:r>
      <w:r w:rsidR="00A5770E">
        <w:rPr>
          <w:rFonts w:ascii="Times New Roman" w:hAnsi="Times New Roman" w:cs="Times New Roman"/>
          <w:sz w:val="28"/>
          <w:szCs w:val="28"/>
          <w:lang w:val="kk-KZ"/>
        </w:rPr>
        <w:instrText xml:space="preserve"> ADDIN ZOTERO_ITEM CSL_CITATION {"citationID":"a1luv62v1t2","properties":{"formattedCitation":"[108]","plainCitation":"[108]","noteIndex":0},"citationItems":[{"id":581,"uris":["http://zotero.org/users/16887523/items/PZRDPEBB"],"itemData":{"id":581,"type":"paper-conference","event-title":"ХV Торайғыров оқулары: Ақын Сұлтанмахмұт Торайғыровтың 130-жылдығына арналған атты Халықаралық ғылыми-тәжірибелік конференциясының материалдары","number-of-volumes":"103-108","publisher":"Торайғыров университеті","publisher-place":"Павлодар","title":"4.0 Индустрияға көшу жағдайында адами капиталды дамытудың теориялық аспектілері","author":[{"family":"Саденова","given":"А.М."},{"family":"Суйеубаева","given":"С.Н."},{"family":"Ерзатова","given":"М.Е."}],"issued":{"date-parts":[["2023"]]}}}],"schema":"https://github.com/citation-style-language/schema/raw/master/csl-citation.json"} </w:instrText>
      </w:r>
      <w:r w:rsidR="00656D04">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[108]</w:t>
      </w:r>
      <w:r w:rsidR="00656D04">
        <w:rPr>
          <w:rFonts w:ascii="Times New Roman" w:hAnsi="Times New Roman" w:cs="Times New Roman"/>
          <w:sz w:val="28"/>
          <w:szCs w:val="28"/>
          <w:lang w:val="kk-KZ"/>
        </w:rPr>
        <w:fldChar w:fldCharType="end"/>
      </w:r>
      <w:r w:rsidRPr="00F71796">
        <w:rPr>
          <w:rFonts w:ascii="Times New Roman" w:hAnsi="Times New Roman" w:cs="Times New Roman"/>
          <w:sz w:val="28"/>
          <w:szCs w:val="28"/>
        </w:rPr>
        <w:t>.</w:t>
      </w:r>
    </w:p>
    <w:p w14:paraId="7674B4B3" w14:textId="563A2628" w:rsidR="00F71796" w:rsidRPr="00F71796" w:rsidRDefault="00F71796" w:rsidP="002F33D0">
      <w:pPr>
        <w:spacing w:after="0" w:line="240" w:lineRule="auto"/>
        <w:ind w:firstLine="567"/>
        <w:jc w:val="both"/>
        <w:rPr>
          <w:rFonts w:ascii="Times New Roman" w:hAnsi="Times New Roman" w:cs="Times New Roman"/>
          <w:sz w:val="28"/>
          <w:szCs w:val="28"/>
        </w:rPr>
      </w:pPr>
      <w:r w:rsidRPr="00F71796">
        <w:rPr>
          <w:rFonts w:ascii="Times New Roman" w:hAnsi="Times New Roman" w:cs="Times New Roman"/>
          <w:sz w:val="28"/>
          <w:szCs w:val="28"/>
        </w:rPr>
        <w:t xml:space="preserve">Финансовые ресурсы и инструменты также играют определяющую роль. Наличие собственных и привлечённых источников финансирования снимает ограничения на проведение НИОКР, эксперименты и запуск новых проектов. Эмпирические исследования подтверждают значимость финансового фактора: нехватка капитала упоминается до 60–65% малых и средних предприятий как главная преграда инновационной деятельности </w:t>
      </w:r>
      <w:r w:rsidR="00FC6007">
        <w:rPr>
          <w:rFonts w:ascii="Times New Roman" w:hAnsi="Times New Roman" w:cs="Times New Roman"/>
          <w:sz w:val="28"/>
          <w:szCs w:val="28"/>
        </w:rPr>
        <w:fldChar w:fldCharType="begin"/>
      </w:r>
      <w:r w:rsidR="009C6DCA">
        <w:rPr>
          <w:rFonts w:ascii="Times New Roman" w:hAnsi="Times New Roman" w:cs="Times New Roman"/>
          <w:sz w:val="28"/>
          <w:szCs w:val="28"/>
        </w:rPr>
        <w:instrText xml:space="preserve"> ADDIN ZOTERO_ITEM CSL_CITATION {"citationID":"a24c8u2s1os","properties":{"formattedCitation":"[96]","plainCitation":"[96]","noteIndex":0},"citationItems":[{"id":145,"uris":["http://zotero.org/users/16887523/items/LC99S98P"],"itemData":{"id":145,"type":"article-journal","abstract":"This study explores the innovation barriers and implementation strategies within small and medium-sized manufacturing enterprises (SMEs) in the Mazowieckie Voivodeship of Poland. Despite their crucial role in the regional economy, these enterprises face significant hurdles that impede their growth potential and innovation capabilities. Using a mixed-methods approach, the research analyzes both quantitative and qualitative data from 426 manufacturing enterprises. The findings reveal that the primary barriers include limited access to capital, outdated technologies, and a shortage of skilled labor. Furthermore, the study identifies that while company size and age do not significantly influence the type of innovations introduced, external factors such as market reach and capital availability play critical roles. The study underscores the need for tailored policy interventions to support SMEs in overcoming these barriers and fostering an environment conducive to innovation.","container-title":"Sustainability","DOI":"10.3390/su17167525","ISSN":"2071-1050","issue":"16","journalAbbreviation":"Sustainability","language":"en","page":"7525","source":"DOI.org (Crossref)","title":"Barriers to Innovation in Manufacturing SMEs: Evidence from the Mazowieckie Voivodeship (Poland)","title-short":"Barriers to Innovation in Manufacturing SMEs","URL":"https://www.mdpi.com/2071-1050/17/16/7525","volume":"17","author":[{"family":"Wojtaszek","given":"Henryk"},{"family":"Miciuła","given":"Ireneusz"},{"family":"Kowalczyk","given":"Anna"},{"family":"Handschke","given":"Mikołaj"},{"family":"Malinowska","given":"Irena"},{"family":"Budrowski","given":"Dariusz"},{"family":"Pawlińska","given":"Aneta"},{"family":"Wójcik-Czerniawska","given":"Agnieszka"}],"accessed":{"date-parts":[["2025",11,22]]},"issued":{"date-parts":[["2025",8,20]]}}}],"schema":"https://github.com/citation-style-language/schema/raw/master/csl-citation.json"} </w:instrText>
      </w:r>
      <w:r w:rsidR="00FC6007">
        <w:rPr>
          <w:rFonts w:ascii="Times New Roman" w:hAnsi="Times New Roman" w:cs="Times New Roman"/>
          <w:sz w:val="28"/>
          <w:szCs w:val="28"/>
        </w:rPr>
        <w:fldChar w:fldCharType="separate"/>
      </w:r>
      <w:r w:rsidR="009C6DCA" w:rsidRPr="009C6DCA">
        <w:rPr>
          <w:rFonts w:ascii="Times New Roman" w:hAnsi="Times New Roman" w:cs="Times New Roman"/>
          <w:sz w:val="28"/>
        </w:rPr>
        <w:t>[96]</w:t>
      </w:r>
      <w:r w:rsidR="00FC6007">
        <w:rPr>
          <w:rFonts w:ascii="Times New Roman" w:hAnsi="Times New Roman" w:cs="Times New Roman"/>
          <w:sz w:val="28"/>
          <w:szCs w:val="28"/>
        </w:rPr>
        <w:fldChar w:fldCharType="end"/>
      </w:r>
      <w:r w:rsidRPr="00F71796">
        <w:rPr>
          <w:rFonts w:ascii="Times New Roman" w:hAnsi="Times New Roman" w:cs="Times New Roman"/>
          <w:sz w:val="28"/>
          <w:szCs w:val="28"/>
        </w:rPr>
        <w:t>. Для крупных компаний финансовые барьеры менее остры, однако встаёт вопрос об эффективности распределения средств и ориентации инвестиций на долгосрочные инновационные цели.</w:t>
      </w:r>
    </w:p>
    <w:p w14:paraId="558D64F9" w14:textId="6F04F81A" w:rsidR="00F71796" w:rsidRPr="00F71796" w:rsidRDefault="00F71796" w:rsidP="002F33D0">
      <w:pPr>
        <w:spacing w:after="0" w:line="240" w:lineRule="auto"/>
        <w:ind w:firstLine="567"/>
        <w:jc w:val="both"/>
        <w:rPr>
          <w:rFonts w:ascii="Times New Roman" w:hAnsi="Times New Roman" w:cs="Times New Roman"/>
          <w:sz w:val="28"/>
          <w:szCs w:val="28"/>
        </w:rPr>
      </w:pPr>
      <w:r w:rsidRPr="00F71796">
        <w:rPr>
          <w:rFonts w:ascii="Times New Roman" w:hAnsi="Times New Roman" w:cs="Times New Roman"/>
          <w:sz w:val="28"/>
          <w:szCs w:val="28"/>
        </w:rPr>
        <w:t>Внешние партнёрства и сети кооперации представляют собой механизм расширения инновационного потенциала за счёт открытых инноваций и обмена знаниями. Сотрудничество с поставщиками, университетами, исследовательскими центрами и технологическими партнёрами позволяет фирме получить доступ к новым технологиям и идеям, недоступным при автономном развитии</w:t>
      </w:r>
      <w:r w:rsidR="00FC6007">
        <w:rPr>
          <w:rFonts w:ascii="Times New Roman" w:hAnsi="Times New Roman" w:cs="Times New Roman"/>
          <w:sz w:val="28"/>
          <w:szCs w:val="28"/>
          <w:lang w:val="kk-KZ"/>
        </w:rPr>
        <w:t xml:space="preserve"> </w:t>
      </w:r>
      <w:r w:rsidR="00FC6007">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{"citationID":"a15sbk6ta22","properties":{"formattedCitation":"[109]","plainCitation":"[109]","noteIndex":0},"citationItems":[{"id":164,"uris":["http://zotero.org/users/16887523/items/QC9QSINT"],"itemData":{"id":164,"type":"article-journal","abstract":"This article aims to explore Open Innovation (OI) collaborations between high-tech small and medium-sized enterprises (SMEs) and large customers. The aim of the study is to add new perspectives regarding the specific and special way in which smaller companies initiate and develop relationships based on trust with larger customers in order to innovate and, at the same time, highlight the special contribution of customers in terms of the innovation process of SMEs. It presents perspectives regarding the way in which SMEs, by building trust, initiate and grow OI relationships with research clients but also with clients present in industry. According to the results, large customers, directly and indirectly, contributed significantly to the innovation processes of SMEs. The study focuses on SMEs aiming to adopt an OI strategy that involves enhancing legitimacy, building trust, and leveraging relationships with research institutions and larger clients. By investigating how SMEs develop partnerships with these entities, the study contributes to the existing OI literature by exploring how SMEs navigate the advantages and challenges associated with OI while fostering trust-based relationships.","container-title":"MANAGEMENT AND ECONOMICS REVIEW","DOI":"10.24818/mer/2023.06-05","ISSN":"2501885X, 2501885X","issue":"2","journalAbbreviation":"MER","page":"180-200","source":"DOI.org (Crossref)","title":"Perspectives of Collaboration between Large Firms and High-Tech SMEs Regarding Open Innovation (OI)","URL":"https://www.mer.ase.ro/files/2023-2/8-2-5.pdf","volume":"8","author":[{"family":"Rusu","given":"Daniel"}],"accessed":{"date-parts":[["2025",11,22]]},"issued":{"date-parts":[["2023",6,15]]}}}],"schema":"https://github.com/citation-style-language/schema/raw/master/csl-citation.json"} </w:instrText>
      </w:r>
      <w:r w:rsidR="00FC6007">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[109]</w:t>
      </w:r>
      <w:r w:rsidR="00FC6007">
        <w:rPr>
          <w:rFonts w:ascii="Times New Roman" w:hAnsi="Times New Roman" w:cs="Times New Roman"/>
          <w:sz w:val="28"/>
          <w:szCs w:val="28"/>
          <w:lang w:val="kk-KZ"/>
        </w:rPr>
        <w:fldChar w:fldCharType="end"/>
      </w:r>
      <w:r w:rsidRPr="00F71796">
        <w:rPr>
          <w:rFonts w:ascii="Times New Roman" w:hAnsi="Times New Roman" w:cs="Times New Roman"/>
          <w:sz w:val="28"/>
          <w:szCs w:val="28"/>
        </w:rPr>
        <w:t xml:space="preserve">. </w:t>
      </w:r>
      <w:r w:rsidR="00FE7DC8" w:rsidRPr="00F71796">
        <w:rPr>
          <w:rFonts w:ascii="Times New Roman" w:hAnsi="Times New Roman" w:cs="Times New Roman"/>
          <w:sz w:val="28"/>
          <w:szCs w:val="28"/>
        </w:rPr>
        <w:t>К</w:t>
      </w:r>
      <w:r w:rsidRPr="00F71796">
        <w:rPr>
          <w:rFonts w:ascii="Times New Roman" w:hAnsi="Times New Roman" w:cs="Times New Roman"/>
          <w:sz w:val="28"/>
          <w:szCs w:val="28"/>
        </w:rPr>
        <w:t xml:space="preserve">оллаборация МСП с внешними партнёрами способствует развитию компетенций работников и повышает инновационную способность предприятий. Развитая экосистема (инкубаторы, технопарки, </w:t>
      </w:r>
      <w:r w:rsidRPr="00F71796">
        <w:rPr>
          <w:rFonts w:ascii="Times New Roman" w:hAnsi="Times New Roman" w:cs="Times New Roman"/>
          <w:sz w:val="28"/>
          <w:szCs w:val="28"/>
        </w:rPr>
        <w:lastRenderedPageBreak/>
        <w:t xml:space="preserve">отраслевые ассоциации) усиливает данный эффект, создавая условия для сетевого взаимодействия и синергии </w:t>
      </w:r>
      <w:r w:rsidR="00FE7DC8">
        <w:rPr>
          <w:rFonts w:ascii="Times New Roman" w:hAnsi="Times New Roman" w:cs="Times New Roman"/>
          <w:sz w:val="28"/>
          <w:szCs w:val="28"/>
        </w:rPr>
        <w:fldChar w:fldCharType="begin"/>
      </w:r>
      <w:r w:rsidR="009C6DCA">
        <w:rPr>
          <w:rFonts w:ascii="Times New Roman" w:hAnsi="Times New Roman" w:cs="Times New Roman"/>
          <w:sz w:val="28"/>
          <w:szCs w:val="28"/>
        </w:rPr>
        <w:instrText xml:space="preserve"> ADDIN ZOTERO_ITEM CSL_CITATION {"citationID":"a1qb4g7soh7","properties":{"formattedCitation":"[110]","plainCitation":"[110]","noteIndex":0},"citationItems":[{"id":166,"uris":["http://zotero.org/users/16887523/items/QDHQJ3FN"],"itemData":{"id":166,"type":"article-journal","container-title":"Technological Forecasting and Social Change","DOI":"10.1016/j.techfore.2018.04.021","ISSN":"00401625","journalAbbreviation":"Technological Forecasting and Social Change","language":"en","page":"573-587","source":"DOI.org (Crossref)","title":"Open innovation in SMEs: Exploring inter-organizational relationships in an ecosystem","title-short":"Open innovation in SMEs","URL":"https://linkinghub.elsevier.com/retrieve/pii/S0040162518306255","volume":"146","author":[{"family":"Radziwon","given":"Agnieszka"},{"family":"Bogers","given":"Marcel"}],"accessed":{"date-parts":[["2025",11,22]]},"issued":{"date-parts":[["2019",9]]}}}],"schema":"https://github.com/citation-style-language/schema/raw/master/csl-citation.json"} </w:instrText>
      </w:r>
      <w:r w:rsidR="00FE7DC8">
        <w:rPr>
          <w:rFonts w:ascii="Times New Roman" w:hAnsi="Times New Roman" w:cs="Times New Roman"/>
          <w:sz w:val="28"/>
          <w:szCs w:val="28"/>
        </w:rPr>
        <w:fldChar w:fldCharType="separate"/>
      </w:r>
      <w:r w:rsidR="009C6DCA" w:rsidRPr="009C6DCA">
        <w:rPr>
          <w:rFonts w:ascii="Times New Roman" w:hAnsi="Times New Roman" w:cs="Times New Roman"/>
          <w:sz w:val="28"/>
        </w:rPr>
        <w:t>[110]</w:t>
      </w:r>
      <w:r w:rsidR="00FE7DC8">
        <w:rPr>
          <w:rFonts w:ascii="Times New Roman" w:hAnsi="Times New Roman" w:cs="Times New Roman"/>
          <w:sz w:val="28"/>
          <w:szCs w:val="28"/>
        </w:rPr>
        <w:fldChar w:fldCharType="end"/>
      </w:r>
      <w:r w:rsidRPr="00F71796">
        <w:rPr>
          <w:rFonts w:ascii="Times New Roman" w:hAnsi="Times New Roman" w:cs="Times New Roman"/>
          <w:sz w:val="28"/>
          <w:szCs w:val="28"/>
        </w:rPr>
        <w:t>.</w:t>
      </w:r>
    </w:p>
    <w:p w14:paraId="1C72D81B" w14:textId="1A53CACC" w:rsidR="00F71796" w:rsidRPr="00F71796" w:rsidRDefault="00F71796" w:rsidP="002F33D0">
      <w:pPr>
        <w:spacing w:after="0" w:line="240" w:lineRule="auto"/>
        <w:ind w:firstLine="567"/>
        <w:jc w:val="both"/>
        <w:rPr>
          <w:rFonts w:ascii="Times New Roman" w:hAnsi="Times New Roman" w:cs="Times New Roman"/>
          <w:sz w:val="28"/>
          <w:szCs w:val="28"/>
        </w:rPr>
      </w:pPr>
      <w:r w:rsidRPr="00F71796">
        <w:rPr>
          <w:rFonts w:ascii="Times New Roman" w:hAnsi="Times New Roman" w:cs="Times New Roman"/>
          <w:sz w:val="28"/>
          <w:szCs w:val="28"/>
        </w:rPr>
        <w:t xml:space="preserve">Инновационная культура </w:t>
      </w:r>
      <w:r w:rsidR="009D20AE">
        <w:rPr>
          <w:rFonts w:ascii="Times New Roman" w:hAnsi="Times New Roman" w:cs="Times New Roman"/>
          <w:sz w:val="28"/>
          <w:szCs w:val="28"/>
        </w:rPr>
        <w:t>–</w:t>
      </w:r>
      <w:r w:rsidRPr="00F71796">
        <w:rPr>
          <w:rFonts w:ascii="Times New Roman" w:hAnsi="Times New Roman" w:cs="Times New Roman"/>
          <w:sz w:val="28"/>
          <w:szCs w:val="28"/>
        </w:rPr>
        <w:t xml:space="preserve"> внутренняя среда, формирующая ценности и нормы поведения, поощряющие инициативу и обмен знаниями. Культура открытости к экспериментам, терпимости к ошибкам и готовности учиться способствует повышению инновационной активности</w:t>
      </w:r>
      <w:r w:rsidR="00FE7DC8">
        <w:rPr>
          <w:rFonts w:ascii="Times New Roman" w:hAnsi="Times New Roman" w:cs="Times New Roman"/>
          <w:sz w:val="28"/>
          <w:szCs w:val="28"/>
          <w:lang w:val="kk-KZ"/>
        </w:rPr>
        <w:t xml:space="preserve"> </w:t>
      </w:r>
      <w:r w:rsidR="00FE7DC8">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{"citationID":"a1indi5p8kn","properties":{"formattedCitation":"[111]","plainCitation":"[111]","noteIndex":0},"citationItems":[{"id":168,"uris":["http://zotero.org/users/16887523/items/3JNM9MC2"],"itemData":{"id":168,"type":"article-journal","abstract":"This article presents the results of research focused on the culture of innovation in the agricultural sector of Valle del Cauca, Colombia, offering a review of the diverse practices within organizations regarding how innovation is implemented and whether it is being incorporated as part of organizational culture. The study applies a prospective methodology that enables the examination of future scenarios over a 20-year period. Considering that in Colombia only 3.4% of organizations report having formal innovation and research processes within their structures to drive transformation in their practices, this project introduces elements aimed at fostering sectoral transformation within the national context and with international projection. It proposes future consolidation strategies through the construction of scenarios based on the participation of expert groups, entrepreneurs, and public managers in analyzing innovative dynamics from the perspective of organizational culture.","container-title":"Cuadernos de Administración","DOI":"10.25100/cdea.v41i83.14503","ISSN":"2256-5078, 0120-4645","issue":"83","journalAbbreviation":"cuad.adm.","page":"e20114503","source":"DOI.org (Crossref)","title":"The Culture of Innovation in Companies in the Agricultural Sector in Valle del Cauca – Colombia, a Look from the Foresight Approach","URL":"https://cuadernosdeadministracion.univalle.edu.co/index.php/cuadernos_de_administracion/article/view/14503","volume":"41","author":[{"family":"Corrales Castillo","given":"Emilio José"},{"family":"Ramírez Tarazona","given":"Josué Vladimir"},{"family":"Arana Flórez","given":"Ronald"}],"accessed":{"date-parts":[["2025",11,22]]},"issued":{"date-parts":[["2025",9,26]]}}}],"schema":"https://github.com/citation-style-language/schema/raw/master/csl-citation.json"} </w:instrText>
      </w:r>
      <w:r w:rsidR="00FE7DC8">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[111]</w:t>
      </w:r>
      <w:r w:rsidR="00FE7DC8">
        <w:rPr>
          <w:rFonts w:ascii="Times New Roman" w:hAnsi="Times New Roman" w:cs="Times New Roman"/>
          <w:sz w:val="28"/>
          <w:szCs w:val="28"/>
          <w:lang w:val="kk-KZ"/>
        </w:rPr>
        <w:fldChar w:fldCharType="end"/>
      </w:r>
      <w:r w:rsidRPr="00F71796">
        <w:rPr>
          <w:rFonts w:ascii="Times New Roman" w:hAnsi="Times New Roman" w:cs="Times New Roman"/>
          <w:sz w:val="28"/>
          <w:szCs w:val="28"/>
        </w:rPr>
        <w:t>. Малые предприятия, как правило, обладают более гибкой и неформальной культурой, способствующей быстрой адаптации, тогда как крупные сталкиваются с риском организационной инерции. Однако при целенаправленной поддержке со стороны топ-менеджмента и в крупных корпорациях возможно формирование инновационно-ориентированной культуры (в виде внутренних стартап-лабораторий, программ стимулирования новаторов и т.п.)</w:t>
      </w:r>
      <w:r w:rsidR="00FE7DC8">
        <w:rPr>
          <w:rFonts w:ascii="Times New Roman" w:hAnsi="Times New Roman" w:cs="Times New Roman"/>
          <w:sz w:val="28"/>
          <w:szCs w:val="28"/>
          <w:lang w:val="kk-KZ"/>
        </w:rPr>
        <w:t xml:space="preserve"> </w:t>
      </w:r>
      <w:r w:rsidR="00FE7DC8">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{"citationID":"aun4i7d04l","properties":{"formattedCitation":"[112]","plainCitation":"[112]","noteIndex":0},"citationItems":[{"id":169,"uris":["http://zotero.org/users/16887523/items/3WC52XSC"],"itemData":{"id":169,"type":"article-journal","abstract":"Hackathons, originally rooted in the software and technology sectors, have evolved into powerful tools for corporate innovation. Today, organizations across diverse industries use them to accelerate idea generation, boost employee engagement, and strengthen competitive positioning. However, despite their growing popularity, the mechanisms by which hackathons drive innovation within firms remain underexplored in academic literature, particularly from the standpoint of innovation theory and strategic management. Much of the existing research is fragmented across disciplines such as healthcare, education, and computer science, lacking a unified framework for understanding hackathons as instruments of organizational innovation.  This study addresses that gap by examining hackathons as structured innovation development mechanisms. Drawing on a comprehensive review of scholarly sources, we investigate the definitions, theoretical foundations, and practical implementations of corporate hackathons. The paper develops a conceptual model that delineates the phases, design components, critical success factors, and post-event integration processes necessary to foster sustainable innovation outcomes. Our findings suggest that hackathons support corporate innovation by enabling rapid experimentation, attracting entrepreneurial talent, and cultivating internal knowledge-sharing communities. Moreover, they provide a low-risk environment conducive to intrapreneurship and openness to change. This article contributes to the academic discourse on innovation and organizational learning by situating hackathon practices within strategic innovation frameworks. It also offers actionable insights for practitioners on how to effectively design, implement, and leverage hackathons to drive competitive advantage in dynamic and uncertain business environments.","container-title":"European Conference on Innovation and Entrepreneurship","DOI":"10.34190/ecie.20.1.3823","ISSN":"2049-1069, 2049-1050","issue":"1","journalAbbreviation":"ECIE","license":"https://creativecommons.org/licenses/by-nd/4.0","page":"322-330","source":"DOI.org (Crossref)","title":"Hackathons as a Method for Fostering Corporate Innovation and Competitive Advantage","URL":"https://papers.academic-conferences.org/index.php/ecie/article/view/3823","volume":"20","author":[{"family":"Jurgelevičius","given":"Artūras"},{"family":"Pakutinskas","given":"Paulius"},{"family":"Plečkaitis","given":"Evaldas"},{"family":"Riškevičienė","given":"Vilma"}],"accessed":{"date-parts":[["2025",11,22]]},"issued":{"date-parts":[["2025",9,19]]}}}],"schema":"https://github.com/citation-style-language/schema/raw/master/csl-citation.json"} </w:instrText>
      </w:r>
      <w:r w:rsidR="00FE7DC8">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[112]</w:t>
      </w:r>
      <w:r w:rsidR="00FE7DC8">
        <w:rPr>
          <w:rFonts w:ascii="Times New Roman" w:hAnsi="Times New Roman" w:cs="Times New Roman"/>
          <w:sz w:val="28"/>
          <w:szCs w:val="28"/>
          <w:lang w:val="kk-KZ"/>
        </w:rPr>
        <w:fldChar w:fldCharType="end"/>
      </w:r>
      <w:r w:rsidRPr="00F71796">
        <w:rPr>
          <w:rFonts w:ascii="Times New Roman" w:hAnsi="Times New Roman" w:cs="Times New Roman"/>
          <w:sz w:val="28"/>
          <w:szCs w:val="28"/>
        </w:rPr>
        <w:t>.</w:t>
      </w:r>
    </w:p>
    <w:p w14:paraId="38974A3D" w14:textId="32694934" w:rsidR="00F71796" w:rsidRPr="00F71796" w:rsidRDefault="00F71796" w:rsidP="002F33D0">
      <w:pPr>
        <w:spacing w:after="0" w:line="240" w:lineRule="auto"/>
        <w:ind w:firstLine="567"/>
        <w:jc w:val="both"/>
        <w:rPr>
          <w:rFonts w:ascii="Times New Roman" w:hAnsi="Times New Roman" w:cs="Times New Roman"/>
          <w:sz w:val="28"/>
          <w:szCs w:val="28"/>
        </w:rPr>
      </w:pPr>
      <w:r w:rsidRPr="00F71796">
        <w:rPr>
          <w:rFonts w:ascii="Times New Roman" w:hAnsi="Times New Roman" w:cs="Times New Roman"/>
          <w:sz w:val="28"/>
          <w:szCs w:val="28"/>
        </w:rPr>
        <w:t>Технологические и материально-сырьевые ресурсы формируют базу для инновационной деятельности. Современное оборудование, доступ к передовым технологиям и развитая ИТ-инфраструктура расширяют пространство для инноваций, ускоряя внедрение новых решений</w:t>
      </w:r>
      <w:r w:rsidR="00FE7DC8">
        <w:rPr>
          <w:rFonts w:ascii="Times New Roman" w:hAnsi="Times New Roman" w:cs="Times New Roman"/>
          <w:sz w:val="28"/>
          <w:szCs w:val="28"/>
          <w:lang w:val="kk-KZ"/>
        </w:rPr>
        <w:t xml:space="preserve"> </w:t>
      </w:r>
      <w:r w:rsidR="00FE7DC8">
        <w:rPr>
          <w:rFonts w:ascii="Times New Roman" w:hAnsi="Times New Roman" w:cs="Times New Roman"/>
          <w:sz w:val="28"/>
          <w:szCs w:val="28"/>
          <w:lang w:val="kk-KZ"/>
        </w:rPr>
        <w:fldChar w:fldCharType="begin"/>
      </w:r>
      <w:r w:rsidR="00A5770E">
        <w:rPr>
          <w:rFonts w:ascii="Times New Roman" w:hAnsi="Times New Roman" w:cs="Times New Roman"/>
          <w:sz w:val="28"/>
          <w:szCs w:val="28"/>
          <w:lang w:val="kk-KZ"/>
        </w:rPr>
        <w:instrText xml:space="preserve"> ADDIN ZOTERO_ITEM CSL_CITATION {"citationID":"a285h2ing6c","properties":{"formattedCitation":"[113]","plainCitation":"[113]","noteIndex":0},"citationItems":[{"id":170,"uris":["http://zotero.org/users/16887523/items/QFBCEPQR"],"itemData":{"id":170,"type":"chapter","abstract":"The strategic goal of most organisations is to improve business operations\nfor successful organisational performance. Digital transformation is a time of swift\ntechnological changes posing an ongoing challenge for Small and Medium Enterprises\n(SMEs) to establish high-performance work systems for organisational performance.\nHence SMEs are exploring new technologies to stay competitive and develop\ninnovative business models in the digital transformation era. Artificial Intelligence (AI)\ntechnologies may enable SMEs to enhance practices and improve their business model\ninnovation strategies. This chapter examined the existing literature on the digital\ntransformation of SMEs by implementing Artificial Intelligence. The goal was to\nemphasise how AI can significantly change business processes, practices, and overall\norganisational performance, ultimately supporting the development of digital business\nmodels in SMEs. The study's findings indicated that AI holds great potential for SMEs\nto enhance their business processes, practices, and overall performance, enabling them\nto better navigate their increasingly competitive environment. Therefore, it is\nrecommended that managers of SMEs explore opportunities to incorporate AI and\nother advanced technologies into their business innovation processes. By doing so,\nSMEs can generate tangible value by strengthening their dynamic capabilities,\nimproving efficiency, and mitigating operational risks.","container-title":"Business Models and Innovative Technologies for SMEs","DOI":"10.2174/9789815196719123010006","ISBN":"978-981-5196-71-9","page":"62-84","publisher":"BENTHAM SCIENCE PUBLISHERS","source":"DOI.org (Crossref)","title":"Digital Transformation in SMEs: Developing Digital Business Model Innovations Based on Artificial Intelligence","title-short":"Digital Transformation in SMEs","URL":"https://www.eurekaselect.com/node/224696","editor":[{"family":"Motjolopane","given":"Ignitia"},{"family":"Ruhode","given":"Ephias"},{"family":"Owolawi","given":"Pius Adewale"}],"author":[{"family":"Masenya","given":"Tlou Maggie"}],"accessed":{"date-parts":[["2025",11,22]]},"issued":{"date-parts":[["2023",12,18]]}}}],"schema":"https://github.com/citation-style-language/schema/raw/master/csl-citation.json"} </w:instrText>
      </w:r>
      <w:r w:rsidR="00FE7DC8">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[113]</w:t>
      </w:r>
      <w:r w:rsidR="00FE7DC8">
        <w:rPr>
          <w:rFonts w:ascii="Times New Roman" w:hAnsi="Times New Roman" w:cs="Times New Roman"/>
          <w:sz w:val="28"/>
          <w:szCs w:val="28"/>
          <w:lang w:val="kk-KZ"/>
        </w:rPr>
        <w:fldChar w:fldCharType="end"/>
      </w:r>
      <w:r w:rsidRPr="00F71796">
        <w:rPr>
          <w:rFonts w:ascii="Times New Roman" w:hAnsi="Times New Roman" w:cs="Times New Roman"/>
          <w:sz w:val="28"/>
          <w:szCs w:val="28"/>
        </w:rPr>
        <w:t xml:space="preserve">. </w:t>
      </w:r>
      <w:r w:rsidR="00FE7DC8">
        <w:rPr>
          <w:rFonts w:ascii="Times New Roman" w:hAnsi="Times New Roman" w:cs="Times New Roman"/>
          <w:sz w:val="28"/>
          <w:szCs w:val="28"/>
          <w:lang w:val="kk-KZ"/>
        </w:rPr>
        <w:t>Т</w:t>
      </w:r>
      <w:r w:rsidRPr="00F71796">
        <w:rPr>
          <w:rFonts w:ascii="Times New Roman" w:hAnsi="Times New Roman" w:cs="Times New Roman"/>
          <w:sz w:val="28"/>
          <w:szCs w:val="28"/>
        </w:rPr>
        <w:t xml:space="preserve">ехнологически продвинутые предприятия демонстрируют более высокий уровень инновационной активности. В условиях цифровой экономики особое значение приобретают цифровые технологии </w:t>
      </w:r>
      <w:r w:rsidR="009D20AE">
        <w:rPr>
          <w:rFonts w:ascii="Times New Roman" w:hAnsi="Times New Roman" w:cs="Times New Roman"/>
          <w:sz w:val="28"/>
          <w:szCs w:val="28"/>
        </w:rPr>
        <w:t>–</w:t>
      </w:r>
      <w:r w:rsidRPr="00F71796">
        <w:rPr>
          <w:rFonts w:ascii="Times New Roman" w:hAnsi="Times New Roman" w:cs="Times New Roman"/>
          <w:sz w:val="28"/>
          <w:szCs w:val="28"/>
        </w:rPr>
        <w:t xml:space="preserve"> от базовой автоматизации процессов до использования искусственного интеллекта, анализа больших данных и облачных сервисов. Для малых предприятий цифровая адаптация позволяет компенсировать дефицит ресурсов и выйти на новые рынки, тогда как для крупных </w:t>
      </w:r>
      <w:r w:rsidR="009D20AE">
        <w:rPr>
          <w:rFonts w:ascii="Times New Roman" w:hAnsi="Times New Roman" w:cs="Times New Roman"/>
          <w:sz w:val="28"/>
          <w:szCs w:val="28"/>
        </w:rPr>
        <w:t>–</w:t>
      </w:r>
      <w:r w:rsidRPr="00F71796">
        <w:rPr>
          <w:rFonts w:ascii="Times New Roman" w:hAnsi="Times New Roman" w:cs="Times New Roman"/>
          <w:sz w:val="28"/>
          <w:szCs w:val="28"/>
        </w:rPr>
        <w:t xml:space="preserve"> становится основой цифровой трансформации бизнес-модели</w:t>
      </w:r>
      <w:r w:rsidR="00FE7DC8">
        <w:rPr>
          <w:rFonts w:ascii="Times New Roman" w:hAnsi="Times New Roman" w:cs="Times New Roman"/>
          <w:sz w:val="28"/>
          <w:szCs w:val="28"/>
          <w:lang w:val="kk-KZ"/>
        </w:rPr>
        <w:t xml:space="preserve"> </w:t>
      </w:r>
      <w:r w:rsidR="00FE7DC8">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{"citationID":"a2c0bt9k1p2","properties":{"formattedCitation":"[114]","plainCitation":"[114]","noteIndex":0},"citationItems":[{"id":171,"uris":["http://zotero.org/users/16887523/items/HD9DT6GZ"],"itemData":{"id":171,"type":"article-journal","abstract":"This study examines the impact of AI and digital transformation on Small and Medium-sized Enterprises (SMEs) across continents. As AI and digital technologies increasingly reshape global business landscapes, SMEs face unique challenges and opportunities distinct from those of larger corporations. This research systematically reviews existing literature, guided by the PRISMA framework, to identify the barriers and enablers of AI adoption in SMEs across these diverse regions. The study identifies key challenges, including limited financial resources, lack of skilled personnel, data security concerns, and organizational resistance to change. These barriers vary across continents; for instance, African SMEs often struggle with the high costs of AI implementation and lack of resources and expertise, while European SMEs face stringent regulatory challenges and a lack of infrastructure and finances. In contrast, Asian SMEs, particularly in developing countries, grapple with sustainability and sustainable regulatory and cultural barriers. However, it's important to note that the potential of AI to enhance operations and customer engagement is a universally recognized benefit. Europe emphasizes risk management and automation, while Africa and Asia highlight cost reduction, market expansion, and scalability, reflecting their unique regional priorities and challenges.  The study concludes that while AI adoption presents considerable growth potential for SMEs globally, the path to realizing these opportunities is shaped by regional contexts. The research underscores the need for tailored policy interventions, capacity-building initiatives, and cross-border collaborations to support SMEs in overcoming these barriers and fully leveraging AI technologies. This work contributes to understanding digital transformation in SMEs, providing practical insights for policymakers, industry leaders, and academics interested in the intersection of AI and business strategy across different continents.","container-title":"World Journal of Advanced Research and Reviews","DOI":"10.30574/wjarr.2024.23.3.2511","ISSN":"25819615","issue":"3","journalAbbreviation":"World J. Adv. Res. Rev.","page":"668-678","source":"DOI.org (Crossref)","title":"Challenges and opportunities in AI and digital transformation for SMEs: A cross-continental perspective","title-short":"Challenges and opportunities in AI and digital transformation for SMEs","URL":"https://wjarr.com/node/14607","volume":"23","author":[{"family":"Yusuf","given":"Samuel Omokhafe"},{"family":"Durodola","given":"Remilekun Lilian"},{"family":"Ocran","given":"Godbless"},{"family":"Abubakar","given":"Justina Eweala"},{"family":"Echere","given":"Amarachi Zita"},{"family":"Paul-Adeleye","given":"Adedamola Hadassah"}],"accessed":{"date-parts":[["2025",11,22]]},"issued":{"date-parts":[["2024",9,30]]}}}],"schema":"https://github.com/citation-style-language/schema/raw/master/csl-citation.json"} </w:instrText>
      </w:r>
      <w:r w:rsidR="00FE7DC8">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[114]</w:t>
      </w:r>
      <w:r w:rsidR="00FE7DC8">
        <w:rPr>
          <w:rFonts w:ascii="Times New Roman" w:hAnsi="Times New Roman" w:cs="Times New Roman"/>
          <w:sz w:val="28"/>
          <w:szCs w:val="28"/>
          <w:lang w:val="kk-KZ"/>
        </w:rPr>
        <w:fldChar w:fldCharType="end"/>
      </w:r>
      <w:r w:rsidRPr="00F71796">
        <w:rPr>
          <w:rFonts w:ascii="Times New Roman" w:hAnsi="Times New Roman" w:cs="Times New Roman"/>
          <w:sz w:val="28"/>
          <w:szCs w:val="28"/>
        </w:rPr>
        <w:t>.</w:t>
      </w:r>
    </w:p>
    <w:p w14:paraId="7C4B6230" w14:textId="0A3AC7EB" w:rsidR="00221339" w:rsidRPr="00F71796" w:rsidRDefault="00F71796" w:rsidP="002F33D0">
      <w:pPr>
        <w:spacing w:after="0" w:line="240" w:lineRule="auto"/>
        <w:ind w:firstLine="567"/>
        <w:jc w:val="both"/>
        <w:rPr>
          <w:rFonts w:ascii="Times New Roman" w:hAnsi="Times New Roman" w:cs="Times New Roman"/>
          <w:sz w:val="28"/>
          <w:szCs w:val="28"/>
          <w:lang w:val="kk-KZ"/>
        </w:rPr>
      </w:pPr>
      <w:r w:rsidRPr="00F71796">
        <w:rPr>
          <w:rFonts w:ascii="Times New Roman" w:hAnsi="Times New Roman" w:cs="Times New Roman"/>
          <w:sz w:val="28"/>
          <w:szCs w:val="28"/>
        </w:rPr>
        <w:t>Таким образом, драйверы инновационного потенциала формируют внутреннюю основу инновационного развития предпринимательских структур. Их взаимосвязанное действие определяет способность предприятия к самообновлению, цифровой адаптации и эффективной интеграции во внешнюю инновационную экосистему.</w:t>
      </w:r>
    </w:p>
    <w:p w14:paraId="6F845B04" w14:textId="1C61F97A" w:rsidR="00F71796" w:rsidRPr="00F71796" w:rsidRDefault="00F71796" w:rsidP="002F33D0">
      <w:pPr>
        <w:spacing w:after="0" w:line="240" w:lineRule="auto"/>
        <w:ind w:firstLine="567"/>
        <w:jc w:val="both"/>
        <w:rPr>
          <w:rFonts w:ascii="Times New Roman" w:hAnsi="Times New Roman" w:cs="Times New Roman"/>
          <w:sz w:val="28"/>
          <w:szCs w:val="28"/>
          <w:lang w:val="kk-KZ"/>
        </w:rPr>
      </w:pPr>
      <w:r w:rsidRPr="00F71796">
        <w:rPr>
          <w:rFonts w:ascii="Times New Roman" w:hAnsi="Times New Roman" w:cs="Times New Roman"/>
          <w:sz w:val="28"/>
          <w:szCs w:val="28"/>
          <w:lang w:val="kk-KZ"/>
        </w:rPr>
        <w:t xml:space="preserve">В условиях цифровой экономики инновационное развитие предпринимательских структур сопряжено не только с действием стимулирующих факторов, но и с влиянием многочисленных ограничений. Если драйверы представляют собой источники и преимущества развития, то барьеры </w:t>
      </w:r>
      <w:r w:rsidR="009D20AE">
        <w:rPr>
          <w:rFonts w:ascii="Times New Roman" w:hAnsi="Times New Roman" w:cs="Times New Roman"/>
          <w:sz w:val="28"/>
          <w:szCs w:val="28"/>
          <w:lang w:val="kk-KZ"/>
        </w:rPr>
        <w:t>–</w:t>
      </w:r>
      <w:r w:rsidRPr="00F71796">
        <w:rPr>
          <w:rFonts w:ascii="Times New Roman" w:hAnsi="Times New Roman" w:cs="Times New Roman"/>
          <w:sz w:val="28"/>
          <w:szCs w:val="28"/>
          <w:lang w:val="kk-KZ"/>
        </w:rPr>
        <w:t xml:space="preserve"> это «узкие места» и неблагоприятные условия, препятствующие реализации инновационного потенциала. Как показывает анализ, большинство барьеров являются обратной стороной соответствующих драйверов: недостаток управленческих компетенций, кадров, финансов или институциональной поддержки ослабляет ключевые механизмы инновационной активности предприятий.</w:t>
      </w:r>
    </w:p>
    <w:p w14:paraId="1D013CB6" w14:textId="73441210" w:rsidR="00F71796" w:rsidRPr="00F71796" w:rsidRDefault="00F71796" w:rsidP="002F33D0">
      <w:pPr>
        <w:spacing w:after="0" w:line="240" w:lineRule="auto"/>
        <w:ind w:firstLine="567"/>
        <w:jc w:val="both"/>
        <w:rPr>
          <w:rFonts w:ascii="Times New Roman" w:hAnsi="Times New Roman" w:cs="Times New Roman"/>
          <w:sz w:val="28"/>
          <w:szCs w:val="28"/>
          <w:lang w:val="kk-KZ"/>
        </w:rPr>
      </w:pPr>
      <w:r w:rsidRPr="00F71796">
        <w:rPr>
          <w:rFonts w:ascii="Times New Roman" w:hAnsi="Times New Roman" w:cs="Times New Roman"/>
          <w:sz w:val="28"/>
          <w:szCs w:val="28"/>
          <w:lang w:val="kk-KZ"/>
        </w:rPr>
        <w:t xml:space="preserve">Финансовые ограничения остаются наиболее существенными для малого и среднего бизнеса. Недостаток собственных средств, сложный доступ к кредитным и инвестиционным ресурсам и высокий уровень финансовых рисков препятствуют проведению НИОКР и внедрению новых технологий. Отсутствие финансовой «подушки» делает предприятия крайне уязвимыми перед неудачными проектами, что снижает их готовность к риску и тормозит </w:t>
      </w:r>
      <w:r w:rsidRPr="00F71796">
        <w:rPr>
          <w:rFonts w:ascii="Times New Roman" w:hAnsi="Times New Roman" w:cs="Times New Roman"/>
          <w:sz w:val="28"/>
          <w:szCs w:val="28"/>
          <w:lang w:val="kk-KZ"/>
        </w:rPr>
        <w:lastRenderedPageBreak/>
        <w:t>инновационную инициативу. Для крупных компаний финансовые барьеры выражаются не столько в нехватке ресурсов, сколько в их неэффективном распределении и краткосрочной ориентации инвестиционной политики</w:t>
      </w:r>
      <w:r w:rsidR="008B4B73">
        <w:rPr>
          <w:rFonts w:ascii="Times New Roman" w:hAnsi="Times New Roman" w:cs="Times New Roman"/>
          <w:sz w:val="28"/>
          <w:szCs w:val="28"/>
          <w:lang w:val="kk-KZ"/>
        </w:rPr>
        <w:t xml:space="preserve"> </w:t>
      </w:r>
      <w:r w:rsidR="008B4B73">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{"citationID":"a4anr8gp2e","properties":{"formattedCitation":"[86]","plainCitation":"[86]","noteIndex":0},"citationItems":[{"id":135,"uris":["http://zotero.org/users/16887523/items/C8SA5HGN"],"itemData":{"id":135,"type":"article-journal","abstract":"In this work, we outline and appraise a method for creating and evaluating an Operational Management Concept (OMC) for Low- Crewed Surface Vessels (LSVs) in the Royal Netherlands Navy (RNLN). Utilizing Cognitive Work Analysis (CWA) and Design Thinking tools, three workshops were carried out with seven Subject Matter Experts (SMEs) focused on task allocation and the feasibility of minimal crewing. The first two workshops developed a task allocation concept, considering human responsibility, automation, and shore support. The third workshop utilized a tabletop game to evaluate the OMC’s feasibility and to enrich the OMC with more detail. The workshops led to an innovative OMC with roughly a dozen crew members, heavily dependent on automation, redundant systems, and shore support. The workshops allowed SMEs to expand their current experiences and encouraged discussions on human responsibility, collaboration, and technological support. The workshops underscored the need for deeper immersion (e.g., by using Virtual Reality) to effectively assess advanced automated systems.","container-title":"Proceedings of the Human Factors and Ergonomics Society Annual Meeting","DOI":"10.1177/10711813251366291","ISSN":"1071-1813, 2169-5067","journalAbbreviation":"Proceedings of the Human Factors and Ergonomics Society Annual Meeting","language":"en","page":"10711813251366291","source":"DOI.org (Crossref)","title":"Method for Designing Operational Management Concepts for Low-Crewed Surface Vessels","URL":"https://journals.sagepub.com/doi/10.1177/10711813251366291","author":[{"family":"Berning","given":"Sjoerd"},{"family":"Gerritse","given":"Puck"},{"family":"Schraagen","given":"Jan Maarten"},{"family":"Van Koningsveld","given":"Mark Rinse"},{"family":"Rakhorst-Oudendijk","given":"Marleen"}],"accessed":{"date-parts":[["2025",11,22]]},"issued":{"date-parts":[["2025",9,28]]}}}],"schema":"https://github.com/citation-style-language/schema/raw/master/csl-citation.json"} </w:instrText>
      </w:r>
      <w:r w:rsidR="008B4B73">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[86]</w:t>
      </w:r>
      <w:r w:rsidR="008B4B73">
        <w:rPr>
          <w:rFonts w:ascii="Times New Roman" w:hAnsi="Times New Roman" w:cs="Times New Roman"/>
          <w:sz w:val="28"/>
          <w:szCs w:val="28"/>
          <w:lang w:val="kk-KZ"/>
        </w:rPr>
        <w:fldChar w:fldCharType="end"/>
      </w:r>
      <w:r w:rsidRPr="00F71796">
        <w:rPr>
          <w:rFonts w:ascii="Times New Roman" w:hAnsi="Times New Roman" w:cs="Times New Roman"/>
          <w:sz w:val="28"/>
          <w:szCs w:val="28"/>
          <w:lang w:val="kk-KZ"/>
        </w:rPr>
        <w:t>.</w:t>
      </w:r>
    </w:p>
    <w:p w14:paraId="5DCBA865" w14:textId="4568BD9F" w:rsidR="00F71796" w:rsidRPr="00F71796" w:rsidRDefault="00F71796" w:rsidP="002F33D0">
      <w:pPr>
        <w:spacing w:after="0" w:line="240" w:lineRule="auto"/>
        <w:ind w:firstLine="567"/>
        <w:jc w:val="both"/>
        <w:rPr>
          <w:rFonts w:ascii="Times New Roman" w:hAnsi="Times New Roman" w:cs="Times New Roman"/>
          <w:sz w:val="28"/>
          <w:szCs w:val="28"/>
          <w:lang w:val="kk-KZ"/>
        </w:rPr>
      </w:pPr>
      <w:r w:rsidRPr="00F71796">
        <w:rPr>
          <w:rFonts w:ascii="Times New Roman" w:hAnsi="Times New Roman" w:cs="Times New Roman"/>
          <w:sz w:val="28"/>
          <w:szCs w:val="28"/>
          <w:lang w:val="kk-KZ"/>
        </w:rPr>
        <w:t>Отсутствие стратегии монетизации инноваций является ещё одним распространённым ограничением. Предприятие может обладать высоким научно-техническим потенциалом, но без продуманной бизнес-модели и чётких механизмов коммерциализации инновации остаются нереализованными</w:t>
      </w:r>
      <w:r w:rsidR="00CD052D">
        <w:rPr>
          <w:rFonts w:ascii="Times New Roman" w:hAnsi="Times New Roman" w:cs="Times New Roman"/>
          <w:sz w:val="28"/>
          <w:szCs w:val="28"/>
          <w:lang w:val="kk-KZ"/>
        </w:rPr>
        <w:t xml:space="preserve"> </w:t>
      </w:r>
      <w:r w:rsidR="00CD052D">
        <w:rPr>
          <w:rFonts w:ascii="Times New Roman" w:hAnsi="Times New Roman" w:cs="Times New Roman"/>
          <w:sz w:val="28"/>
          <w:szCs w:val="28"/>
          <w:lang w:val="kk-KZ"/>
        </w:rPr>
        <w:fldChar w:fldCharType="begin"/>
      </w:r>
      <w:r w:rsidR="00CD052D">
        <w:rPr>
          <w:rFonts w:ascii="Times New Roman" w:hAnsi="Times New Roman" w:cs="Times New Roman"/>
          <w:sz w:val="28"/>
          <w:szCs w:val="28"/>
          <w:lang w:val="kk-KZ"/>
        </w:rPr>
        <w:instrText xml:space="preserve"> ADDIN ZOTERO_ITEM CSL_CITATION {"citationID":"a2i1un6hbhi","properties":{"formattedCitation":"[115]","plainCitation":"[115]","noteIndex":0},"citationItems":[{"id":587,"uris":["http://zotero.org/users/16887523/items/JG6AP3J4"],"itemData":{"id":587,"type":"paper-conference","event-title":"Қазақстанның инновациялық дамуына жастардың шығармашылығы: Студенттердің, магистранттардың және жас ғалымдардың VIІІ Халықаралық ҒТК материалдары","page":"206-210","publisher":"Д. Серікбаев атындағы Шығыс Қазақстан техникалық университеті","publisher-place":"Өскемен","title":"Қазақстанда инновациялық жобаларды коммерцияландыру мәселелері","volume":"5","author":[{"family":"Қалиханова","given":"А.Т."},{"family":"Саденова","given":"А.М."}],"issued":{"date-parts":[["2022"]],"season":"8"}}}],"schema":"https://github.com/citation-style-language/schema/raw/master/csl-citation.json"} </w:instrText>
      </w:r>
      <w:r w:rsidR="00CD052D">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[115]</w:t>
      </w:r>
      <w:r w:rsidR="00CD052D">
        <w:rPr>
          <w:rFonts w:ascii="Times New Roman" w:hAnsi="Times New Roman" w:cs="Times New Roman"/>
          <w:sz w:val="28"/>
          <w:szCs w:val="28"/>
          <w:lang w:val="kk-KZ"/>
        </w:rPr>
        <w:fldChar w:fldCharType="end"/>
      </w:r>
      <w:r w:rsidRPr="00F71796">
        <w:rPr>
          <w:rFonts w:ascii="Times New Roman" w:hAnsi="Times New Roman" w:cs="Times New Roman"/>
          <w:sz w:val="28"/>
          <w:szCs w:val="28"/>
          <w:lang w:val="kk-KZ"/>
        </w:rPr>
        <w:t xml:space="preserve">. В литературе отмечается, что отсутствие стратегии вывода продукта на рынок </w:t>
      </w:r>
      <w:r w:rsidR="009D20AE">
        <w:rPr>
          <w:rFonts w:ascii="Times New Roman" w:hAnsi="Times New Roman" w:cs="Times New Roman"/>
          <w:sz w:val="28"/>
          <w:szCs w:val="28"/>
          <w:lang w:val="kk-KZ"/>
        </w:rPr>
        <w:t>–</w:t>
      </w:r>
      <w:r w:rsidRPr="00F71796">
        <w:rPr>
          <w:rFonts w:ascii="Times New Roman" w:hAnsi="Times New Roman" w:cs="Times New Roman"/>
          <w:sz w:val="28"/>
          <w:szCs w:val="28"/>
          <w:lang w:val="kk-KZ"/>
        </w:rPr>
        <w:t xml:space="preserve"> одна из частых причин провала новых разработок </w:t>
      </w:r>
      <w:r w:rsidR="008B4B73">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{"citationID":"a10ksei6fkg","properties":{"formattedCitation":"[116]","plainCitation":"[116]","noteIndex":0},"citationItems":[{"id":173,"uris":["http://zotero.org/users/16887523/items/E67RYG2B"],"itemData":{"id":173,"type":"article-journal","container-title":"Technology in Society","DOI":"10.1016/j.techsoc.2023.102384","ISSN":"0160791X","journalAbbreviation":"Technology in Society","language":"en","page":"102384","source":"DOI.org (Crossref)","title":"New Perspectives in Innovation Failure Analysis: A taxonomy of general errors and strategic management for reducing risks","title-short":"New Perspectives in Innovation Failure Analysis","URL":"https://linkinghub.elsevier.com/retrieve/pii/S0160791X23001896","volume":"75","author":[{"family":"Coccia","given":"Mario"}],"accessed":{"date-parts":[["2025",11,22]]},"issued":{"date-parts":[["2023",11]]}}}],"schema":"https://github.com/citation-style-language/schema/raw/master/csl-citation.json"} </w:instrText>
      </w:r>
      <w:r w:rsidR="008B4B73">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[116]</w:t>
      </w:r>
      <w:r w:rsidR="008B4B73">
        <w:rPr>
          <w:rFonts w:ascii="Times New Roman" w:hAnsi="Times New Roman" w:cs="Times New Roman"/>
          <w:sz w:val="28"/>
          <w:szCs w:val="28"/>
          <w:lang w:val="kk-KZ"/>
        </w:rPr>
        <w:fldChar w:fldCharType="end"/>
      </w:r>
      <w:r w:rsidRPr="00F71796">
        <w:rPr>
          <w:rFonts w:ascii="Times New Roman" w:hAnsi="Times New Roman" w:cs="Times New Roman"/>
          <w:sz w:val="28"/>
          <w:szCs w:val="28"/>
          <w:lang w:val="kk-KZ"/>
        </w:rPr>
        <w:t>. Если инновация не несёт для клиента ощутимой ценности или не решает конкретную проблему, потребитель остаётся привержен традиционным решениям. Инертность потребителей, низкий уровень доверия к новшествам и слабая маркетинговая активность предприятий особенно характерны для традиционных отраслей, где инновации воспринимаются как риск, а не как возможность.</w:t>
      </w:r>
    </w:p>
    <w:p w14:paraId="7496FC15" w14:textId="0F5C5D99" w:rsidR="00F71796" w:rsidRPr="00F71796" w:rsidRDefault="00F71796" w:rsidP="002F33D0">
      <w:pPr>
        <w:spacing w:after="0" w:line="240" w:lineRule="auto"/>
        <w:ind w:firstLine="567"/>
        <w:jc w:val="both"/>
        <w:rPr>
          <w:rFonts w:ascii="Times New Roman" w:hAnsi="Times New Roman" w:cs="Times New Roman"/>
          <w:sz w:val="28"/>
          <w:szCs w:val="28"/>
          <w:lang w:val="kk-KZ"/>
        </w:rPr>
      </w:pPr>
      <w:r w:rsidRPr="00F71796">
        <w:rPr>
          <w:rFonts w:ascii="Times New Roman" w:hAnsi="Times New Roman" w:cs="Times New Roman"/>
          <w:sz w:val="28"/>
          <w:szCs w:val="28"/>
          <w:lang w:val="kk-KZ"/>
        </w:rPr>
        <w:t>Институциональные и регуляторные барьеры существенно ограничивают инновационную деятельность, особенно в странах с переходной экономикой</w:t>
      </w:r>
      <w:r w:rsidR="008B4B73">
        <w:rPr>
          <w:rFonts w:ascii="Times New Roman" w:hAnsi="Times New Roman" w:cs="Times New Roman"/>
          <w:sz w:val="28"/>
          <w:szCs w:val="28"/>
          <w:lang w:val="kk-KZ"/>
        </w:rPr>
        <w:t xml:space="preserve"> </w:t>
      </w:r>
      <w:r w:rsidR="008B4B73">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{"citationID":"a17b7esci8r","properties":{"formattedCitation":"[117]","plainCitation":"[117]","noteIndex":0},"citationItems":[{"id":174,"uris":["http://zotero.org/users/16887523/items/4JXCNL7I"],"itemData":{"id":174,"type":"article-journal","abstract":"Purpose\n              The purpose of this paper is to examine how managerial perceptions of formal institutional failure shape between-firm variance in the relationship between corporate political connections (CPCs) and innovation. We develop and empirically test a model in which such perceptions moderate both the CPC–innovation input and CPC–innovation output relationships.\n            \n            \n              Design/methodology/approach\n              We test our hypotheses using data from the EBRD–EIB–World Bank Enterprise Surveys 2018–2020, a joint initiative of the European Bank for Reconstruction and Development (EBRD), the European Investment Bank (EIB) and the World Bank. The dataset includes approximately 28,000 enterprises across 41 countries in Europe, Central Asia, the Middle East and North Africa, representing a wide range of institutional systems. We analyze these data with multiple regression techniques that account for potential endogeneity in observational settings.\n            \n            \n              Findings\n              Our findings indicate that stronger managerial perceptions of formal institutional failure enhance the extent to which firms leverage their CPCs for both innovation input and innovation output.\n            \n            \n              Practical implications\n              We highlight the practical importance of cultivating political acumen to effectively mobilize CPCs and show how managers can calibrate their political ties by observing patterns of formal institutional failure. Our findings provide actionable guidance for executives seeking to foster innovation in both developed and developing countries.\n            \n            \n              Originality/value\n              We theorize how managerial sensemaking of formal institutional failure fosters the development of political acumen, which in turn shapes the CPC–innovation relationship. Moreover, we show that these perceptions exert their influence regardless of the overall quality of formal institutions in the national context.","container-title":"European Journal of Innovation Management","DOI":"10.1108/EJIM-07-2025-0893","ISSN":"1460-1060, 1758-7115","issue":"10","language":"en","page":"5331-5350","source":"DOI.org (Crossref)","title":"How formal institutional failure shapes the corporate political connection–innovation relationship: a strategic sensemaking perspective","title-short":"How formal institutional failure shapes the corporate political connection–innovation relationship","URL":"https://www.emerald.com/ejim/article/28/10/5331/1300921/How-formal-institutional-failure-shapes-the","volume":"28","author":[{"family":"Önder","given":"Çetin"},{"family":"Sorkun","given":"Metehan Feridun"},{"family":"Özen","given":"Şükrü"}],"accessed":{"date-parts":[["2025",11,22]]},"issued":{"date-parts":[["2025",11,17]]}}}],"schema":"https://github.com/citation-style-language/schema/raw/master/csl-citation.json"} </w:instrText>
      </w:r>
      <w:r w:rsidR="008B4B73">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[117]</w:t>
      </w:r>
      <w:r w:rsidR="008B4B73">
        <w:rPr>
          <w:rFonts w:ascii="Times New Roman" w:hAnsi="Times New Roman" w:cs="Times New Roman"/>
          <w:sz w:val="28"/>
          <w:szCs w:val="28"/>
          <w:lang w:val="kk-KZ"/>
        </w:rPr>
        <w:fldChar w:fldCharType="end"/>
      </w:r>
      <w:r w:rsidRPr="00F71796">
        <w:rPr>
          <w:rFonts w:ascii="Times New Roman" w:hAnsi="Times New Roman" w:cs="Times New Roman"/>
          <w:sz w:val="28"/>
          <w:szCs w:val="28"/>
          <w:lang w:val="kk-KZ"/>
        </w:rPr>
        <w:t>. Сложные или устаревшие нормы, длительные процедуры сертификации, недостаточная защита интеллектуальной собственности и высокая административная нагрузка создают неблагоприятные условия для внедрения новшеств. Для малых предприятий эти издержки особенно ощутимы, поскольку отвлекают ограниченные ресурсы от основной деятельности. При этом слабая доступность государственной поддержки усугубляет ситуацию: хотя формально существуют программы грантов, субсидий, технопарки и венчурные фонды, малые предприятия часто не могут воспользоваться ими из-за бюрократических процедур, недостаточной осведомлённости и низкой прозрачности распределения ресурсов. Примером служит опыт ряда развивающихся стран, где слабая координация между инновационными институтами и предприятиями не позволила реализовать потенциал государственных программ поддержки</w:t>
      </w:r>
      <w:r w:rsidR="008B4B73">
        <w:rPr>
          <w:rFonts w:ascii="Times New Roman" w:hAnsi="Times New Roman" w:cs="Times New Roman"/>
          <w:sz w:val="28"/>
          <w:szCs w:val="28"/>
          <w:lang w:val="kk-KZ"/>
        </w:rPr>
        <w:t xml:space="preserve"> </w:t>
      </w:r>
      <w:r w:rsidR="008B4B73">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{"citationID":"a1iru97oki4","properties":{"formattedCitation":"[118]","plainCitation":"[118]","noteIndex":0},"citationItems":[{"id":175,"uris":["http://zotero.org/users/16887523/items/UNZ4QRF6"],"itemData":{"id":175,"type":"article-journal","abstract":"ABSTRACT\n            Empirical studies on firm‐level eco‐innovation (EI) largely focus on developed countries, leaving Emerging Market Economies (EMEs) underexplored despite their pivotal role in sustainable development and their distinct institutional environments. EMEs also face urgency as trading partners adopt environmental regulations, such as the European Green Deal and the Carbon Border Adjustment Mechanism. To address this gap, this study investigates EI adoption in Turkish Small and Medium‐sized Enterprises (SMEs), a representative case of EMEs. The research builds on a Schumpeterian view of innovation, emphasizing appropriation risks, the ‘double externality,’ and the ‘triple helix’ problem. We use a recently released, unexplored dataset to address two questions: (1) Do Turkish SMEs rely more on internal resources (financial and technical) or on external support to adopt EI? (2) When external support is limited, do governmental grants or subsidies effectively stimulate EI? Our results show that Turkish SMEs predominantly depend on self‐financing and in‐house expertise, while governmental grants and subsidies are statistically insignificant. Institutional factors—such as inter‐sectoral cooperation, financial advice, and regulatory clarity—emerge as significant determinants. Moreover, younger firms are more likely to adopt EI, while older firms risk being locked into established routines. These findings highlight structural climate financing gaps and the danger of subsidy misallocation (“zombification”) in EMEs. Policy implications extend beyond Türkiye: effective promotion of EI in EMEs requires climate‐targeted subsidy design, improved access to finance, and less punitive insolvency regimes. Embedding these measures in stronger institutional settings enables SMEs to view EI as a strategic investment rather than a short‐term cost.","container-title":"Sustainable Development","DOI":"10.1002/sd.70260","ISSN":"0968-0802, 1099-1719","journalAbbreviation":"Sustainable Development","language":"en","page":"sd.70260","source":"DOI.org (Crossref)","title":"Financing Eco‐Innovation in an Emerging Economy: The Role of Internal Resources, External Support and Government in Turkish &lt;span style=\"font-variant:small-caps;\"&gt;SMEs&lt;/span&gt;","title-short":"Financing Eco‐Innovation in an Emerging Economy","URL":"https://onlinelibrary.wiley.com/doi/10.1002/sd.70260","author":[{"family":"Austin","given":"Arslan"},{"family":"Alataş","given":"Sedat"},{"family":"Agbonifi","given":"Darlington"}],"accessed":{"date-parts":[["2025",11,22]]},"issued":{"date-parts":[["2025",9,22]]}}}],"schema":"https://github.com/citation-style-language/schema/raw/master/csl-citation.json"} </w:instrText>
      </w:r>
      <w:r w:rsidR="008B4B73">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[118]</w:t>
      </w:r>
      <w:r w:rsidR="008B4B73">
        <w:rPr>
          <w:rFonts w:ascii="Times New Roman" w:hAnsi="Times New Roman" w:cs="Times New Roman"/>
          <w:sz w:val="28"/>
          <w:szCs w:val="28"/>
          <w:lang w:val="kk-KZ"/>
        </w:rPr>
        <w:fldChar w:fldCharType="end"/>
      </w:r>
      <w:r w:rsidRPr="00F71796">
        <w:rPr>
          <w:rFonts w:ascii="Times New Roman" w:hAnsi="Times New Roman" w:cs="Times New Roman"/>
          <w:sz w:val="28"/>
          <w:szCs w:val="28"/>
          <w:lang w:val="kk-KZ"/>
        </w:rPr>
        <w:t>. Подобные явления наблюдаются и в Казахстане, где, несмотря на наличие инфраструктуры поддержки инноваций, доступ МСП к ней остаётся ограниченным.</w:t>
      </w:r>
    </w:p>
    <w:p w14:paraId="5B4E33A4" w14:textId="24ABF26A" w:rsidR="00F71796" w:rsidRPr="00F71796" w:rsidRDefault="00F71796" w:rsidP="002F33D0">
      <w:pPr>
        <w:spacing w:after="0" w:line="240" w:lineRule="auto"/>
        <w:ind w:firstLine="567"/>
        <w:jc w:val="both"/>
        <w:rPr>
          <w:rFonts w:ascii="Times New Roman" w:hAnsi="Times New Roman" w:cs="Times New Roman"/>
          <w:sz w:val="28"/>
          <w:szCs w:val="28"/>
          <w:lang w:val="kk-KZ"/>
        </w:rPr>
      </w:pPr>
      <w:r w:rsidRPr="00F71796">
        <w:rPr>
          <w:rFonts w:ascii="Times New Roman" w:hAnsi="Times New Roman" w:cs="Times New Roman"/>
          <w:sz w:val="28"/>
          <w:szCs w:val="28"/>
          <w:lang w:val="kk-KZ"/>
        </w:rPr>
        <w:t xml:space="preserve">Организационные и масштабные барьеры проявляются при переходе от пилотных инноваций к их широкому внедрению. Масштабирование инновационного проекта требует развитой управленческой структуры, квалифицированного персонала и финансовых ресурсов. Для малых и средних предприятий эти задачи часто оказываются чрезмерно сложными из-за дефицита компетенций и инфраструктуры. Крупные же компании, обладая ресурсами, сталкиваются с эффектом «большого корабля» </w:t>
      </w:r>
      <w:r w:rsidR="009D20AE">
        <w:rPr>
          <w:rFonts w:ascii="Times New Roman" w:hAnsi="Times New Roman" w:cs="Times New Roman"/>
          <w:sz w:val="28"/>
          <w:szCs w:val="28"/>
          <w:lang w:val="kk-KZ"/>
        </w:rPr>
        <w:t>–</w:t>
      </w:r>
      <w:r w:rsidRPr="00F71796">
        <w:rPr>
          <w:rFonts w:ascii="Times New Roman" w:hAnsi="Times New Roman" w:cs="Times New Roman"/>
          <w:sz w:val="28"/>
          <w:szCs w:val="28"/>
          <w:lang w:val="kk-KZ"/>
        </w:rPr>
        <w:t xml:space="preserve"> сопротивлением изменениям и внутренней бюрократией</w:t>
      </w:r>
      <w:r w:rsidR="008B4B73">
        <w:rPr>
          <w:rFonts w:ascii="Times New Roman" w:hAnsi="Times New Roman" w:cs="Times New Roman"/>
          <w:sz w:val="28"/>
          <w:szCs w:val="28"/>
          <w:lang w:val="kk-KZ"/>
        </w:rPr>
        <w:t xml:space="preserve"> </w:t>
      </w:r>
      <w:r w:rsidR="008B4B73">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{"citationID":"a2l7152uuvg","properties":{"formattedCitation":"[119,120]","plainCitation":"[119,120]","noteIndex":0},"citationItems":[{"id":176,"uris":["http://zotero.org/users/16887523/items/2N7E96XG"],"itemData":{"id":176,"type":"article-journal","abstract":"Innovation is a key driver of growth, competitiveness, and technological progress at both micro and macro levels. Despite Switzerland's position as the world’s most innovative country, there is limited research on how innovation is managed within its businesses. This study addresses this gap and explores how small and large Swiss companies establish innovation strategies, processes, and structures to achieve organisational goals. This comparative study examines innovation management in small (10–49 employees) and large (250+ employees) Swiss companies across various industries, using qualitative semi-structured interviews with innovation leaders. Findings show that while both groups prioritize innovation, their approaches differ. Large companies rely on structured processes but often face bureaucratic barriers to radical innovation. In contrast, small firms benefit from agility and intuitive practices but may lack efficiency due to informal processes and limited evaluation. Innovation culture is easier to shape in small firms through direct leadership, whereas large firms struggle to encourage risk-taking. The study suggests that large firms can enhance innovation by adopting more agile methods, while small firms could benefit from more structured planning and evaluation. This paper enriches academic understanding of innovation management by providing a qualitative comparison of small and large Swiss businesses and offers practical insights for companies and policymakers aiming to strengthen innovation capabilities.","container-title":"European Conference on Innovation and Entrepreneurship","DOI":"10.34190/ecie.20.1.3858","ISSN":"2049-1069, 2049-1050","issue":"1","journalAbbreviation":"ECIE","license":"https://creativecommons.org/licenses/by-nd/4.0","page":"455-463","source":"DOI.org (Crossref)","title":"Innovation Management in Small and Large Companies: Comparative Insights from Switzerland","title-short":"Innovation Management in Small and Large Companies","URL":"https://papers.academic-conferences.org/index.php/ecie/article/view/3858","volume":"20","author":[{"family":"Metuzale","given":"Kristine"},{"family":"Widmer","given":"Moritz David"},{"family":"Meyer","given":"Dario"},{"family":"Meyer","given":"Rolf"}],"accessed":{"date-parts":[["2025",11,22]]},"issued":{"date-parts":[["2025",9,19]]}}},{"id":177,"uris":["http://zotero.org/users/16887523/items/WXX63IXV"],"itemData":{"id":177,"type":"article-journal","abstract":"The article defines the concept of digital innovation as a type of innovation based on the implementation and use of digital technologies that change products, services, business processes and interaction models inside and outside the organization. Significant differences between digital innovations and traditional innovations are: they are based not on material technologies, but on digital ones; the result is software solutions, platforms, services; the speed of dissemination is much higher than traditional innovations due to the use of flexible management methodologies; the sources of created value are data and their analysis, interaction, user experience; the type of effective interaction is a network ecosystem, a digital platform; high scalability when using platforms and network ecosystems. \nA model of the digital innovation management system of industrial enterprises has been developed. It consists of interacting subsystems of digital management (control subsystem) and digital technologies (managed subsystem). In turn, the digital management subsystem is a complex set of digital culture, digital strategy, digital interaction, flexible management methods, as well as changes in the business model and organizational structure. \nAn analysis of digital innovation management indicators in Ukraine was conducted, which indicate contradictory trends: on the one hand, Ukraine is an exporter of digital technology development services, which implies at least the presence of qualified personnel who are able to create appropriate software and have a digital culture. On the other hand, the penetration of digital technologies into national industrial enterprises has extremely low indicators, which is determined by the low level of development of industrial enterprises themselves. Such trends are explained by the predominance of short-term financial interests over long-term economic interests and cannot ensure sustainable long-term development of the national economy, which implies the need to change priorities in favor of the innovative and investment development of national industrial enterprises.","container-title":"Науковий вісник Полісся","DOI":"10.25140/2410-9576-2025-1(30)-401-412","ISSN":"2412-2394, 2410-9576","issue":"30","journalAbbreviation":"SBP","page":"401-412","source":"DOI.org (Crossref)","title":"Управління цифровими інноваціями на промислових підприємствах: аналіз міжнародного і національного досвіду","title-short":"Digital innovation management in industrial enterprises","URL":"http://nvp.stu.cn.ua/article/view/340003","volume":"1","author":[{"family":"Повна","given":"С."}],"accessed":{"date-parts":[["2025",11,22]]},"issued":{"date-parts":[["2025"]]}}}],"schema":"https://github.com/citation-style-language/schema/raw/master/csl-citation.json"} </w:instrText>
      </w:r>
      <w:r w:rsidR="008B4B73">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[119,120]</w:t>
      </w:r>
      <w:r w:rsidR="008B4B73">
        <w:rPr>
          <w:rFonts w:ascii="Times New Roman" w:hAnsi="Times New Roman" w:cs="Times New Roman"/>
          <w:sz w:val="28"/>
          <w:szCs w:val="28"/>
          <w:lang w:val="kk-KZ"/>
        </w:rPr>
        <w:fldChar w:fldCharType="end"/>
      </w:r>
      <w:r w:rsidRPr="00F71796">
        <w:rPr>
          <w:rFonts w:ascii="Times New Roman" w:hAnsi="Times New Roman" w:cs="Times New Roman"/>
          <w:sz w:val="28"/>
          <w:szCs w:val="28"/>
          <w:lang w:val="kk-KZ"/>
        </w:rPr>
        <w:t xml:space="preserve">. Таким образом, влияние барьеров модифицируется масштабом предприятия: для МСП ключевыми остаются финансовые и кадровые ограничения, а для крупных </w:t>
      </w:r>
      <w:r w:rsidR="009D20AE">
        <w:rPr>
          <w:rFonts w:ascii="Times New Roman" w:hAnsi="Times New Roman" w:cs="Times New Roman"/>
          <w:sz w:val="28"/>
          <w:szCs w:val="28"/>
          <w:lang w:val="kk-KZ"/>
        </w:rPr>
        <w:t>–</w:t>
      </w:r>
      <w:r w:rsidRPr="00F71796">
        <w:rPr>
          <w:rFonts w:ascii="Times New Roman" w:hAnsi="Times New Roman" w:cs="Times New Roman"/>
          <w:sz w:val="28"/>
          <w:szCs w:val="28"/>
          <w:lang w:val="kk-KZ"/>
        </w:rPr>
        <w:t xml:space="preserve"> организационная инерция и необходимость поддержания гибкости корпоративной культуры.</w:t>
      </w:r>
    </w:p>
    <w:p w14:paraId="000D11BE" w14:textId="412A5AEE" w:rsidR="00F71796" w:rsidRPr="00F71796" w:rsidRDefault="00F71796" w:rsidP="002F33D0">
      <w:pPr>
        <w:spacing w:after="0" w:line="240" w:lineRule="auto"/>
        <w:ind w:firstLine="567"/>
        <w:jc w:val="both"/>
        <w:rPr>
          <w:rFonts w:ascii="Times New Roman" w:hAnsi="Times New Roman" w:cs="Times New Roman"/>
          <w:sz w:val="28"/>
          <w:szCs w:val="28"/>
          <w:lang w:val="kk-KZ"/>
        </w:rPr>
      </w:pPr>
      <w:r w:rsidRPr="00F71796">
        <w:rPr>
          <w:rFonts w:ascii="Times New Roman" w:hAnsi="Times New Roman" w:cs="Times New Roman"/>
          <w:sz w:val="28"/>
          <w:szCs w:val="28"/>
          <w:lang w:val="kk-KZ"/>
        </w:rPr>
        <w:t xml:space="preserve">Цифровые барьеры в современных условиях приобретают всё большее значение. Несмотря на потенциал цифровых технологий как фактора повышения </w:t>
      </w:r>
      <w:r w:rsidRPr="00F71796">
        <w:rPr>
          <w:rFonts w:ascii="Times New Roman" w:hAnsi="Times New Roman" w:cs="Times New Roman"/>
          <w:sz w:val="28"/>
          <w:szCs w:val="28"/>
          <w:lang w:val="kk-KZ"/>
        </w:rPr>
        <w:lastRenderedPageBreak/>
        <w:t>эффективности, многие малые предприятия остаются на стадии частичной цифровой адаптации</w:t>
      </w:r>
      <w:r w:rsidR="008B4B73">
        <w:rPr>
          <w:rFonts w:ascii="Times New Roman" w:hAnsi="Times New Roman" w:cs="Times New Roman"/>
          <w:sz w:val="28"/>
          <w:szCs w:val="28"/>
          <w:lang w:val="kk-KZ"/>
        </w:rPr>
        <w:t xml:space="preserve"> </w:t>
      </w:r>
      <w:r w:rsidR="008B4B73">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{"citationID":"a1hor7f9p24","properties":{"formattedCitation":"[61]","plainCitation":"[61]","noteIndex":0},"citationItems":[{"id":110,"uris":["http://zotero.org/users/16887523/items/YLH4XTTT"],"itemData":{"id":110,"type":"article-journal","abstract":"This study explores the role of digital transformation in enhancing the resilience and competitive advantage of Small and Medium Enterprises (SMEs) in the post-pandemic era. Through both qualitative and quantitative analyses, the study examines how SMEs have adopted digital technologies, such as e-commerce, cloud computing, and customer relationship management (CRM), to overcome challenges posed by the pandemic and build sustainable advantages. The findings reveal that digital transformation has a significant positive impact on business resilience, operational efficiency, and customer satisfaction. However, challenges such as limited skilled human resources and high initial investment costs remain barriers to full adoption. The study offers practical implications for SME owners and policymakers, emphasizing the need for strategic investments in digital skills and technology, as well as supportive policies to reduce barriers to digital transformation. Despite some limitations, the study contributes to the literature on resilient business models and the role of digital transformation in SMEs.","container-title":"Journal of Economics and Management Scienties","DOI":"10.37034/jems.v8i1.248","ISSN":"2655-6685, 2655-1934","journalAbbreviation":"JEMS","license":"https://creativecommons.org/licenses/by/4.0","page":"1-6","source":"DOI.org (Crossref)","title":"Digital Transformation and Resilient Business Models: Unlocking Competitive Advantage in Post-Pandemic SMEs","title-short":"Digital Transformation and Resilient Business Models","URL":"https://jems.ink/index.php/JEMS/article/view/248","author":[{"family":"Kusuma","given":"Sitta"}],"accessed":{"date-parts":[["2025",11,22]]},"issued":{"date-parts":[["2025",9,29]]}}}],"schema":"https://github.com/citation-style-language/schema/raw/master/csl-citation.json"} </w:instrText>
      </w:r>
      <w:r w:rsidR="008B4B73">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[61]</w:t>
      </w:r>
      <w:r w:rsidR="008B4B73">
        <w:rPr>
          <w:rFonts w:ascii="Times New Roman" w:hAnsi="Times New Roman" w:cs="Times New Roman"/>
          <w:sz w:val="28"/>
          <w:szCs w:val="28"/>
          <w:lang w:val="kk-KZ"/>
        </w:rPr>
        <w:fldChar w:fldCharType="end"/>
      </w:r>
      <w:r w:rsidRPr="00F71796">
        <w:rPr>
          <w:rFonts w:ascii="Times New Roman" w:hAnsi="Times New Roman" w:cs="Times New Roman"/>
          <w:sz w:val="28"/>
          <w:szCs w:val="28"/>
          <w:lang w:val="kk-KZ"/>
        </w:rPr>
        <w:t>, внедряя отдельные инструменты без системного подхода к цифровой трансформации бизнес-процессов. Это создаёт риск «цифрового разрыва» между предприятиями разного масштаба и уровня зрелости. Крупные компании, напротив, сталкиваются с проблемой избыточной технологической сложности и интеграции разрозненных ИТ-систем</w:t>
      </w:r>
      <w:r w:rsidR="008B4B73" w:rsidRPr="008B4B73">
        <w:rPr>
          <w:rFonts w:ascii="Times New Roman" w:hAnsi="Times New Roman" w:cs="Times New Roman"/>
          <w:sz w:val="28"/>
          <w:szCs w:val="28"/>
        </w:rPr>
        <w:t xml:space="preserve"> </w:t>
      </w:r>
      <w:r w:rsidR="008B4B73">
        <w:rPr>
          <w:rFonts w:ascii="Times New Roman" w:hAnsi="Times New Roman" w:cs="Times New Roman"/>
          <w:sz w:val="28"/>
          <w:szCs w:val="28"/>
          <w:lang w:val="en-US"/>
        </w:rPr>
        <w:fldChar w:fldCharType="begin"/>
      </w:r>
      <w:r w:rsidR="009C6DCA">
        <w:rPr>
          <w:rFonts w:ascii="Times New Roman" w:hAnsi="Times New Roman" w:cs="Times New Roman"/>
          <w:sz w:val="28"/>
          <w:szCs w:val="28"/>
        </w:rPr>
        <w:instrText xml:space="preserve"> ADDIN ZOTERO_ITEM CSL_CITATION {"citationID":"a25jl8ma4gd","properties":{"formattedCitation":"[121]","plainCitation":"[121]","noteIndex":0},"citationItems":[{"id":178,"uris":["http://zotero.org/users/16887523/items/95LM46QQ"],"itemData":{"id":178,"type":"article-journal","abstract":"This study explores how digital connectivity can enhance the operational effectiveness of cluster-based supply chains, using PT XYZ as a case example. In an increasingly volatile and complex market environment, real-time data integration has emerged as a strategic necessity for supply chain agility and responsiveness. The findings reveal that digital connectivity significantly contributes to improving coordination, accelerating decision-making, reducing lead times by up to 30%, and lowering operational costs by approximately 20%. Central to this transformation is the adoption of Enterprise Resource Planning (ERP) systems, which enable predictive analytics, real-time inventory tracking, and scenario-based planning—tools that support both tactical and strategic decision-making. In addition, cloud platforms and collaborative digital tools further streamline communication across supply chain partners. Despite these improvements, the system at PT XYZ remains only partially automated, especially across geographically distributed clusters, pointing to the pressing need for unified digital integration. To address this gap, the study proposes a digital integration framework that emphasizes standardization of systems, infrastructure readiness, and change management strategies. Using a qualitative case study approach, the research draws on interviews, document analysis, and observations to evaluate implementation outcomes and identify key enablers and barriers. The findings offer practical insights for organizations seeking to enhance supply chain performance through digital.","container-title":"Commercium : Journal of Business and Management","DOI":"10.61978/commercium.v3i4.713","ISSN":"3031-9889","issue":"4","journalAbbreviation":"commercium","page":"289-301","source":"DOI.org (Crossref)","title":"Study of Improving Cluster Supply Chain Capability at PT. XYZ Through The Implementation of Digital Connectivity","URL":"https://journal.idscipub.com/commercium/article/view/713","volume":"3","author":[{"family":"Rahady","given":"Peri"},{"family":"Tricahyono","given":"Dodie"},{"family":"Dudija","given":"Nadya"}],"accessed":{"date-parts":[["2025",11,22]]},"issued":{"date-parts":[["2025",9,29]]}}}],"schema":"https://github.com/citation-style-language/schema/raw/master/csl-citation.json"} </w:instrText>
      </w:r>
      <w:r w:rsidR="008B4B73">
        <w:rPr>
          <w:rFonts w:ascii="Times New Roman" w:hAnsi="Times New Roman" w:cs="Times New Roman"/>
          <w:sz w:val="28"/>
          <w:szCs w:val="28"/>
          <w:lang w:val="en-US"/>
        </w:rPr>
        <w:fldChar w:fldCharType="separate"/>
      </w:r>
      <w:r w:rsidR="009C6DCA" w:rsidRPr="009C6DCA">
        <w:rPr>
          <w:rFonts w:ascii="Times New Roman" w:hAnsi="Times New Roman" w:cs="Times New Roman"/>
          <w:sz w:val="28"/>
        </w:rPr>
        <w:t>[121]</w:t>
      </w:r>
      <w:r w:rsidR="008B4B73">
        <w:rPr>
          <w:rFonts w:ascii="Times New Roman" w:hAnsi="Times New Roman" w:cs="Times New Roman"/>
          <w:sz w:val="28"/>
          <w:szCs w:val="28"/>
          <w:lang w:val="en-US"/>
        </w:rPr>
        <w:fldChar w:fldCharType="end"/>
      </w:r>
      <w:r w:rsidRPr="00F71796">
        <w:rPr>
          <w:rFonts w:ascii="Times New Roman" w:hAnsi="Times New Roman" w:cs="Times New Roman"/>
          <w:sz w:val="28"/>
          <w:szCs w:val="28"/>
          <w:lang w:val="kk-KZ"/>
        </w:rPr>
        <w:t>. Таким образом, цифровая зрелость предприятия становится одним из определяющих факторов, способствующих либо преодолению барьеров, либо их усилению.</w:t>
      </w:r>
    </w:p>
    <w:p w14:paraId="532578E6" w14:textId="538CC35B" w:rsidR="00F71796" w:rsidRPr="00F71796" w:rsidRDefault="00F71796" w:rsidP="002F33D0">
      <w:pPr>
        <w:spacing w:after="0" w:line="240" w:lineRule="auto"/>
        <w:ind w:firstLine="567"/>
        <w:jc w:val="both"/>
        <w:rPr>
          <w:rFonts w:ascii="Times New Roman" w:hAnsi="Times New Roman" w:cs="Times New Roman"/>
          <w:sz w:val="28"/>
          <w:szCs w:val="28"/>
          <w:lang w:val="kk-KZ"/>
        </w:rPr>
      </w:pPr>
      <w:r w:rsidRPr="00F71796">
        <w:rPr>
          <w:rFonts w:ascii="Times New Roman" w:hAnsi="Times New Roman" w:cs="Times New Roman"/>
          <w:sz w:val="28"/>
          <w:szCs w:val="28"/>
          <w:lang w:val="kk-KZ"/>
        </w:rPr>
        <w:t>В обобщённом виде барьеры инновационного развития отражают несбалансированность внутренних и внешних составляющих инновационного потенциала. Для малых и средних предприятий наиболее существенными остаются финансовые, институциональные и цифровые ограничения</w:t>
      </w:r>
      <w:r w:rsidR="00AA051F" w:rsidRPr="00AA051F">
        <w:rPr>
          <w:rFonts w:ascii="Times New Roman" w:hAnsi="Times New Roman" w:cs="Times New Roman"/>
          <w:sz w:val="28"/>
          <w:szCs w:val="28"/>
        </w:rPr>
        <w:t xml:space="preserve"> </w:t>
      </w:r>
      <w:r w:rsidR="00AA051F">
        <w:rPr>
          <w:rFonts w:ascii="Times New Roman" w:hAnsi="Times New Roman" w:cs="Times New Roman"/>
          <w:sz w:val="28"/>
          <w:szCs w:val="28"/>
          <w:lang w:val="en-US"/>
        </w:rPr>
        <w:fldChar w:fldCharType="begin"/>
      </w:r>
      <w:r w:rsidR="009C6DCA">
        <w:rPr>
          <w:rFonts w:ascii="Times New Roman" w:hAnsi="Times New Roman" w:cs="Times New Roman"/>
          <w:sz w:val="28"/>
          <w:szCs w:val="28"/>
        </w:rPr>
        <w:instrText xml:space="preserve"> ADDIN ZOTERO_ITEM CSL_CITATION {"citationID":"a12g58ds2k2","properties":{"formattedCitation":"[61,122]","plainCitation":"[61,122]","noteIndex":0},"citationItems":[{"id":110,"uris":["http://zotero.org/users/16887523/items/YLH4XTTT"],"itemData":{"id":110,"type":"article-journal","abstract":"This study explores the role of digital transformation in enhancing the resilience and competitive advantage of Small and Medium Enterprises (SMEs) in the post-pandemic era. Through both qualitative and quantitative analyses, the study examines how SMEs have adopted digital technologies, such as e-commerce, cloud computing, and customer relationship management (CRM), to overcome challenges posed by the pandemic and build sustainable advantages. The findings reveal that digital transformation has a significant positive impact on business resilience, operational efficiency, and customer satisfaction. However, challenges such as limited skilled human resources and high initial investment costs remain barriers to full adoption. The study offers practical implications for SME owners and policymakers, emphasizing the need for strategic investments in digital skills and technology, as well as supportive policies to reduce barriers to digital transformation. Despite some limitations, the study contributes to the literature on resilient business models and the role of digital transformation in SMEs.","container-title":"Journal of Economics and Management Scienties","DOI":"10.37034/jems.v8i1.248","ISSN":"2655-6685, 2655-1934","journalAbbreviation":"JEMS","license":"https://creativecommons.org/licenses/by/4.0","page":"1-6","source":"DOI.org (Crossref)","title":"Digital Transformation and Resilient Business Models: Unlocking Competitive Advantage in Post-Pandemic SMEs","title-short":"Digital Transformation and Resilient Business Models","URL":"https://jems.ink/index.php/JEMS/article/view/248","author":[{"family":"Kusuma","given":"Sitta"}],"accessed":{"date-parts":[["2025",11,22]]},"issued":{"date-parts":[["2025",9,29]]}}},{"id":99,"uris":["http://zotero.org/users/16887523/items/8I9ZDHDJ"],"itemData":{"id":99,"type":"article-journal","container-title":"Discover Sustainability","DOI":"10.1007/s43621-025-01916-0","ISSN":"2662-9984","issue":"1","journalAbbreviation":"Discov Sustain","language":"en","page":"955","source":"DOI.org (Crossref)","title":"How digital capabilities and credit access influence green innovation performance in small and medium enterprises in resource constrained settings","URL":"https://link.springer.com/10.1007/s43621-025-01916-0","volume":"6","author":[{"family":"Bindeeba","given":"Dedrix Stephenson"},{"family":"Tukamushaba","given":"Eddy Kurobuza"},{"family":"Bakashaba","given":"Rennie"}],"accessed":{"date-parts":[["2025",11,22]]},"issued":{"date-parts":[["2025",9,29]]}}}],"schema":"https://github.com/citation-style-language/schema/raw/master/csl-citation.json"} </w:instrText>
      </w:r>
      <w:r w:rsidR="00AA051F">
        <w:rPr>
          <w:rFonts w:ascii="Times New Roman" w:hAnsi="Times New Roman" w:cs="Times New Roman"/>
          <w:sz w:val="28"/>
          <w:szCs w:val="28"/>
          <w:lang w:val="en-US"/>
        </w:rPr>
        <w:fldChar w:fldCharType="separate"/>
      </w:r>
      <w:r w:rsidR="009C6DCA" w:rsidRPr="009C6DCA">
        <w:rPr>
          <w:rFonts w:ascii="Times New Roman" w:hAnsi="Times New Roman" w:cs="Times New Roman"/>
          <w:sz w:val="28"/>
        </w:rPr>
        <w:t>[61,122]</w:t>
      </w:r>
      <w:r w:rsidR="00AA051F">
        <w:rPr>
          <w:rFonts w:ascii="Times New Roman" w:hAnsi="Times New Roman" w:cs="Times New Roman"/>
          <w:sz w:val="28"/>
          <w:szCs w:val="28"/>
          <w:lang w:val="en-US"/>
        </w:rPr>
        <w:fldChar w:fldCharType="end"/>
      </w:r>
      <w:r w:rsidRPr="00F71796">
        <w:rPr>
          <w:rFonts w:ascii="Times New Roman" w:hAnsi="Times New Roman" w:cs="Times New Roman"/>
          <w:sz w:val="28"/>
          <w:szCs w:val="28"/>
          <w:lang w:val="kk-KZ"/>
        </w:rPr>
        <w:t xml:space="preserve">; для крупных компаний </w:t>
      </w:r>
      <w:r w:rsidR="009D20AE">
        <w:rPr>
          <w:rFonts w:ascii="Times New Roman" w:hAnsi="Times New Roman" w:cs="Times New Roman"/>
          <w:sz w:val="28"/>
          <w:szCs w:val="28"/>
          <w:lang w:val="kk-KZ"/>
        </w:rPr>
        <w:t>–</w:t>
      </w:r>
      <w:r w:rsidRPr="00F71796">
        <w:rPr>
          <w:rFonts w:ascii="Times New Roman" w:hAnsi="Times New Roman" w:cs="Times New Roman"/>
          <w:sz w:val="28"/>
          <w:szCs w:val="28"/>
          <w:lang w:val="kk-KZ"/>
        </w:rPr>
        <w:t xml:space="preserve"> организационные и культурные</w:t>
      </w:r>
      <w:r w:rsidR="00AA051F" w:rsidRPr="00617838">
        <w:rPr>
          <w:rFonts w:ascii="Times New Roman" w:hAnsi="Times New Roman" w:cs="Times New Roman"/>
          <w:sz w:val="28"/>
          <w:szCs w:val="28"/>
        </w:rPr>
        <w:t xml:space="preserve"> </w:t>
      </w:r>
      <w:r w:rsidR="00AA051F">
        <w:rPr>
          <w:rFonts w:ascii="Times New Roman" w:hAnsi="Times New Roman" w:cs="Times New Roman"/>
          <w:sz w:val="28"/>
          <w:szCs w:val="28"/>
          <w:lang w:val="en-US"/>
        </w:rPr>
        <w:fldChar w:fldCharType="begin"/>
      </w:r>
      <w:r w:rsidR="009C6DCA">
        <w:rPr>
          <w:rFonts w:ascii="Times New Roman" w:hAnsi="Times New Roman" w:cs="Times New Roman"/>
          <w:sz w:val="28"/>
          <w:szCs w:val="28"/>
          <w:lang w:val="en-US"/>
        </w:rPr>
        <w:instrText xml:space="preserve"> ADDIN ZOTERO_ITEM CSL_CITATION {"citationID":"akapdcdch8","properties":{"formattedCitation":"[55]","plainCitation":"[55]","noteIndex":0},"citationItems":[{"id":106,"uris":["http://zotero.org/users/16887523/items/UIPG8NSP"],"itemData":{"id":106,"type":"article-journal","abstract":"Introduction. The fintech industry has focused on its potential, as it has rethought the possibilities and put the provision of financial services in a digitally developed world on a completely different level. The digital transformation of financial services, made possible by the rapid development of new technologies that ensure reliable transactions, has boosted the growth of FinTech companies. \nAim and tasks. The study aims to comprehensively assess the determinants of the ability of FinTech companies to achieve market leadership, sustain innovation activity, and ensure regulatory compliance in the context of the financial sector’s digital transformation. \nResults. The expert survey developed a standardised codebook to evaluate 15 FinTech companies grouped into three clusters, resulting in a composite index and validating hypotheses about the factors determining growth. The regulatory environment (RE, 0.148), trust and security (TS, 0.139), and access to finance (AF, 0.117) form the core determinants, followed by technological infrastructure (TI, 0.111) and team quality (TQ, 0.108), and the remaining factors have lower relative weights (&lt;0.09). The inter-firm differences are mainly explained by the performance on the regulatory-trust and financial-technology determinants, and the sensitivity analysis shows that a 1-point (0–5) increase in RE/TS/AF increases the index by approximately +0.030/+0.028/+0.023, which quantitatively confirms their leading roles. A comparative analysis of the cohorts showed that the leaders (C1–C7) demonstrated high results (≥4 points on 9–10 factors out of 10) and significant superiority in technology infrastructure (TI) and team quality (TQ). At the same time, the remaining groups of companies had more fragmented profiles with pronounced weaknesses</w:instrText>
      </w:r>
      <w:r w:rsidR="009C6DCA" w:rsidRPr="00261B71">
        <w:rPr>
          <w:rFonts w:ascii="Times New Roman" w:hAnsi="Times New Roman" w:cs="Times New Roman"/>
          <w:sz w:val="28"/>
          <w:szCs w:val="28"/>
        </w:rPr>
        <w:instrText>. \</w:instrText>
      </w:r>
      <w:r w:rsidR="009C6DCA">
        <w:rPr>
          <w:rFonts w:ascii="Times New Roman" w:hAnsi="Times New Roman" w:cs="Times New Roman"/>
          <w:sz w:val="28"/>
          <w:szCs w:val="28"/>
          <w:lang w:val="en-US"/>
        </w:rPr>
        <w:instrText>nConclusions</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FinTech</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growth</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relies</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on</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a</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core</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of</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regulatory</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stability</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RE</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trust</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and</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security</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TS</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and</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access</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to</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finance</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AF</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complemented</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by</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technological</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infrastructure</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TI</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and</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team</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quality</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TQ</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Predictable</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regulation</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access</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to</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capital</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high</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security</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standards</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and</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targeted</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partnerships</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maximise</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the</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chance</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of</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gazelle</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or</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unicorn</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growth</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A</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predictable</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regulatory</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environment</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and</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access</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to</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investment</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capital</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play</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a</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key</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role</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in</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accelerating</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the</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growth</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of</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the</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FinTech</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ecosystem</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FinTech</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management</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should</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prioritise</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investments</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in</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technology</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infrastructure</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developing</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highly</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skilled</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teams</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creating</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targeted</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partnerships</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and</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ecosystems</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PEs</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and</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developing</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scalability</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and</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international</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expansion</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SIEs</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to</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transform</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high</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growth</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companies</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into</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leaders</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container</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title</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Economics</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Ecology</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Socium</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DOI</w:instrText>
      </w:r>
      <w:r w:rsidR="009C6DCA" w:rsidRPr="00261B71">
        <w:rPr>
          <w:rFonts w:ascii="Times New Roman" w:hAnsi="Times New Roman" w:cs="Times New Roman"/>
          <w:sz w:val="28"/>
          <w:szCs w:val="28"/>
        </w:rPr>
        <w:instrText>":"10.61954/2616-7107/2025.9.3-7","</w:instrText>
      </w:r>
      <w:r w:rsidR="009C6DCA">
        <w:rPr>
          <w:rFonts w:ascii="Times New Roman" w:hAnsi="Times New Roman" w:cs="Times New Roman"/>
          <w:sz w:val="28"/>
          <w:szCs w:val="28"/>
          <w:lang w:val="en-US"/>
        </w:rPr>
        <w:instrText>ISSN</w:instrText>
      </w:r>
      <w:r w:rsidR="009C6DCA" w:rsidRPr="00261B71">
        <w:rPr>
          <w:rFonts w:ascii="Times New Roman" w:hAnsi="Times New Roman" w:cs="Times New Roman"/>
          <w:sz w:val="28"/>
          <w:szCs w:val="28"/>
        </w:rPr>
        <w:instrText>":"2616-7107, 2616-7107","</w:instrText>
      </w:r>
      <w:r w:rsidR="009C6DCA">
        <w:rPr>
          <w:rFonts w:ascii="Times New Roman" w:hAnsi="Times New Roman" w:cs="Times New Roman"/>
          <w:sz w:val="28"/>
          <w:szCs w:val="28"/>
          <w:lang w:val="en-US"/>
        </w:rPr>
        <w:instrText>issue</w:instrText>
      </w:r>
      <w:r w:rsidR="009C6DCA" w:rsidRPr="00261B71">
        <w:rPr>
          <w:rFonts w:ascii="Times New Roman" w:hAnsi="Times New Roman" w:cs="Times New Roman"/>
          <w:sz w:val="28"/>
          <w:szCs w:val="28"/>
        </w:rPr>
        <w:instrText>":"3","</w:instrText>
      </w:r>
      <w:r w:rsidR="009C6DCA">
        <w:rPr>
          <w:rFonts w:ascii="Times New Roman" w:hAnsi="Times New Roman" w:cs="Times New Roman"/>
          <w:sz w:val="28"/>
          <w:szCs w:val="28"/>
          <w:lang w:val="en-US"/>
        </w:rPr>
        <w:instrText>journalAbbreviation</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ees</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license</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https</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creativecommons</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org</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licenses</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by</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nc</w:instrText>
      </w:r>
      <w:r w:rsidR="009C6DCA" w:rsidRPr="00261B71">
        <w:rPr>
          <w:rFonts w:ascii="Times New Roman" w:hAnsi="Times New Roman" w:cs="Times New Roman"/>
          <w:sz w:val="28"/>
          <w:szCs w:val="28"/>
        </w:rPr>
        <w:instrText>/4.0/","</w:instrText>
      </w:r>
      <w:r w:rsidR="009C6DCA">
        <w:rPr>
          <w:rFonts w:ascii="Times New Roman" w:hAnsi="Times New Roman" w:cs="Times New Roman"/>
          <w:sz w:val="28"/>
          <w:szCs w:val="28"/>
          <w:lang w:val="en-US"/>
        </w:rPr>
        <w:instrText>page</w:instrText>
      </w:r>
      <w:r w:rsidR="009C6DCA" w:rsidRPr="00261B71">
        <w:rPr>
          <w:rFonts w:ascii="Times New Roman" w:hAnsi="Times New Roman" w:cs="Times New Roman"/>
          <w:sz w:val="28"/>
          <w:szCs w:val="28"/>
        </w:rPr>
        <w:instrText>":"93-109","</w:instrText>
      </w:r>
      <w:r w:rsidR="009C6DCA">
        <w:rPr>
          <w:rFonts w:ascii="Times New Roman" w:hAnsi="Times New Roman" w:cs="Times New Roman"/>
          <w:sz w:val="28"/>
          <w:szCs w:val="28"/>
          <w:lang w:val="en-US"/>
        </w:rPr>
        <w:instrText>source</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DOI</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org</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Crossref</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title</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Assessment</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of</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Factors</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Influencing</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Market</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Leadership</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and</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Innovation</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of</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FinTech</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Companies</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in</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the</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Digital</w:instrText>
      </w:r>
      <w:r w:rsidR="009C6DCA" w:rsidRPr="00261B71">
        <w:rPr>
          <w:rFonts w:ascii="Times New Roman" w:hAnsi="Times New Roman" w:cs="Times New Roman"/>
          <w:sz w:val="28"/>
          <w:szCs w:val="28"/>
        </w:rPr>
        <w:instrText xml:space="preserve"> </w:instrText>
      </w:r>
      <w:r w:rsidR="009C6DCA">
        <w:rPr>
          <w:rFonts w:ascii="Times New Roman" w:hAnsi="Times New Roman" w:cs="Times New Roman"/>
          <w:sz w:val="28"/>
          <w:szCs w:val="28"/>
          <w:lang w:val="en-US"/>
        </w:rPr>
        <w:instrText>economy</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URL</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https</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ees</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journal</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com</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index</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php</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journal</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article</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view</w:instrText>
      </w:r>
      <w:r w:rsidR="009C6DCA" w:rsidRPr="00261B71">
        <w:rPr>
          <w:rFonts w:ascii="Times New Roman" w:hAnsi="Times New Roman" w:cs="Times New Roman"/>
          <w:sz w:val="28"/>
          <w:szCs w:val="28"/>
        </w:rPr>
        <w:instrText>/305","</w:instrText>
      </w:r>
      <w:r w:rsidR="009C6DCA">
        <w:rPr>
          <w:rFonts w:ascii="Times New Roman" w:hAnsi="Times New Roman" w:cs="Times New Roman"/>
          <w:sz w:val="28"/>
          <w:szCs w:val="28"/>
          <w:lang w:val="en-US"/>
        </w:rPr>
        <w:instrText>volume</w:instrText>
      </w:r>
      <w:r w:rsidR="009C6DCA" w:rsidRPr="00261B71">
        <w:rPr>
          <w:rFonts w:ascii="Times New Roman" w:hAnsi="Times New Roman" w:cs="Times New Roman"/>
          <w:sz w:val="28"/>
          <w:szCs w:val="28"/>
        </w:rPr>
        <w:instrText>":"9","</w:instrText>
      </w:r>
      <w:r w:rsidR="009C6DCA">
        <w:rPr>
          <w:rFonts w:ascii="Times New Roman" w:hAnsi="Times New Roman" w:cs="Times New Roman"/>
          <w:sz w:val="28"/>
          <w:szCs w:val="28"/>
          <w:lang w:val="en-US"/>
        </w:rPr>
        <w:instrText>author</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family</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Anguelov</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given</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Kiril</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family</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Stoyanova</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given</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Tsvetana</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accessed</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date</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parts</w:instrText>
      </w:r>
      <w:r w:rsidR="009C6DCA" w:rsidRPr="00261B71">
        <w:rPr>
          <w:rFonts w:ascii="Times New Roman" w:hAnsi="Times New Roman" w:cs="Times New Roman"/>
          <w:sz w:val="28"/>
          <w:szCs w:val="28"/>
        </w:rPr>
        <w:instrText>":[["2025",11,22]]},"</w:instrText>
      </w:r>
      <w:r w:rsidR="009C6DCA">
        <w:rPr>
          <w:rFonts w:ascii="Times New Roman" w:hAnsi="Times New Roman" w:cs="Times New Roman"/>
          <w:sz w:val="28"/>
          <w:szCs w:val="28"/>
          <w:lang w:val="en-US"/>
        </w:rPr>
        <w:instrText>issued</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date</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parts</w:instrText>
      </w:r>
      <w:r w:rsidR="009C6DCA" w:rsidRPr="00261B71">
        <w:rPr>
          <w:rFonts w:ascii="Times New Roman" w:hAnsi="Times New Roman" w:cs="Times New Roman"/>
          <w:sz w:val="28"/>
          <w:szCs w:val="28"/>
        </w:rPr>
        <w:instrText>":[["2025",9,30]]}}}],"</w:instrText>
      </w:r>
      <w:r w:rsidR="009C6DCA">
        <w:rPr>
          <w:rFonts w:ascii="Times New Roman" w:hAnsi="Times New Roman" w:cs="Times New Roman"/>
          <w:sz w:val="28"/>
          <w:szCs w:val="28"/>
          <w:lang w:val="en-US"/>
        </w:rPr>
        <w:instrText>schema</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https</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github</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com</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citation</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style</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language</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schema</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raw</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master</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csl</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citation</w:instrText>
      </w:r>
      <w:r w:rsidR="009C6DCA" w:rsidRPr="00261B71">
        <w:rPr>
          <w:rFonts w:ascii="Times New Roman" w:hAnsi="Times New Roman" w:cs="Times New Roman"/>
          <w:sz w:val="28"/>
          <w:szCs w:val="28"/>
        </w:rPr>
        <w:instrText>.</w:instrText>
      </w:r>
      <w:r w:rsidR="009C6DCA">
        <w:rPr>
          <w:rFonts w:ascii="Times New Roman" w:hAnsi="Times New Roman" w:cs="Times New Roman"/>
          <w:sz w:val="28"/>
          <w:szCs w:val="28"/>
          <w:lang w:val="en-US"/>
        </w:rPr>
        <w:instrText>json</w:instrText>
      </w:r>
      <w:r w:rsidR="009C6DCA" w:rsidRPr="00261B71">
        <w:rPr>
          <w:rFonts w:ascii="Times New Roman" w:hAnsi="Times New Roman" w:cs="Times New Roman"/>
          <w:sz w:val="28"/>
          <w:szCs w:val="28"/>
        </w:rPr>
        <w:instrText xml:space="preserve">"} </w:instrText>
      </w:r>
      <w:r w:rsidR="00AA051F">
        <w:rPr>
          <w:rFonts w:ascii="Times New Roman" w:hAnsi="Times New Roman" w:cs="Times New Roman"/>
          <w:sz w:val="28"/>
          <w:szCs w:val="28"/>
          <w:lang w:val="en-US"/>
        </w:rPr>
        <w:fldChar w:fldCharType="separate"/>
      </w:r>
      <w:r w:rsidR="009C6DCA" w:rsidRPr="009C6DCA">
        <w:rPr>
          <w:rFonts w:ascii="Times New Roman" w:hAnsi="Times New Roman" w:cs="Times New Roman"/>
          <w:sz w:val="28"/>
        </w:rPr>
        <w:t>[55]</w:t>
      </w:r>
      <w:r w:rsidR="00AA051F">
        <w:rPr>
          <w:rFonts w:ascii="Times New Roman" w:hAnsi="Times New Roman" w:cs="Times New Roman"/>
          <w:sz w:val="28"/>
          <w:szCs w:val="28"/>
          <w:lang w:val="en-US"/>
        </w:rPr>
        <w:fldChar w:fldCharType="end"/>
      </w:r>
      <w:r w:rsidRPr="00F71796">
        <w:rPr>
          <w:rFonts w:ascii="Times New Roman" w:hAnsi="Times New Roman" w:cs="Times New Roman"/>
          <w:sz w:val="28"/>
          <w:szCs w:val="28"/>
          <w:lang w:val="kk-KZ"/>
        </w:rPr>
        <w:t xml:space="preserve">. Как следствие, преодоление барьеров требует дифференцированного подхода: для МСП </w:t>
      </w:r>
      <w:r w:rsidR="009D20AE">
        <w:rPr>
          <w:rFonts w:ascii="Times New Roman" w:hAnsi="Times New Roman" w:cs="Times New Roman"/>
          <w:sz w:val="28"/>
          <w:szCs w:val="28"/>
          <w:lang w:val="kk-KZ"/>
        </w:rPr>
        <w:t>–</w:t>
      </w:r>
      <w:r w:rsidRPr="00F71796">
        <w:rPr>
          <w:rFonts w:ascii="Times New Roman" w:hAnsi="Times New Roman" w:cs="Times New Roman"/>
          <w:sz w:val="28"/>
          <w:szCs w:val="28"/>
          <w:lang w:val="kk-KZ"/>
        </w:rPr>
        <w:t xml:space="preserve"> расширения доступа к финансированию и программам цифровой адаптации, для крупных предприятий </w:t>
      </w:r>
      <w:r w:rsidR="009D20AE">
        <w:rPr>
          <w:rFonts w:ascii="Times New Roman" w:hAnsi="Times New Roman" w:cs="Times New Roman"/>
          <w:sz w:val="28"/>
          <w:szCs w:val="28"/>
          <w:lang w:val="kk-KZ"/>
        </w:rPr>
        <w:t>–</w:t>
      </w:r>
      <w:r w:rsidRPr="00F71796">
        <w:rPr>
          <w:rFonts w:ascii="Times New Roman" w:hAnsi="Times New Roman" w:cs="Times New Roman"/>
          <w:sz w:val="28"/>
          <w:szCs w:val="28"/>
          <w:lang w:val="kk-KZ"/>
        </w:rPr>
        <w:t xml:space="preserve"> трансформации организационной структуры и усиления инновационной культуры.</w:t>
      </w:r>
    </w:p>
    <w:p w14:paraId="552BAC15" w14:textId="77777777" w:rsidR="00F71796" w:rsidRPr="00F71796" w:rsidRDefault="00F71796" w:rsidP="002F33D0">
      <w:pPr>
        <w:spacing w:after="0" w:line="240" w:lineRule="auto"/>
        <w:ind w:firstLine="567"/>
        <w:jc w:val="both"/>
        <w:rPr>
          <w:rFonts w:ascii="Times New Roman" w:hAnsi="Times New Roman" w:cs="Times New Roman"/>
          <w:sz w:val="28"/>
          <w:szCs w:val="28"/>
          <w:lang w:val="kk-KZ"/>
        </w:rPr>
      </w:pPr>
      <w:r w:rsidRPr="00F71796">
        <w:rPr>
          <w:rFonts w:ascii="Times New Roman" w:hAnsi="Times New Roman" w:cs="Times New Roman"/>
          <w:sz w:val="28"/>
          <w:szCs w:val="28"/>
          <w:lang w:val="kk-KZ"/>
        </w:rPr>
        <w:t>Государственная поддержка заслуживает отдельного рассмотрения как ключевой элемент институциональной среды, способный выступать как драйвером, так и барьером инновационного развития. Как показывает анализ, её влияние во многом определяется качеством институтов, уровнем прозрачности процедур и степенью ориентации на реальные потребности предпринимательских структур.</w:t>
      </w:r>
    </w:p>
    <w:p w14:paraId="45052E9D" w14:textId="648FC272" w:rsidR="00F71796" w:rsidRPr="00F71796" w:rsidRDefault="00F71796" w:rsidP="002F33D0">
      <w:pPr>
        <w:spacing w:after="0" w:line="240" w:lineRule="auto"/>
        <w:ind w:firstLine="567"/>
        <w:jc w:val="both"/>
        <w:rPr>
          <w:rFonts w:ascii="Times New Roman" w:hAnsi="Times New Roman" w:cs="Times New Roman"/>
          <w:sz w:val="28"/>
          <w:szCs w:val="28"/>
          <w:lang w:val="kk-KZ"/>
        </w:rPr>
      </w:pPr>
      <w:r w:rsidRPr="00F71796">
        <w:rPr>
          <w:rFonts w:ascii="Times New Roman" w:hAnsi="Times New Roman" w:cs="Times New Roman"/>
          <w:sz w:val="28"/>
          <w:szCs w:val="28"/>
          <w:lang w:val="kk-KZ"/>
        </w:rPr>
        <w:t xml:space="preserve">С одной стороны, активная и адресная инновационная политика государства формирует значимые стимулы для предприятий, особенно малых и средних, ограниченных ресурсами. Предоставление грантов, субсидирование НИОКР, налоговые льготы для инновационно активных компаний, развитие инновационных кластеров и технопарков </w:t>
      </w:r>
      <w:r w:rsidR="009D20AE">
        <w:rPr>
          <w:rFonts w:ascii="Times New Roman" w:hAnsi="Times New Roman" w:cs="Times New Roman"/>
          <w:sz w:val="28"/>
          <w:szCs w:val="28"/>
          <w:lang w:val="kk-KZ"/>
        </w:rPr>
        <w:t>–</w:t>
      </w:r>
      <w:r w:rsidRPr="00F71796">
        <w:rPr>
          <w:rFonts w:ascii="Times New Roman" w:hAnsi="Times New Roman" w:cs="Times New Roman"/>
          <w:sz w:val="28"/>
          <w:szCs w:val="28"/>
          <w:lang w:val="kk-KZ"/>
        </w:rPr>
        <w:t xml:space="preserve"> всё это способствует снижению издержек и рисков, а также расширяет доступ бизнеса к инфраструктуре и знаниям. Эмпирические исследования подтверждают, что прямые субсидии на НИОКР и иные формы финансовой поддержки статистически значимо стимулируют технологические инновации на уровне предприятий </w:t>
      </w:r>
      <w:r w:rsidR="00AA051F">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{"citationID":"a1bidq9vh96","properties":{"formattedCitation":"[35,123]","plainCitation":"[35,123]","noteIndex":0},"citationItems":[{"id":181,"uris":["http://zotero.org/users/16887523/items/EJTCB9EV"],"itemData":{"id":181,"type":"article-journal","abstract":"Small and Medium-sized Enterprises (SMEs) play a critical role in national economic development, driving employment, innovation, and regional growth. However, underserved SMEs often face barriers to accessing financial services, limiting their potential. This study examines how investments in scalable financial infrastructure, including federal programs such as Simples Nacional and PRONAMPE, can strengthen economic inclusion, foster innovation, and support regional recovery. Using a qualitative methodology that analyzes policy documents, case studies, and international reports, the findings indicate that targeted financial support enhances SME resilience, promotes equitable growth, and stimulates innovation. The results highlight the importance of strategic, inclusive financial policies for leveraging the full economic potential of underserved SMEs.","container-title":"Brazilian Journal of Development","DOI":"10.34117/bjdv11n9-070","ISSN":"2525-8761","issue":"9","journalAbbreviation":"Braz. J. Develop.","page":"e82365","source":"DOI.org (Crossref)","title":"National importance of support to unserved SMEs through financial infrastructure: strengthening inclusion, innovation and regional recovery","title-short":"National importance of support to unserved SMEs through financial infrastructure","URL":"https://ojs.brazilianjournals.com.br/ojs/index.php/BRJD/article/view/82365","volume":"11","author":[{"family":"Ghirelli","given":"Hosana Lopes"}],"accessed":{"date-parts":[["2025",11,22]]},"issued":{"date-parts":[["2025",9,24]]}}},{"id":84,"uris":["http://zotero.org/users/16887523/items/37JK2HMN"],"itemData":{"id":84,"type":"article-journal","abstract":"ABSTRACT\n            Empirical studies on firm‐level eco‐innovation (EI) largely focus on developed countries, leaving Emerging Market Economies (EMEs) underexplored despite their pivotal role in sustainable development and their distinct institutional environments. EMEs also face urgency as trading partners adopt environmental regulations, such as the European Green Deal and the Carbon Border Adjustment Mechanism. To address this gap, this study investigates EI adoption in Turkish Small and Medium‐sized Enterprises (SMEs), a representative case of EMEs. The research builds on a Schumpeterian view of innovation, emphasizing appropriation risks, the ‘double externality,’ and the ‘triple helix’ problem. We use a recently released, unexplored dataset to address two questions: (1) Do Turkish SMEs rely more on internal resources (financial and technical) or on external support to adopt EI? (2) When external support is limited, do governmental grants or subsidies effectively stimulate EI? Our results show that Turkish SMEs predominantly depend on self‐financing and in‐house expertise, while governmental grants and subsidies are statistically insignificant. Institutional factors—such as inter‐sectoral cooperation, financial advice, and regulatory clarity—emerge as significant determinants. Moreover, younger firms are more likely to adopt EI, while older firms risk being locked into established routines. These findings highlight structural climate financing gaps and the danger of subsidy misallocation (“zombification”) in EMEs. Policy implications extend beyond Türkiye: effective promotion of EI in EMEs requires climate‐targeted subsidy design, improved access to finance, and less punitive insolvency regimes. Embedding these measures in stronger institutional settings enables SMEs to view EI as a strategic investment rather than a short‐term cost.","container-title":"Sustainable Development","DOI":"10.1002/sd.70260","ISSN":"0968-0802, 1099-1719","journalAbbreviation":"Sustainable Development","language":"en","page":"sd.70260","source":"DOI.org (Crossref)","title":"Financing Eco‐Innovation in an Emerging Economy: The Role of Internal Resources, External Support and Government in Turkish &lt;span style=\"font-variant:small-caps;\"&gt;SMEs&lt;/span&gt;","title-short":"Financing Eco‐Innovation in an Emerging Economy","URL":"https://onlinelibrary.wiley.com/doi/10.1002/sd.70260","author":[{"family":"Austin","given":"Arslan"},{"family":"Alataş","given":"Sedat"},{"family":"Agbonifi","given":"Darlington"}],"accessed":{"date-parts":[["2025",11,22]]},"issued":{"date-parts":[["2025",9,22]]}}}],"schema":"https://github.com/citation-style-language/schema/raw/master/csl-citation.json"} </w:instrText>
      </w:r>
      <w:r w:rsidR="00AA051F">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[35,123]</w:t>
      </w:r>
      <w:r w:rsidR="00AA051F">
        <w:rPr>
          <w:rFonts w:ascii="Times New Roman" w:hAnsi="Times New Roman" w:cs="Times New Roman"/>
          <w:sz w:val="28"/>
          <w:szCs w:val="28"/>
          <w:lang w:val="kk-KZ"/>
        </w:rPr>
        <w:fldChar w:fldCharType="end"/>
      </w:r>
      <w:r w:rsidRPr="00F71796">
        <w:rPr>
          <w:rFonts w:ascii="Times New Roman" w:hAnsi="Times New Roman" w:cs="Times New Roman"/>
          <w:sz w:val="28"/>
          <w:szCs w:val="28"/>
          <w:lang w:val="kk-KZ"/>
        </w:rPr>
        <w:t xml:space="preserve">. Кроме того, современные формы господдержки, основанные на цифровых решениях </w:t>
      </w:r>
      <w:r w:rsidR="009D20AE">
        <w:rPr>
          <w:rFonts w:ascii="Times New Roman" w:hAnsi="Times New Roman" w:cs="Times New Roman"/>
          <w:sz w:val="28"/>
          <w:szCs w:val="28"/>
          <w:lang w:val="kk-KZ"/>
        </w:rPr>
        <w:t>–</w:t>
      </w:r>
      <w:r w:rsidRPr="00F71796">
        <w:rPr>
          <w:rFonts w:ascii="Times New Roman" w:hAnsi="Times New Roman" w:cs="Times New Roman"/>
          <w:sz w:val="28"/>
          <w:szCs w:val="28"/>
          <w:lang w:val="kk-KZ"/>
        </w:rPr>
        <w:t xml:space="preserve"> финтех-платформах, гарантийных фондах, онлайн-грантовых системах </w:t>
      </w:r>
      <w:r w:rsidR="009D20AE">
        <w:rPr>
          <w:rFonts w:ascii="Times New Roman" w:hAnsi="Times New Roman" w:cs="Times New Roman"/>
          <w:sz w:val="28"/>
          <w:szCs w:val="28"/>
          <w:lang w:val="kk-KZ"/>
        </w:rPr>
        <w:t>–</w:t>
      </w:r>
      <w:r w:rsidRPr="00F71796">
        <w:rPr>
          <w:rFonts w:ascii="Times New Roman" w:hAnsi="Times New Roman" w:cs="Times New Roman"/>
          <w:sz w:val="28"/>
          <w:szCs w:val="28"/>
          <w:lang w:val="kk-KZ"/>
        </w:rPr>
        <w:t xml:space="preserve"> обеспечивают более широкий доступ МСП к финансовым ресурсам и повышают их инновационную активность. Таким образом, продуманная и технологически адаптированная господдержка выступает мощным драйвером инноваций, особенно в контексте цифровой адаптации малого и среднего бизнеса.</w:t>
      </w:r>
    </w:p>
    <w:p w14:paraId="3410FC86" w14:textId="29CF4D59" w:rsidR="00F71796" w:rsidRPr="00F71796" w:rsidRDefault="00F71796" w:rsidP="002F33D0">
      <w:pPr>
        <w:spacing w:after="0" w:line="240" w:lineRule="auto"/>
        <w:ind w:firstLine="567"/>
        <w:jc w:val="both"/>
        <w:rPr>
          <w:rFonts w:ascii="Times New Roman" w:hAnsi="Times New Roman" w:cs="Times New Roman"/>
          <w:sz w:val="28"/>
          <w:szCs w:val="28"/>
          <w:lang w:val="kk-KZ"/>
        </w:rPr>
      </w:pPr>
      <w:r w:rsidRPr="00F71796">
        <w:rPr>
          <w:rFonts w:ascii="Times New Roman" w:hAnsi="Times New Roman" w:cs="Times New Roman"/>
          <w:sz w:val="28"/>
          <w:szCs w:val="28"/>
          <w:lang w:val="kk-KZ"/>
        </w:rPr>
        <w:t xml:space="preserve">С другой стороны, при низкой институциональной эффективности государственная политика способна превращаться в фактор, ограничивающий инновации. Регуляторная непоследовательность, избыточная зарегулированность и частая смена правил игры снижают предсказуемость и мотивацию бизнеса к долгосрочным инвестициям </w:t>
      </w:r>
      <w:r w:rsidR="00AA051F">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{"citationID":"a7r44f5o3a","properties":{"formattedCitation":"[124]","plainCitation":"[124]","noteIndex":0},"citationItems":[{"id":182,"uris":["http://zotero.org/users/16887523/items/U7F89WIQ"],"itemData":{"id":182,"type":"article-journal","abstract":"This study aims to analyze the influence of digital marketing and product innovation on the marketing performance of micro culinary businesses in Depok City, with government support as a moderating variable. The background of this research stems from the importance of optimizing digital-based marketing strategies and product innovation to enhance MSME competitiveness, especially amid high market competition and changing consumer behavior. This research employed a quantitative methodology, utilizing surveys to collect data from 101 micro culinary business owners who were chosen using purposive sampling techniques. The data was analyzed through Structural Equation Modeling using the Partial Least Squares method via SmartPLS software. Findings revealed that digital marketing significantly and positively influences marketing performance, demonstrated by a path coefficient of 0.554. However, product innovation did not demonstrate a statistically significant impact on marketing performance. Additionally, government support failed to serve as a meaningful moderator in the relationships between both digital marketing and product innovation with marketing performance outcomes. Overall, the model explains 38.6% of the variation in marketing performance. These findings indicate that digital marketing strategy is a key factor in improving MSME marketing performance, while the role of product innovation and government intervention has not yet provided strong statistical contribution in the context of this study.","container-title":"MARGINAL JOURNAL OF MANAGEMENT ACCOUNTING GENERAL FINANCE AND INTERNATIONAL ECONOMIC ISSUES","DOI":"10.55047/marginal.v4i4.1878","ISSN":"2809-8013, 2809-9222","issue":"4","journalAbbreviation":"J. Manag. Account. Gen. Financ. Int. Econ. Issues","license":"https://creativecommons.org/licenses/by/4.0","page":"1070-1085","source":"DOI.org (Crossref)","title":"The Influence of Digital Marketing and Product Innovation on Marketing Performance with Government Support as a Moderating Variable: A Study on Micro Culinary Enterprises in Depok City","title-short":"The Influence of Digital Marketing and Product Innovation on Marketing Performance with Government Support as a Moderating Variable","URL":"https://ojs.transpublika.com/index.php/MARGINAL/article/view/1878","volume":"4","author":[{"family":"Jannah","given":"Roihatul"},{"family":"Sudarman","given":"Daman"}],"accessed":{"date-parts":[["2025",11,22]]},"issued":{"date-parts":[["2025",8,30]]}}}],"schema":"https://github.com/citation-style-language/schema/raw/master/csl-citation.json"} </w:instrText>
      </w:r>
      <w:r w:rsidR="00AA051F">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[124]</w:t>
      </w:r>
      <w:r w:rsidR="00AA051F">
        <w:rPr>
          <w:rFonts w:ascii="Times New Roman" w:hAnsi="Times New Roman" w:cs="Times New Roman"/>
          <w:sz w:val="28"/>
          <w:szCs w:val="28"/>
          <w:lang w:val="kk-KZ"/>
        </w:rPr>
        <w:fldChar w:fldCharType="end"/>
      </w:r>
      <w:r w:rsidRPr="00F71796">
        <w:rPr>
          <w:rFonts w:ascii="Times New Roman" w:hAnsi="Times New Roman" w:cs="Times New Roman"/>
          <w:sz w:val="28"/>
          <w:szCs w:val="28"/>
          <w:lang w:val="kk-KZ"/>
        </w:rPr>
        <w:t xml:space="preserve">. Бюрократические </w:t>
      </w:r>
      <w:r w:rsidRPr="00F71796">
        <w:rPr>
          <w:rFonts w:ascii="Times New Roman" w:hAnsi="Times New Roman" w:cs="Times New Roman"/>
          <w:sz w:val="28"/>
          <w:szCs w:val="28"/>
          <w:lang w:val="kk-KZ"/>
        </w:rPr>
        <w:lastRenderedPageBreak/>
        <w:t xml:space="preserve">барьеры и сложные процедуры получения поддержки фактически исключают из участия значительную часть малых предприятий. Более того, несправедливое или непрозрачное распределение ресурсов подрывает доверие предпринимательского сектора. В ряде случаев избыточная поддержка приводит к эффекту замещения: компании полагаются на государственные субсидии и сокращают собственные усилия по поиску инновационных решений, что снижает общую результативность инновационной политики </w:t>
      </w:r>
      <w:r w:rsidR="00AA051F">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{"citationID":"a2dhi7insrl","properties":{"formattedCitation":"[125]","plainCitation":"[125]","noteIndex":0},"citationItems":[{"id":183,"uris":["http://zotero.org/users/16887523/items/FQN682MW"],"itemData":{"id":183,"type":"article-journal","abstract":"Resource bricolage, centered on breaking through resource constraints, emphasizes providing innovation momentum for new ventures by creatively reorganizing existing resources at hand. Existing studies have confirmed that resource bricolage exerts an impact on corporate innovation, yet explorations into this approach’s mechanism of action remain insufficient. Based on resource bricolage theory and organizational ambidexterity theory, this study constructs a theoretical framework of “resource bricolage–ambidextrous learning–micro-innovation”. Using 319 new ventures as samples, hierarchical regression analysis is adopted to empirically test the mediating effect of ambidextrous learning and the moderating effects of government support and customer participation. The results show that resource bricolage has a significant positive impact on micro-innovation, with ambidextrous learning playing a partial mediating role. The research conclusions indicate that under resource-constrained contexts, new ventures can activate idle resources and improve resource efficiency through resource bricolage, thereby reducing reliance on new resource inputs. Under this method, new ventures can also rely on ambidextrous learning to accumulate knowledge and capabilities, laying the foundation for the continuous improvement of micro-innovation and further leverage government support to stabilize resource supply and absorb customer participation to align with market demand. This mechanism ultimately enables the achievement of micro-innovation while enhancing its sustainability. This study enriches resource bricolage theory by unpacking the “resource–learning–innovation” mechanism and provides practical guidance for new ventures to leverage resource bricolage and external support for micro-innovation under resource constraints, which is of reference value for sustainable entrepreneurial practices.","container-title":"Sustainability","DOI":"10.3390/su17177786","ISSN":"2071-1050","issue":"17","journalAbbreviation":"Sustainability","language":"en","page":"7786","source":"DOI.org (Crossref)","title":"An Exploration of the Influence Mechanism of Resource Bricolage and Ambidextrous Learning on Micro-Innovation in New Ventures: The Moderating Roles of Customer Participation and Government Support","title-short":"An Exploration of the Influence Mechanism of Resource Bricolage and Ambidextrous Learning on Micro-Innovation in New Ventures","URL":"https://www.mdpi.com/2071-1050/17/17/7786","volume":"17","author":[{"family":"Li","given":"Weiming"},{"family":"Cao","given":"Boyang"},{"family":"Li","given":"Chunyan"}],"accessed":{"date-parts":[["2025",11,22]]},"issued":{"date-parts":[["2025",8,29]]}}}],"schema":"https://github.com/citation-style-language/schema/raw/master/csl-citation.json"} </w:instrText>
      </w:r>
      <w:r w:rsidR="00AA051F">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[125]</w:t>
      </w:r>
      <w:r w:rsidR="00AA051F">
        <w:rPr>
          <w:rFonts w:ascii="Times New Roman" w:hAnsi="Times New Roman" w:cs="Times New Roman"/>
          <w:sz w:val="28"/>
          <w:szCs w:val="28"/>
          <w:lang w:val="kk-KZ"/>
        </w:rPr>
        <w:fldChar w:fldCharType="end"/>
      </w:r>
      <w:r w:rsidRPr="00F71796">
        <w:rPr>
          <w:rFonts w:ascii="Times New Roman" w:hAnsi="Times New Roman" w:cs="Times New Roman"/>
          <w:sz w:val="28"/>
          <w:szCs w:val="28"/>
          <w:lang w:val="kk-KZ"/>
        </w:rPr>
        <w:t>.</w:t>
      </w:r>
    </w:p>
    <w:p w14:paraId="446084F1" w14:textId="04D15366" w:rsidR="00F71796" w:rsidRPr="00F71796" w:rsidRDefault="00F71796" w:rsidP="002F33D0">
      <w:pPr>
        <w:spacing w:after="0" w:line="240" w:lineRule="auto"/>
        <w:ind w:firstLine="567"/>
        <w:jc w:val="both"/>
        <w:rPr>
          <w:rFonts w:ascii="Times New Roman" w:hAnsi="Times New Roman" w:cs="Times New Roman"/>
          <w:sz w:val="28"/>
          <w:szCs w:val="28"/>
          <w:lang w:val="kk-KZ"/>
        </w:rPr>
      </w:pPr>
      <w:r w:rsidRPr="00F71796">
        <w:rPr>
          <w:rFonts w:ascii="Times New Roman" w:hAnsi="Times New Roman" w:cs="Times New Roman"/>
          <w:sz w:val="28"/>
          <w:szCs w:val="28"/>
          <w:lang w:val="kk-KZ"/>
        </w:rPr>
        <w:t xml:space="preserve">Таким образом, двойственная природа государственной поддержки проявляется в её способности компенсировать рыночные провалы при эффективной реализации и, напротив, усиливать институциональные дисфункции при недостаточной прозрачности и доступности. Для развивающихся экономик, таких как Казахстан, данная проблема имеет особое значение. Несмотря на провозглашённый приоритет инновационной политики, малые и средние предприятия по-прежнему сталкиваются с трудностями в получении поддержки и ограниченным доступом к цифровым механизмам взаимодействия с государственными институтами </w:t>
      </w:r>
      <w:r w:rsidR="00AA051F">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{"citationID":"a1dqckvqpvh","properties":{"formattedCitation":"[126]","plainCitation":"[126]","noteIndex":0},"citationItems":[{"id":184,"uris":["http://zotero.org/users/16887523/items/QLV4JIE9"],"itemData":{"id":184,"type":"article-journal","abstract":"The digital transformation of public services in Kazakhstan, spearheaded by initiatives such as eGov.kz and E-Otinish citizen-driven digital platforms aimed at boosting public participation in government decision-making, has often been celebrated as a leap toward transparency and citizen-centered governance. However, this commentary seeks to analyze the dual-use nature of these digital systems, revealing how the same platforms used to deliver services efficiently can be leveraged to consolidate political control. Drawing on recent developments in Kazakhstan's e-government ecosystem and legislative expansions into digital surveillance capacities, the paper explores how biometric data collection, digital ID systems, and centralized information platforms intersect with authoritarian governance trends. It argues that while digital governance tools enhance service delivery, they also entrench state power in ways that may suppress dissent and inhibit democratic participation. The commentary reflects on Kazakhstan's geopolitical balancing between innovation and information control, situating the case within global trends of digital authoritarianism.","container-title":"Dialogues on Digital Society","DOI":"10.1177/29768640251379943","ISSN":"2976-8640, 2976-8640","journalAbbreviation":"Dialogues on Digital Society","language":"en","page":"29768640251379943","source":"DOI.org (Crossref)","title":"Digital governance or digital authoritarianism? The ambiguities of e-government in Kazakhstan","title-short":"Digital governance or digital authoritarianism?","URL":"https://journals.sagepub.com/doi/10.1177/29768640251379943","author":[{"family":"Dyussenov","given":"Mergen"}],"accessed":{"date-parts":[["2025",11,22]]},"issued":{"date-parts":[["2025",9,18]]}}}],"schema":"https://github.com/citation-style-language/schema/raw/master/csl-citation.json"} </w:instrText>
      </w:r>
      <w:r w:rsidR="00AA051F">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[126]</w:t>
      </w:r>
      <w:r w:rsidR="00AA051F">
        <w:rPr>
          <w:rFonts w:ascii="Times New Roman" w:hAnsi="Times New Roman" w:cs="Times New Roman"/>
          <w:sz w:val="28"/>
          <w:szCs w:val="28"/>
          <w:lang w:val="kk-KZ"/>
        </w:rPr>
        <w:fldChar w:fldCharType="end"/>
      </w:r>
      <w:r w:rsidRPr="00F71796">
        <w:rPr>
          <w:rFonts w:ascii="Times New Roman" w:hAnsi="Times New Roman" w:cs="Times New Roman"/>
          <w:sz w:val="28"/>
          <w:szCs w:val="28"/>
          <w:lang w:val="kk-KZ"/>
        </w:rPr>
        <w:t>.</w:t>
      </w:r>
    </w:p>
    <w:p w14:paraId="21F95ABA" w14:textId="77777777" w:rsidR="00F71796" w:rsidRPr="00F71796" w:rsidRDefault="00F71796" w:rsidP="002F33D0">
      <w:pPr>
        <w:spacing w:after="0" w:line="240" w:lineRule="auto"/>
        <w:ind w:firstLine="567"/>
        <w:jc w:val="both"/>
        <w:rPr>
          <w:rFonts w:ascii="Times New Roman" w:hAnsi="Times New Roman" w:cs="Times New Roman"/>
          <w:sz w:val="28"/>
          <w:szCs w:val="28"/>
          <w:lang w:val="kk-KZ"/>
        </w:rPr>
      </w:pPr>
      <w:r w:rsidRPr="00F71796">
        <w:rPr>
          <w:rFonts w:ascii="Times New Roman" w:hAnsi="Times New Roman" w:cs="Times New Roman"/>
          <w:sz w:val="28"/>
          <w:szCs w:val="28"/>
          <w:lang w:val="kk-KZ"/>
        </w:rPr>
        <w:t>Следовательно, для повышения эффективности государственной поддержки требуется переход от формального распределения ресурсов к построению цифрово-инклюзивной институциональной среды, где МСП смогут участвовать в программах на основе прозрачных онлайн-инструментов и получать рекомендации по развитию инновационного потенциала. В этом контексте усиление цифровой инфраструктуры, повышение информированности предпринимателей и внедрение систем мониторинга результативности программ становятся ключевыми условиями превращения государственной поддержки в устойчивый драйвер инновационного развития.</w:t>
      </w:r>
    </w:p>
    <w:p w14:paraId="2F7A39FD" w14:textId="18EB935D" w:rsidR="00F3062D" w:rsidRPr="00F3062D" w:rsidRDefault="00F3062D" w:rsidP="002F33D0">
      <w:pPr>
        <w:tabs>
          <w:tab w:val="left" w:pos="851"/>
        </w:tabs>
        <w:spacing w:after="0" w:line="240" w:lineRule="auto"/>
        <w:ind w:firstLine="567"/>
        <w:jc w:val="both"/>
        <w:rPr>
          <w:rFonts w:ascii="Times New Roman" w:hAnsi="Times New Roman" w:cs="Times New Roman"/>
          <w:sz w:val="28"/>
          <w:szCs w:val="28"/>
          <w:lang w:val="kk-KZ"/>
        </w:rPr>
      </w:pPr>
      <w:r w:rsidRPr="00F3062D">
        <w:rPr>
          <w:rFonts w:ascii="Times New Roman" w:hAnsi="Times New Roman" w:cs="Times New Roman"/>
          <w:sz w:val="28"/>
          <w:szCs w:val="28"/>
          <w:lang w:val="kk-KZ"/>
        </w:rPr>
        <w:t xml:space="preserve">Особого внимания заслуживает цифровизация экономики, которая в современной научной литературе рассматривается как метафактор инновационного развития </w:t>
      </w:r>
      <w:r w:rsidR="00AA051F">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{"citationID":"a1tsevpc121","properties":{"formattedCitation":"[55]","plainCitation":"[55]","noteIndex":0},"citationItems":[{"id":106,"uris":["http://zotero.org/users/16887523/items/UIPG8NSP"],"itemData":{"id":106,"type":"article-journal","abstract":"Introduction. The fintech industry has focused on its potential, as it has rethought the possibilities and put the provision of financial services in a digitally developed world on a completely different level. The digital transformation of financial services, made possible by the rapid development of new technologies that ensure reliable transactions, has boosted the growth of FinTech companies. \nAim and tasks. The study aims to comprehensively assess the determinants of the ability of FinTech companies to achieve market leadership, sustain innovation activity, and ensure regulatory compliance in the context of the financial sector’s digital transformation. \nResults. The expert survey developed a standardised codebook to evaluate 15 FinTech companies grouped into three clusters, resulting in a composite index and validating hypotheses about the factors determining growth. The regulatory environment (RE, 0.148), trust and security (TS, 0.139), and access to finance (AF, 0.117) form the core determinants, followed by technological infrastructure (TI, 0.111) and team quality (TQ, 0.108), and the remaining factors have lower relative weights (&lt;0.09). The inter-firm differences are mainly explained by the performance on the regulatory-trust and financial-technology determinants, and the sensitivity analysis shows that a 1-point (0–5) increase in RE/TS/AF increases the index by approximately +0.030/+0.028/+0.023, which quantitatively confirms their leading roles. A comparative analysis of the cohorts showed that the leaders (C1–C7) demonstrated high results (≥4 points on 9–10 factors out of 10) and significant superiority in technology infrastructure (TI) and team quality (TQ). At the same time, the remaining groups of companies had more fragmented profiles with pronounced weaknesses. \nConclusions. FinTech growth relies on a core of regulatory stability (RE), trust and security (TS), and access to finance (AF), complemented by technological infrastructure (TI) and team quality (TQ). Predictable regulation, access to capital, high-security standards, and targeted partnerships maximise the chance of “gazelle” or “unicorn” growth. A predictable regulatory environment and access to investment capital play a key role in accelerating the growth of the FinTech ecosystem. FinTech management should prioritise investments in technology infrastructure, developing highly skilled teams, creating targeted partnerships and ecosystems (PEs), and developing scalability and international expansion (SIEs) to transform high-growth companies into leaders.","container-title":"Economics Ecology Socium","DOI":"10.61954/2616-7107/2025.9.3-7","ISSN":"2616-7107, 2616-7107","issue":"3","journalAbbreviation":"ees","license":"https://creativecommons.org/licenses/by-nc/4.0/","page":"93-109","source":"DOI.org (Crossref)","title":"Assessment of Factors Influencing Market Leadership and Innovation of FinTech Companies in the Digital economy","URL":"https://ees-journal.com/index.php/journal/article/view/305","volume":"9","author":[{"family":"Anguelov","given":"Kiril"},{"family":"Stoyanova","given":"Tsvetana"}],"accessed":{"date-parts":[["2025",11,22]]},"issued":{"date-parts":[["2025",9,30]]}}}],"schema":"https://github.com/citation-style-language/schema/raw/master/csl-citation.json"} </w:instrText>
      </w:r>
      <w:r w:rsidR="00AA051F">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[55]</w:t>
      </w:r>
      <w:r w:rsidR="00AA051F">
        <w:rPr>
          <w:rFonts w:ascii="Times New Roman" w:hAnsi="Times New Roman" w:cs="Times New Roman"/>
          <w:sz w:val="28"/>
          <w:szCs w:val="28"/>
          <w:lang w:val="kk-KZ"/>
        </w:rPr>
        <w:fldChar w:fldCharType="end"/>
      </w:r>
      <w:r w:rsidRPr="00F3062D">
        <w:rPr>
          <w:rFonts w:ascii="Times New Roman" w:hAnsi="Times New Roman" w:cs="Times New Roman"/>
          <w:sz w:val="28"/>
          <w:szCs w:val="28"/>
          <w:lang w:val="kk-KZ"/>
        </w:rPr>
        <w:t>. Она способна как усиливать действие внутренних драйверов инновационного потенциала, так и смягчать влияние внешних барьеров. Цифровизация проявляется в интеграции цифровых технологий и платформ в бизнес-процессы, коммуникации и организационные модели предприятий, создавая новые инструменты, каналы и массивы данных, радикально повышающие их инновационные возможности.</w:t>
      </w:r>
    </w:p>
    <w:p w14:paraId="0F41F34E" w14:textId="77777777" w:rsidR="00F3062D" w:rsidRPr="00F3062D" w:rsidRDefault="00F3062D" w:rsidP="002F33D0">
      <w:pPr>
        <w:tabs>
          <w:tab w:val="left" w:pos="851"/>
        </w:tabs>
        <w:spacing w:after="0" w:line="240" w:lineRule="auto"/>
        <w:ind w:firstLine="567"/>
        <w:jc w:val="both"/>
        <w:rPr>
          <w:rFonts w:ascii="Times New Roman" w:hAnsi="Times New Roman" w:cs="Times New Roman"/>
          <w:sz w:val="28"/>
          <w:szCs w:val="28"/>
          <w:lang w:val="kk-KZ"/>
        </w:rPr>
      </w:pPr>
      <w:r w:rsidRPr="00F3062D">
        <w:rPr>
          <w:rFonts w:ascii="Times New Roman" w:hAnsi="Times New Roman" w:cs="Times New Roman"/>
          <w:sz w:val="28"/>
          <w:szCs w:val="28"/>
          <w:lang w:val="kk-KZ"/>
        </w:rPr>
        <w:t>Позитивное влияние цифровизации проявляется в нескольких ключевых аспектах.</w:t>
      </w:r>
    </w:p>
    <w:p w14:paraId="701FB2E7" w14:textId="5D2E4578" w:rsidR="00F3062D" w:rsidRPr="00F3062D" w:rsidRDefault="00F3062D" w:rsidP="002F33D0">
      <w:pPr>
        <w:tabs>
          <w:tab w:val="left" w:pos="851"/>
        </w:tabs>
        <w:spacing w:after="0" w:line="240" w:lineRule="auto"/>
        <w:ind w:firstLine="567"/>
        <w:jc w:val="both"/>
        <w:rPr>
          <w:rFonts w:ascii="Times New Roman" w:hAnsi="Times New Roman" w:cs="Times New Roman"/>
          <w:sz w:val="28"/>
          <w:szCs w:val="28"/>
          <w:lang w:val="kk-KZ"/>
        </w:rPr>
      </w:pPr>
      <w:r w:rsidRPr="00F3062D">
        <w:rPr>
          <w:rFonts w:ascii="Times New Roman" w:hAnsi="Times New Roman" w:cs="Times New Roman"/>
          <w:sz w:val="28"/>
          <w:szCs w:val="28"/>
          <w:lang w:val="kk-KZ"/>
        </w:rPr>
        <w:t>Во-первых, цифровые технологии снижают издержки и барьеры входа на рынок, смягчая проблему ограниченности ресурсов. Облачные сервисы, онлайн-платформы и финтех-инструменты позволяют даже малым предприятиям пользоваться современными ИТ-решениями без значительных капитальных вложений</w:t>
      </w:r>
      <w:r w:rsidR="00A5770E">
        <w:rPr>
          <w:rFonts w:ascii="Times New Roman" w:hAnsi="Times New Roman" w:cs="Times New Roman"/>
          <w:sz w:val="28"/>
          <w:szCs w:val="28"/>
          <w:lang w:val="kk-KZ"/>
        </w:rPr>
        <w:t xml:space="preserve"> </w:t>
      </w:r>
      <w:r w:rsidR="00A5770E">
        <w:rPr>
          <w:rFonts w:ascii="Times New Roman" w:hAnsi="Times New Roman" w:cs="Times New Roman"/>
          <w:sz w:val="28"/>
          <w:szCs w:val="28"/>
          <w:lang w:val="kk-KZ"/>
        </w:rPr>
        <w:fldChar w:fldCharType="begin"/>
      </w:r>
      <w:r w:rsidR="00CD052D">
        <w:rPr>
          <w:rFonts w:ascii="Times New Roman" w:hAnsi="Times New Roman" w:cs="Times New Roman"/>
          <w:sz w:val="28"/>
          <w:szCs w:val="28"/>
          <w:lang w:val="kk-KZ"/>
        </w:rPr>
        <w:instrText xml:space="preserve"> ADDIN ZOTERO_ITEM CSL_CITATION {"citationID":"a1ft3b17rpp","properties":{"formattedCitation":"[127]","plainCitation":"[127]","noteIndex":0},"citationItems":[{"id":585,"uris":["http://zotero.org/users/16887523/items/U55WW64L"],"itemData":{"id":585,"type":"paper-conference","event-title":"Қазақстанның инновациялық дамуына жастардың шығармашылығы: Студенттердің, магистранттардың және жас ғалымдардың Х Халықаралық ҒТК материалдары","page":"68-72","publisher":"Д. Серікбаев атындағы Шығыс Қазақстан техникалық университеті","publisher-place":"Өскемен","title":"Кәсіпкерлік құрылымдармен жасанды интеллектті қолданудың теориялық аспектілері","volume":"5","author":[{"family":"Бауржанов","given":"Д."},{"family":"Саденова","given":"А.М."}],"issued":{"date-parts":[["2024"]],"season":"12"}}}],"schema":"https://github.com/citation-style-language/schema/raw/master/csl-citation.json"} </w:instrText>
      </w:r>
      <w:r w:rsidR="00A5770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[127]</w:t>
      </w:r>
      <w:r w:rsidR="00A5770E">
        <w:rPr>
          <w:rFonts w:ascii="Times New Roman" w:hAnsi="Times New Roman" w:cs="Times New Roman"/>
          <w:sz w:val="28"/>
          <w:szCs w:val="28"/>
          <w:lang w:val="kk-KZ"/>
        </w:rPr>
        <w:fldChar w:fldCharType="end"/>
      </w:r>
      <w:r w:rsidRPr="00F3062D">
        <w:rPr>
          <w:rFonts w:ascii="Times New Roman" w:hAnsi="Times New Roman" w:cs="Times New Roman"/>
          <w:sz w:val="28"/>
          <w:szCs w:val="28"/>
          <w:lang w:val="kk-KZ"/>
        </w:rPr>
        <w:t xml:space="preserve">. Эмпирически установлено, что цифровая трансформация предприятий способствует снижению финансовых ограничений и высвобождению средств для инновационной деятельности. </w:t>
      </w:r>
      <w:r w:rsidR="00AA051F">
        <w:rPr>
          <w:rFonts w:ascii="Times New Roman" w:hAnsi="Times New Roman" w:cs="Times New Roman"/>
          <w:sz w:val="28"/>
          <w:szCs w:val="28"/>
          <w:lang w:val="kk-KZ"/>
        </w:rPr>
        <w:t>К</w:t>
      </w:r>
      <w:r w:rsidRPr="00F3062D">
        <w:rPr>
          <w:rFonts w:ascii="Times New Roman" w:hAnsi="Times New Roman" w:cs="Times New Roman"/>
          <w:sz w:val="28"/>
          <w:szCs w:val="28"/>
          <w:lang w:val="kk-KZ"/>
        </w:rPr>
        <w:t xml:space="preserve">омпании, активно внедряющие цифровые технологии, получают доступ к альтернативным </w:t>
      </w:r>
      <w:r w:rsidRPr="00F3062D">
        <w:rPr>
          <w:rFonts w:ascii="Times New Roman" w:hAnsi="Times New Roman" w:cs="Times New Roman"/>
          <w:sz w:val="28"/>
          <w:szCs w:val="28"/>
          <w:lang w:val="kk-KZ"/>
        </w:rPr>
        <w:lastRenderedPageBreak/>
        <w:t>источникам финансирования (финтех-платформы, краудфандинг), оптимизируют издержки и направляют больше ресурсов на НИОКР</w:t>
      </w:r>
      <w:r w:rsidR="00AA051F">
        <w:rPr>
          <w:rFonts w:ascii="Times New Roman" w:hAnsi="Times New Roman" w:cs="Times New Roman"/>
          <w:sz w:val="28"/>
          <w:szCs w:val="28"/>
          <w:lang w:val="kk-KZ"/>
        </w:rPr>
        <w:t xml:space="preserve"> </w:t>
      </w:r>
      <w:r w:rsidR="00AA051F">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{"citationID":"ajl3digni3","properties":{"formattedCitation":"[55]","plainCitation":"[55]","noteIndex":0},"citationItems":[{"id":106,"uris":["http://zotero.org/users/16887523/items/UIPG8NSP"],"itemData":{"id":106,"type":"article-journal","abstract":"Introduction. The fintech industry has focused on its potential, as it has rethought the possibilities and put the provision of financial services in a digitally developed world on a completely different level. The digital transformation of financial services, made possible by the rapid development of new technologies that ensure reliable transactions, has boosted the growth of FinTech companies. \nAim and tasks. The study aims to comprehensively assess the determinants of the ability of FinTech companies to achieve market leadership, sustain innovation activity, and ensure regulatory compliance in the context of the financial sector’s digital transformation. \nResults. The expert survey developed a standardised codebook to evaluate 15 FinTech companies grouped into three clusters, resulting in a composite index and validating hypotheses about the factors determining growth. The regulatory environment (RE, 0.148), trust and security (TS, 0.139), and access to finance (AF, 0.117) form the core determinants, followed by technological infrastructure (TI, 0.111) and team quality (TQ, 0.108), and the remaining factors have lower relative weights (&lt;0.09). The inter-firm differences are mainly explained by the performance on the regulatory-trust and financial-technology determinants, and the sensitivity analysis shows that a 1-point (0–5) increase in RE/TS/AF increases the index by approximately +0.030/+0.028/+0.023, which quantitatively confirms their leading roles. A comparative analysis of the cohorts showed that the leaders (C1–C7) demonstrated high results (≥4 points on 9–10 factors out of 10) and significant superiority in technology infrastructure (TI) and team quality (TQ). At the same time, the remaining groups of companies had more fragmented profiles with pronounced weaknesses. \nConclusions. FinTech growth relies on a core of regulatory stability (RE), trust and security (TS), and access to finance (AF), complemented by technological infrastructure (TI) and team quality (TQ). Predictable regulation, access to capital, high-security standards, and targeted partnerships maximise the chance of “gazelle” or “unicorn” growth. A predictable regulatory environment and access to investment capital play a key role in accelerating the growth of the FinTech ecosystem. FinTech management should prioritise investments in technology infrastructure, developing highly skilled teams, creating targeted partnerships and ecosystems (PEs), and developing scalability and international expansion (SIEs) to transform high-growth companies into leaders.","container-title":"Economics Ecology Socium","DOI":"10.61954/2616-7107/2025.9.3-7","ISSN":"2616-7107, 2616-7107","issue":"3","journalAbbreviation":"ees","license":"https://creativecommons.org/licenses/by-nc/4.0/","page":"93-109","source":"DOI.org (Crossref)","title":"Assessment of Factors Influencing Market Leadership and Innovation of FinTech Companies in the Digital economy","URL":"https://ees-journal.com/index.php/journal/article/view/305","volume":"9","author":[{"family":"Anguelov","given":"Kiril"},{"family":"Stoyanova","given":"Tsvetana"}],"accessed":{"date-parts":[["2025",11,22]]},"issued":{"date-parts":[["2025",9,30]]}}}],"schema":"https://github.com/citation-style-language/schema/raw/master/csl-citation.json"} </w:instrText>
      </w:r>
      <w:r w:rsidR="00AA051F">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[55]</w:t>
      </w:r>
      <w:r w:rsidR="00AA051F">
        <w:rPr>
          <w:rFonts w:ascii="Times New Roman" w:hAnsi="Times New Roman" w:cs="Times New Roman"/>
          <w:sz w:val="28"/>
          <w:szCs w:val="28"/>
          <w:lang w:val="kk-KZ"/>
        </w:rPr>
        <w:fldChar w:fldCharType="end"/>
      </w:r>
      <w:r w:rsidRPr="00F3062D">
        <w:rPr>
          <w:rFonts w:ascii="Times New Roman" w:hAnsi="Times New Roman" w:cs="Times New Roman"/>
          <w:sz w:val="28"/>
          <w:szCs w:val="28"/>
          <w:lang w:val="kk-KZ"/>
        </w:rPr>
        <w:t>.</w:t>
      </w:r>
    </w:p>
    <w:p w14:paraId="46B1E687" w14:textId="079FF3F4" w:rsidR="00F3062D" w:rsidRPr="00F3062D" w:rsidRDefault="00F3062D" w:rsidP="002F33D0">
      <w:pPr>
        <w:tabs>
          <w:tab w:val="left" w:pos="851"/>
        </w:tabs>
        <w:spacing w:after="0" w:line="240" w:lineRule="auto"/>
        <w:ind w:firstLine="567"/>
        <w:jc w:val="both"/>
        <w:rPr>
          <w:rFonts w:ascii="Times New Roman" w:hAnsi="Times New Roman" w:cs="Times New Roman"/>
          <w:sz w:val="28"/>
          <w:szCs w:val="28"/>
          <w:lang w:val="kk-KZ"/>
        </w:rPr>
      </w:pPr>
      <w:r w:rsidRPr="00F3062D">
        <w:rPr>
          <w:rFonts w:ascii="Times New Roman" w:hAnsi="Times New Roman" w:cs="Times New Roman"/>
          <w:sz w:val="28"/>
          <w:szCs w:val="28"/>
          <w:lang w:val="kk-KZ"/>
        </w:rPr>
        <w:t>Во-вторых, цифровизация расширяет внешние связи предпринимательских структур. Интернет и сетевые технологии упрощают поиск партнёров, взаимодействие с поставщиками и координацию совместных проектов</w:t>
      </w:r>
      <w:r w:rsidR="00506F93">
        <w:rPr>
          <w:rFonts w:ascii="Times New Roman" w:hAnsi="Times New Roman" w:cs="Times New Roman"/>
          <w:sz w:val="28"/>
          <w:szCs w:val="28"/>
          <w:lang w:val="kk-KZ"/>
        </w:rPr>
        <w:t xml:space="preserve"> </w:t>
      </w:r>
      <w:r w:rsidR="00506F93">
        <w:rPr>
          <w:rFonts w:ascii="Times New Roman" w:hAnsi="Times New Roman" w:cs="Times New Roman"/>
          <w:sz w:val="28"/>
          <w:szCs w:val="28"/>
          <w:lang w:val="kk-KZ"/>
        </w:rPr>
        <w:fldChar w:fldCharType="begin"/>
      </w:r>
      <w:r w:rsidR="00CD052D">
        <w:rPr>
          <w:rFonts w:ascii="Times New Roman" w:hAnsi="Times New Roman" w:cs="Times New Roman"/>
          <w:sz w:val="28"/>
          <w:szCs w:val="28"/>
          <w:lang w:val="kk-KZ"/>
        </w:rPr>
        <w:instrText xml:space="preserve"> ADDIN ZOTERO_ITEM CSL_CITATION {"citationID":"a9rivjuqfc","properties":{"formattedCitation":"[128]","plainCitation":"[128]","noteIndex":0},"citationItems":[{"id":185,"uris":["http://zotero.org/users/16887523/items/M5U8PIWD"],"itemData":{"id":185,"type":"article-journal","abstract":"With the advent of the digital era, digital transformation has become a core driving force for global enterprise development. As an important component of the national economy, small and medium-sized enterprises (SMEs) play a significant role in promoting economic growth and innovation. However, due to limited resources, insufficient technological accumulation, and loose management systems, SMEs face numerous challenges in the process of digital transformation. This paper explores optimization strategies for the strategic adaptation paths of SMEs under the background of digital transformation, focusing on analyzing the impact of digital transformation on SMEs’ strategic adaptation. It further proposes corresponding optimization paths by integrating technological innovation, market orientation, organizational structure, and management model innovation. By thoroughly examining the strategic adjustment mechanisms of SMEs in the process of digital transformation, this paper aims to provide effective strategic guidance for SMEs to achieve long-term sustainable development amidst the digital wave.","container-title":"Journal of Modern Business and Economics","DOI":"10.70767/jmbe.v2i3.572","ISSN":"3065-2952, 3065-2987","issue":"3","journalAbbreviation":"JMBE","license":"https://creativecommons.org/licenses/by-nc/4.0","source":"DOI.org (Crossref)","title":"Exploring Strategic Adaptation Paths of Small and Medium-Sized Enterprises in the Context of Digital Transformation","URL":"https://www.atlantic-press-journals.com/index.php/JMBE/article/view/572","volume":"2","author":[{"family":"Xue","given":"Yanrong"}],"accessed":{"date-parts":[["2025",11,22]]},"issued":{"date-parts":[["2025",8,19]]}}}],"schema":"https://github.com/citation-style-language/schema/raw/master/csl-citation.json"} </w:instrText>
      </w:r>
      <w:r w:rsidR="00506F93">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[128]</w:t>
      </w:r>
      <w:r w:rsidR="00506F93">
        <w:rPr>
          <w:rFonts w:ascii="Times New Roman" w:hAnsi="Times New Roman" w:cs="Times New Roman"/>
          <w:sz w:val="28"/>
          <w:szCs w:val="28"/>
          <w:lang w:val="kk-KZ"/>
        </w:rPr>
        <w:fldChar w:fldCharType="end"/>
      </w:r>
      <w:r w:rsidRPr="00F3062D">
        <w:rPr>
          <w:rFonts w:ascii="Times New Roman" w:hAnsi="Times New Roman" w:cs="Times New Roman"/>
          <w:sz w:val="28"/>
          <w:szCs w:val="28"/>
          <w:lang w:val="kk-KZ"/>
        </w:rPr>
        <w:t>. Даже небольшие фирмы из развивающихся стран могут с помощью цифровых платформ сотрудничать с международными партнёрами, участвовать в глобальных цепочках поставок и продавать инновационные продукты на внешние рынки. Тем самым усиливается эффект открытых инноваций и сетевой кооперации, о котором упоминалось ранее.</w:t>
      </w:r>
    </w:p>
    <w:p w14:paraId="52502224" w14:textId="10310660" w:rsidR="00F3062D" w:rsidRPr="00F3062D" w:rsidRDefault="00F3062D" w:rsidP="002F33D0">
      <w:pPr>
        <w:tabs>
          <w:tab w:val="left" w:pos="851"/>
        </w:tabs>
        <w:spacing w:after="0" w:line="240" w:lineRule="auto"/>
        <w:ind w:firstLine="567"/>
        <w:jc w:val="both"/>
        <w:rPr>
          <w:rFonts w:ascii="Times New Roman" w:hAnsi="Times New Roman" w:cs="Times New Roman"/>
          <w:sz w:val="28"/>
          <w:szCs w:val="28"/>
          <w:lang w:val="kk-KZ"/>
        </w:rPr>
      </w:pPr>
      <w:r w:rsidRPr="00F3062D">
        <w:rPr>
          <w:rFonts w:ascii="Times New Roman" w:hAnsi="Times New Roman" w:cs="Times New Roman"/>
          <w:sz w:val="28"/>
          <w:szCs w:val="28"/>
          <w:lang w:val="kk-KZ"/>
        </w:rPr>
        <w:t>В-третьих, цифровые инструменты повышают эффективность управления и принятия решений, усиливая роль управленческого фактора инновационного потенциала. Аналитика больших данных и технологии искусственного интеллекта предоставляют руководству новые возможности для выявления перспективных направлений, ускоренного тестирования продуктов (например, через цифровые двойники) и оперативного получения обратной связи от потребителей</w:t>
      </w:r>
      <w:r w:rsidR="00506F93">
        <w:rPr>
          <w:rFonts w:ascii="Times New Roman" w:hAnsi="Times New Roman" w:cs="Times New Roman"/>
          <w:sz w:val="28"/>
          <w:szCs w:val="28"/>
          <w:lang w:val="kk-KZ"/>
        </w:rPr>
        <w:t xml:space="preserve"> </w:t>
      </w:r>
      <w:r w:rsidR="00506F93">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{"citationID":"ad1ti705ai","properties":{"formattedCitation":"[129]","plainCitation":"[129]","noteIndex":0},"citationItems":[{"id":186,"uris":["http://zotero.org/users/16887523/items/4TZ9RMRS"],"itemData":{"id":186,"type":"article-journal","abstract":"With the continuous improvement of the digitalization level of enterprises, business data presents the characteristics of multi-source, high-dimensional and strong time series. Traditional analysis methods are difficult to meet the needs of dynamic prediction and risk identification. This paper designs and implements an enterprise business data analysis system based on artificial intelligence, integrates the LSTM-Attention model for trend prediction, combines XGBoost to achieve multi-dimensional risk classification, and improves the interpretability of the results through SHAP decomposition and causal graphs. The experiment is based on the financial data of A-share listed companies in 2023. The results show that the method proposed in this paper is superior to the comparative scheme in terms of prediction accuracy, risk identification ability and improvement of operating return rate, and has good robustness. The system can be widely used in scenarios such as corporate financial management, strategy formulation and dynamic business early warning.\n          , \n            </w:instrText>
      </w:r>
      <w:r w:rsidR="009C6DCA">
        <w:rPr>
          <w:rFonts w:ascii="MS Gothic" w:eastAsia="MS Gothic" w:hAnsi="MS Gothic" w:cs="MS Gothic" w:hint="eastAsia"/>
          <w:sz w:val="28"/>
          <w:szCs w:val="28"/>
          <w:lang w:val="kk-KZ"/>
        </w:rPr>
        <w:instrText>随着企</w:instrText>
      </w:r>
      <w:r w:rsidR="009C6DCA">
        <w:rPr>
          <w:rFonts w:ascii="Microsoft JhengHei" w:eastAsia="Microsoft JhengHei" w:hAnsi="Microsoft JhengHei" w:cs="Microsoft JhengHei" w:hint="eastAsia"/>
          <w:sz w:val="28"/>
          <w:szCs w:val="28"/>
          <w:lang w:val="kk-KZ"/>
        </w:rPr>
        <w:instrText>业数字化水平的不断提高，经营数据呈现出多源、高维与强时序性的特点，传统分析方法难以满足动态预测与风险识别的需求。本文设计并实现了一套基于人工智能的企业经营数据分析系统，集成</w:instrText>
      </w:r>
      <w:r w:rsidR="009C6DCA">
        <w:rPr>
          <w:rFonts w:ascii="Times New Roman" w:hAnsi="Times New Roman" w:cs="Times New Roman"/>
          <w:sz w:val="28"/>
          <w:szCs w:val="28"/>
          <w:lang w:val="kk-KZ"/>
        </w:rPr>
        <w:instrText>LSTM-Attention</w:instrText>
      </w:r>
      <w:r w:rsidR="009C6DCA">
        <w:rPr>
          <w:rFonts w:ascii="MS Gothic" w:eastAsia="MS Gothic" w:hAnsi="MS Gothic" w:cs="MS Gothic" w:hint="eastAsia"/>
          <w:sz w:val="28"/>
          <w:szCs w:val="28"/>
          <w:lang w:val="kk-KZ"/>
        </w:rPr>
        <w:instrText>模型用于</w:instrText>
      </w:r>
      <w:r w:rsidR="009C6DCA">
        <w:rPr>
          <w:rFonts w:ascii="Microsoft JhengHei" w:eastAsia="Microsoft JhengHei" w:hAnsi="Microsoft JhengHei" w:cs="Microsoft JhengHei" w:hint="eastAsia"/>
          <w:sz w:val="28"/>
          <w:szCs w:val="28"/>
          <w:lang w:val="kk-KZ"/>
        </w:rPr>
        <w:instrText>趋势预测，结合</w:instrText>
      </w:r>
      <w:r w:rsidR="009C6DCA">
        <w:rPr>
          <w:rFonts w:ascii="Times New Roman" w:hAnsi="Times New Roman" w:cs="Times New Roman"/>
          <w:sz w:val="28"/>
          <w:szCs w:val="28"/>
          <w:lang w:val="kk-KZ"/>
        </w:rPr>
        <w:instrText>XGBoost</w:instrText>
      </w:r>
      <w:r w:rsidR="009C6DCA">
        <w:rPr>
          <w:rFonts w:ascii="Microsoft JhengHei" w:eastAsia="Microsoft JhengHei" w:hAnsi="Microsoft JhengHei" w:cs="Microsoft JhengHei" w:hint="eastAsia"/>
          <w:sz w:val="28"/>
          <w:szCs w:val="28"/>
          <w:lang w:val="kk-KZ"/>
        </w:rPr>
        <w:instrText>实现多维风险分类，并通过</w:instrText>
      </w:r>
      <w:r w:rsidR="009C6DCA">
        <w:rPr>
          <w:rFonts w:ascii="Times New Roman" w:hAnsi="Times New Roman" w:cs="Times New Roman"/>
          <w:sz w:val="28"/>
          <w:szCs w:val="28"/>
          <w:lang w:val="kk-KZ"/>
        </w:rPr>
        <w:instrText xml:space="preserve"> SHAP</w:instrText>
      </w:r>
      <w:r w:rsidR="009C6DCA">
        <w:rPr>
          <w:rFonts w:ascii="MS Gothic" w:eastAsia="MS Gothic" w:hAnsi="MS Gothic" w:cs="MS Gothic" w:hint="eastAsia"/>
          <w:sz w:val="28"/>
          <w:szCs w:val="28"/>
          <w:lang w:val="kk-KZ"/>
        </w:rPr>
        <w:instrText>分解与因果</w:instrText>
      </w:r>
      <w:r w:rsidR="009C6DCA">
        <w:rPr>
          <w:rFonts w:ascii="Microsoft JhengHei" w:eastAsia="Microsoft JhengHei" w:hAnsi="Microsoft JhengHei" w:cs="Microsoft JhengHei" w:hint="eastAsia"/>
          <w:sz w:val="28"/>
          <w:szCs w:val="28"/>
          <w:lang w:val="kk-KZ"/>
        </w:rPr>
        <w:instrText>图谱提升结果解释性。实验基于</w:instrText>
      </w:r>
      <w:r w:rsidR="009C6DCA">
        <w:rPr>
          <w:rFonts w:ascii="Times New Roman" w:hAnsi="Times New Roman" w:cs="Times New Roman"/>
          <w:sz w:val="28"/>
          <w:szCs w:val="28"/>
          <w:lang w:val="kk-KZ"/>
        </w:rPr>
        <w:instrText>A</w:instrText>
      </w:r>
      <w:r w:rsidR="009C6DCA">
        <w:rPr>
          <w:rFonts w:ascii="MS Gothic" w:eastAsia="MS Gothic" w:hAnsi="MS Gothic" w:cs="MS Gothic" w:hint="eastAsia"/>
          <w:sz w:val="28"/>
          <w:szCs w:val="28"/>
          <w:lang w:val="kk-KZ"/>
        </w:rPr>
        <w:instrText>股上市公司</w:instrText>
      </w:r>
      <w:r w:rsidR="009C6DCA">
        <w:rPr>
          <w:rFonts w:ascii="Times New Roman" w:hAnsi="Times New Roman" w:cs="Times New Roman"/>
          <w:sz w:val="28"/>
          <w:szCs w:val="28"/>
          <w:lang w:val="kk-KZ"/>
        </w:rPr>
        <w:instrText>2023</w:instrText>
      </w:r>
      <w:r w:rsidR="009C6DCA">
        <w:rPr>
          <w:rFonts w:ascii="MS Gothic" w:eastAsia="MS Gothic" w:hAnsi="MS Gothic" w:cs="MS Gothic" w:hint="eastAsia"/>
          <w:sz w:val="28"/>
          <w:szCs w:val="28"/>
          <w:lang w:val="kk-KZ"/>
        </w:rPr>
        <w:instrText>年</w:instrText>
      </w:r>
      <w:r w:rsidR="009C6DCA">
        <w:rPr>
          <w:rFonts w:ascii="Microsoft JhengHei" w:eastAsia="Microsoft JhengHei" w:hAnsi="Microsoft JhengHei" w:cs="Microsoft JhengHei" w:hint="eastAsia"/>
          <w:sz w:val="28"/>
          <w:szCs w:val="28"/>
          <w:lang w:val="kk-KZ"/>
        </w:rPr>
        <w:instrText>财务数据展开，结果表明本文方法在预测精度、风险识别能力及经营回报率提升方面均优于对比方案，且具备良好的稳健性。该系统可广泛应用于企业财务管理、战略制定与动态经营预警等场景。</w:instrText>
      </w:r>
      <w:r w:rsidR="009C6DCA">
        <w:rPr>
          <w:rFonts w:ascii="Times New Roman" w:hAnsi="Times New Roman" w:cs="Times New Roman"/>
          <w:sz w:val="28"/>
          <w:szCs w:val="28"/>
          <w:lang w:val="kk-KZ"/>
        </w:rPr>
        <w:instrText xml:space="preserve">\n          , \n            </w:instrText>
      </w:r>
      <w:r w:rsidR="009C6DCA">
        <w:rPr>
          <w:rFonts w:ascii="MS Gothic" w:eastAsia="MS Gothic" w:hAnsi="MS Gothic" w:cs="MS Gothic" w:hint="eastAsia"/>
          <w:sz w:val="28"/>
          <w:szCs w:val="28"/>
          <w:lang w:val="kk-KZ"/>
        </w:rPr>
        <w:instrText>隨着企業數字化水平的不斷提高，經營數據呈現出多源、高維與強時序性的特點，傳統分析方法難以滿足動態預測與風險識別的需求。本文設計並實現了一套基於人工智能的企業經營數據分析系統，集成</w:instrText>
      </w:r>
      <w:r w:rsidR="009C6DCA">
        <w:rPr>
          <w:rFonts w:ascii="Times New Roman" w:hAnsi="Times New Roman" w:cs="Times New Roman"/>
          <w:sz w:val="28"/>
          <w:szCs w:val="28"/>
          <w:lang w:val="kk-KZ"/>
        </w:rPr>
        <w:instrText>LSTM-Attention</w:instrText>
      </w:r>
      <w:r w:rsidR="009C6DCA">
        <w:rPr>
          <w:rFonts w:ascii="MS Gothic" w:eastAsia="MS Gothic" w:hAnsi="MS Gothic" w:cs="MS Gothic" w:hint="eastAsia"/>
          <w:sz w:val="28"/>
          <w:szCs w:val="28"/>
          <w:lang w:val="kk-KZ"/>
        </w:rPr>
        <w:instrText>模型用於趨勢預測，結合</w:instrText>
      </w:r>
      <w:r w:rsidR="009C6DCA">
        <w:rPr>
          <w:rFonts w:ascii="Times New Roman" w:hAnsi="Times New Roman" w:cs="Times New Roman"/>
          <w:sz w:val="28"/>
          <w:szCs w:val="28"/>
          <w:lang w:val="kk-KZ"/>
        </w:rPr>
        <w:instrText>XGBoost</w:instrText>
      </w:r>
      <w:r w:rsidR="009C6DCA">
        <w:rPr>
          <w:rFonts w:ascii="MS Gothic" w:eastAsia="MS Gothic" w:hAnsi="MS Gothic" w:cs="MS Gothic" w:hint="eastAsia"/>
          <w:sz w:val="28"/>
          <w:szCs w:val="28"/>
          <w:lang w:val="kk-KZ"/>
        </w:rPr>
        <w:instrText>實現多維風險分類，並通過</w:instrText>
      </w:r>
      <w:r w:rsidR="009C6DCA">
        <w:rPr>
          <w:rFonts w:ascii="Times New Roman" w:hAnsi="Times New Roman" w:cs="Times New Roman"/>
          <w:sz w:val="28"/>
          <w:szCs w:val="28"/>
          <w:lang w:val="kk-KZ"/>
        </w:rPr>
        <w:instrText xml:space="preserve"> SHAP</w:instrText>
      </w:r>
      <w:r w:rsidR="009C6DCA">
        <w:rPr>
          <w:rFonts w:ascii="MS Gothic" w:eastAsia="MS Gothic" w:hAnsi="MS Gothic" w:cs="MS Gothic" w:hint="eastAsia"/>
          <w:sz w:val="28"/>
          <w:szCs w:val="28"/>
          <w:lang w:val="kk-KZ"/>
        </w:rPr>
        <w:instrText>分解與因果圖譜提升結果解釋性。實驗基於</w:instrText>
      </w:r>
      <w:r w:rsidR="009C6DCA">
        <w:rPr>
          <w:rFonts w:ascii="Times New Roman" w:hAnsi="Times New Roman" w:cs="Times New Roman"/>
          <w:sz w:val="28"/>
          <w:szCs w:val="28"/>
          <w:lang w:val="kk-KZ"/>
        </w:rPr>
        <w:instrText>A</w:instrText>
      </w:r>
      <w:r w:rsidR="009C6DCA">
        <w:rPr>
          <w:rFonts w:ascii="MS Gothic" w:eastAsia="MS Gothic" w:hAnsi="MS Gothic" w:cs="MS Gothic" w:hint="eastAsia"/>
          <w:sz w:val="28"/>
          <w:szCs w:val="28"/>
          <w:lang w:val="kk-KZ"/>
        </w:rPr>
        <w:instrText>股上市公司</w:instrText>
      </w:r>
      <w:r w:rsidR="009C6DCA">
        <w:rPr>
          <w:rFonts w:ascii="Times New Roman" w:hAnsi="Times New Roman" w:cs="Times New Roman"/>
          <w:sz w:val="28"/>
          <w:szCs w:val="28"/>
          <w:lang w:val="kk-KZ"/>
        </w:rPr>
        <w:instrText>2023</w:instrText>
      </w:r>
      <w:r w:rsidR="009C6DCA">
        <w:rPr>
          <w:rFonts w:ascii="MS Gothic" w:eastAsia="MS Gothic" w:hAnsi="MS Gothic" w:cs="MS Gothic" w:hint="eastAsia"/>
          <w:sz w:val="28"/>
          <w:szCs w:val="28"/>
          <w:lang w:val="kk-KZ"/>
        </w:rPr>
        <w:instrText>年財務數據展開，結果表明本文方法在預測精度、風險識別能力及經營回報率提升方面均優於對比方案，且具備良好的穩健性。該系統可廣泛應用於企業財務管理、戰略制定與動態經營預警等場景。</w:instrText>
      </w:r>
      <w:r w:rsidR="009C6DCA">
        <w:rPr>
          <w:rFonts w:ascii="Times New Roman" w:hAnsi="Times New Roman" w:cs="Times New Roman"/>
          <w:sz w:val="28"/>
          <w:szCs w:val="28"/>
          <w:lang w:val="kk-KZ"/>
        </w:rPr>
        <w:instrText xml:space="preserve">","container-title":"Innovative Applications of AI","DOI":"10.70695/IAAI202503A3","ISSN":"3078-2147, 3080-8006","issue":"3","journalAbbreviation":"Innovative Applications of AI","page":"21-32","source":"DOI.org (Crossref)","title":"Research on Enterprise Management Data Analysis Based on Artificial Intelligence","URL":"http://www.hume-ai.hk/index.php/zk/article/view/130","volume":"2","author":[{"family":"Fan","given":"Xuelian"}],"accessed":{"date-parts":[["2025",11,22]]},"issued":{"date-parts":[["2025",9,30]]}}}],"schema":"https://github.com/citation-style-language/schema/raw/master/csl-citation.json"} </w:instrText>
      </w:r>
      <w:r w:rsidR="00506F93">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[129]</w:t>
      </w:r>
      <w:r w:rsidR="00506F93">
        <w:rPr>
          <w:rFonts w:ascii="Times New Roman" w:hAnsi="Times New Roman" w:cs="Times New Roman"/>
          <w:sz w:val="28"/>
          <w:szCs w:val="28"/>
          <w:lang w:val="kk-KZ"/>
        </w:rPr>
        <w:fldChar w:fldCharType="end"/>
      </w:r>
      <w:r w:rsidRPr="00F3062D">
        <w:rPr>
          <w:rFonts w:ascii="Times New Roman" w:hAnsi="Times New Roman" w:cs="Times New Roman"/>
          <w:sz w:val="28"/>
          <w:szCs w:val="28"/>
          <w:lang w:val="kk-KZ"/>
        </w:rPr>
        <w:t>. Это обеспечивает адаптивность и гибкость управления, что особенно важно для предприятий, находящихся на стадии цифровой адаптации.</w:t>
      </w:r>
    </w:p>
    <w:p w14:paraId="51C675FA" w14:textId="2686C196" w:rsidR="00F3062D" w:rsidRPr="00F3062D" w:rsidRDefault="00F3062D" w:rsidP="002F33D0">
      <w:pPr>
        <w:tabs>
          <w:tab w:val="left" w:pos="851"/>
        </w:tabs>
        <w:spacing w:after="0" w:line="240" w:lineRule="auto"/>
        <w:ind w:firstLine="567"/>
        <w:jc w:val="both"/>
        <w:rPr>
          <w:rFonts w:ascii="Times New Roman" w:hAnsi="Times New Roman" w:cs="Times New Roman"/>
          <w:sz w:val="28"/>
          <w:szCs w:val="28"/>
          <w:lang w:val="kk-KZ"/>
        </w:rPr>
      </w:pPr>
      <w:r w:rsidRPr="00F3062D">
        <w:rPr>
          <w:rFonts w:ascii="Times New Roman" w:hAnsi="Times New Roman" w:cs="Times New Roman"/>
          <w:sz w:val="28"/>
          <w:szCs w:val="28"/>
          <w:lang w:val="kk-KZ"/>
        </w:rPr>
        <w:t xml:space="preserve">Кроме того, цифровизация формирует новые ниши для инновационной деятельности </w:t>
      </w:r>
      <w:r w:rsidR="009D20AE">
        <w:rPr>
          <w:rFonts w:ascii="Times New Roman" w:hAnsi="Times New Roman" w:cs="Times New Roman"/>
          <w:sz w:val="28"/>
          <w:szCs w:val="28"/>
          <w:lang w:val="kk-KZ"/>
        </w:rPr>
        <w:t>–</w:t>
      </w:r>
      <w:r w:rsidRPr="00F3062D">
        <w:rPr>
          <w:rFonts w:ascii="Times New Roman" w:hAnsi="Times New Roman" w:cs="Times New Roman"/>
          <w:sz w:val="28"/>
          <w:szCs w:val="28"/>
          <w:lang w:val="kk-KZ"/>
        </w:rPr>
        <w:t xml:space="preserve"> создание цифровых сервисов, онлайн-образовательных платформ, мобильных приложений и цифровых экосистем. Молодое поколение специалистов, обладающих цифровыми компетенциями, способствует развитию инновационной культуры, основанной на экспериментах и междисциплинарном обмене знаниями. Одновременно цифровизация повышает прозрачность бизнес-процессов, что создаёт предпосылки для более обоснованного регулирования и адресной государственной поддержки. В частности, развитие систем цифрового правительства упрощает взаимодействие МСП с институтами поддержки </w:t>
      </w:r>
      <w:r w:rsidR="009D20AE">
        <w:rPr>
          <w:rFonts w:ascii="Times New Roman" w:hAnsi="Times New Roman" w:cs="Times New Roman"/>
          <w:sz w:val="28"/>
          <w:szCs w:val="28"/>
          <w:lang w:val="kk-KZ"/>
        </w:rPr>
        <w:t>–</w:t>
      </w:r>
      <w:r w:rsidRPr="00F3062D">
        <w:rPr>
          <w:rFonts w:ascii="Times New Roman" w:hAnsi="Times New Roman" w:cs="Times New Roman"/>
          <w:sz w:val="28"/>
          <w:szCs w:val="28"/>
          <w:lang w:val="kk-KZ"/>
        </w:rPr>
        <w:t xml:space="preserve"> от подачи заявок на гранты до получения консультаций онлайн, что позволяет частично устранять бюрократические барьеры</w:t>
      </w:r>
      <w:r w:rsidR="00506F93">
        <w:rPr>
          <w:rFonts w:ascii="Times New Roman" w:hAnsi="Times New Roman" w:cs="Times New Roman"/>
          <w:sz w:val="28"/>
          <w:szCs w:val="28"/>
          <w:lang w:val="kk-KZ"/>
        </w:rPr>
        <w:t xml:space="preserve"> </w:t>
      </w:r>
      <w:r w:rsidR="00506F93">
        <w:rPr>
          <w:rFonts w:ascii="Times New Roman" w:hAnsi="Times New Roman" w:cs="Times New Roman"/>
          <w:sz w:val="28"/>
          <w:szCs w:val="28"/>
          <w:lang w:val="kk-KZ"/>
        </w:rPr>
        <w:fldChar w:fldCharType="begin"/>
      </w:r>
      <w:r w:rsidR="00CD052D">
        <w:rPr>
          <w:rFonts w:ascii="Times New Roman" w:hAnsi="Times New Roman" w:cs="Times New Roman"/>
          <w:sz w:val="28"/>
          <w:szCs w:val="28"/>
          <w:lang w:val="kk-KZ"/>
        </w:rPr>
        <w:instrText xml:space="preserve"> ADDIN ZOTERO_ITEM CSL_CITATION {"citationID":"a2460fhah51","properties":{"formattedCitation":"[130]","plainCitation":"[130]","noteIndex":0},"citationItems":[{"id":187,"uris":["http://zotero.org/users/16887523/items/34I5V4PZ"],"itemData":{"id":187,"type":"article-journal","abstract":"Purpose\n              This study aims to investigate how integrating green practices and digital service-based salutogenic approaches in Indonesia’s health-care sector can enhance perceived service quality, patient coherence and a sustainable brand image. It fills theoretical gaps in modelling integrative health-care service practices, incorporating environmental sustainability and digital innovation.\n            \n            \n              Design/methodology/approach\n              This study uses an quantitative approach with cross-sectional survey to assess the impact of green practices and digital service integration on perceived health-care quality, sense of coherence and sustainable brand image in Indonesian hospitals. Data were collected from 264 hospital patients through purposive sampling and analyzed using partial least square-structural equation modelling (PLS-SEM) via SmartPLS version 4.\n            \n            \n              Findings\n              This study reveals that green health-care practices positively impact perceived quality of care, highlighting sustainable design’s role in enhancing service perception. Digitalization also positively affects perceived quality and patient coherence, as it improves accessibility and patient-provider interaction. The sense of coherence among patients, fostered by quality and sustainable service environments, significantly enhances brand image, emphasizing the role of salutogenic design. Perceived quality mediates the effects of green and digital innovations on coherence, while coherence itself significantly mediates the relationship between perceived quality and sustainable brand image. Gender differences were found in the impact of green practices on coherence, with women showing stronger responses.\n            \n            \n              Research limitations/implications\n              This study offers actionable guidance for health-care providers in Indonesia to adopt green practices and digital services with a salutogenic approach. Priorities include investing in eco-friendly building designs to enhance patient experience, digitalizing services for accessible and transparent care and educating patients on sustainable practices to strengthen brand perception and patient commitment.\n            \n            \n              Originality/value\n              This is among the first studies to model how salutogenic principles, green practices and digital services interact to shape psychological and branding outcomes in a developing country’s health-care context. It provides a novel theoretical extension by positioning the sense of coherence as both an outcome and a mediator influenced by institutional design.","container-title":"International Journal of Pharmaceutical and Healthcare Marketing","DOI":"10.1108/IJPHM-12-2024-0136","ISSN":"1750-6123, 1750-6131","language":"en","source":"DOI.org (Crossref)","title":"Salutogenic integration of green practices and digital services in the Indonesian health-care sector: modelling effects of perceived quality and sustainable brand image","title-short":"Salutogenic integration of green practices and digital services in the Indonesian health-care sector","URL":"https://www.emerald.com/ijphm/article/doi/10.1108/IJPHM-12-2024-0136/1300831/Salutogenic-integration-of-green-practices-and","author":[{"family":"Alfarizi","given":"Muhammad"},{"family":"Noer","given":"Lissa Rosdiana"}],"accessed":{"date-parts":[["2025",11,22]]},"issued":{"date-parts":[["2025",9,30]]}}}],"schema":"https://github.com/citation-style-language/schema/raw/master/csl-citation.json"} </w:instrText>
      </w:r>
      <w:r w:rsidR="00506F93">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[130]</w:t>
      </w:r>
      <w:r w:rsidR="00506F93">
        <w:rPr>
          <w:rFonts w:ascii="Times New Roman" w:hAnsi="Times New Roman" w:cs="Times New Roman"/>
          <w:sz w:val="28"/>
          <w:szCs w:val="28"/>
          <w:lang w:val="kk-KZ"/>
        </w:rPr>
        <w:fldChar w:fldCharType="end"/>
      </w:r>
      <w:r w:rsidRPr="00F3062D">
        <w:rPr>
          <w:rFonts w:ascii="Times New Roman" w:hAnsi="Times New Roman" w:cs="Times New Roman"/>
          <w:sz w:val="28"/>
          <w:szCs w:val="28"/>
          <w:lang w:val="kk-KZ"/>
        </w:rPr>
        <w:t>.</w:t>
      </w:r>
    </w:p>
    <w:p w14:paraId="79BF23B5" w14:textId="689AEDD0" w:rsidR="00F3062D" w:rsidRPr="00F3062D" w:rsidRDefault="00F3062D" w:rsidP="002F33D0">
      <w:pPr>
        <w:tabs>
          <w:tab w:val="left" w:pos="851"/>
        </w:tabs>
        <w:spacing w:after="0" w:line="240" w:lineRule="auto"/>
        <w:ind w:firstLine="567"/>
        <w:jc w:val="both"/>
        <w:rPr>
          <w:rFonts w:ascii="Times New Roman" w:hAnsi="Times New Roman" w:cs="Times New Roman"/>
          <w:sz w:val="28"/>
          <w:szCs w:val="28"/>
          <w:lang w:val="kk-KZ"/>
        </w:rPr>
      </w:pPr>
      <w:r w:rsidRPr="00F3062D">
        <w:rPr>
          <w:rFonts w:ascii="Times New Roman" w:hAnsi="Times New Roman" w:cs="Times New Roman"/>
          <w:sz w:val="28"/>
          <w:szCs w:val="28"/>
          <w:lang w:val="kk-KZ"/>
        </w:rPr>
        <w:t xml:space="preserve">Однако цифровизация не является универсальным решением: она способна усиливать дифференциацию предприятий по уровню цифровой зрелости. Компании, не успевающие осваивать цифровые технологии, рискуют утратить конкурентоспособность, поскольку их традиционные барьеры </w:t>
      </w:r>
      <w:r w:rsidR="009D20AE">
        <w:rPr>
          <w:rFonts w:ascii="Times New Roman" w:hAnsi="Times New Roman" w:cs="Times New Roman"/>
          <w:sz w:val="28"/>
          <w:szCs w:val="28"/>
          <w:lang w:val="kk-KZ"/>
        </w:rPr>
        <w:t>–</w:t>
      </w:r>
      <w:r w:rsidRPr="00F3062D">
        <w:rPr>
          <w:rFonts w:ascii="Times New Roman" w:hAnsi="Times New Roman" w:cs="Times New Roman"/>
          <w:sz w:val="28"/>
          <w:szCs w:val="28"/>
          <w:lang w:val="kk-KZ"/>
        </w:rPr>
        <w:t xml:space="preserve"> нехватка кадров, ресурсов и доступа к информации </w:t>
      </w:r>
      <w:r w:rsidR="009D20AE">
        <w:rPr>
          <w:rFonts w:ascii="Times New Roman" w:hAnsi="Times New Roman" w:cs="Times New Roman"/>
          <w:sz w:val="28"/>
          <w:szCs w:val="28"/>
          <w:lang w:val="kk-KZ"/>
        </w:rPr>
        <w:t>–</w:t>
      </w:r>
      <w:r w:rsidRPr="00F3062D">
        <w:rPr>
          <w:rFonts w:ascii="Times New Roman" w:hAnsi="Times New Roman" w:cs="Times New Roman"/>
          <w:sz w:val="28"/>
          <w:szCs w:val="28"/>
          <w:lang w:val="kk-KZ"/>
        </w:rPr>
        <w:t xml:space="preserve"> усугубляются необходимостью инвестировать в ИТ-инфраструктуру и привлекать цифровых специалистов</w:t>
      </w:r>
      <w:r w:rsidR="00506F93">
        <w:rPr>
          <w:rFonts w:ascii="Times New Roman" w:hAnsi="Times New Roman" w:cs="Times New Roman"/>
          <w:sz w:val="28"/>
          <w:szCs w:val="28"/>
          <w:lang w:val="kk-KZ"/>
        </w:rPr>
        <w:t xml:space="preserve"> </w:t>
      </w:r>
      <w:r w:rsidR="00506F93">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{"citationID":"amjcqbrhc0","properties":{"formattedCitation":"[131]","plainCitation":"[131]","noteIndex":0},"citationItems":[{"id":188,"uris":["http://zotero.org/users/16887523/items/PZXPHYFL"],"itemData":{"id":188,"type":"article-journal","abstract":"This study focuses on Shandong Province to examine the contribution of digital trade to inclusive green growth. The research reveals that digital trade has played a positive role in promoting economic growth, driving green development, and enhancing social inclusivity. In terms of economic growth, digital trade expands market boundaries, stimulates related industries, and improves trade efficiency and scale. Regarding green development, the application of digital technologies facilitates optimal resource allocation, reduces energy consumption and pollution from traditional trade, and promotes the growth of green industries. For social inclusivity enhancement, digital trade lowers participation barriers for small and medium-sized enterprises (SMEs) and vulnerable groups while creating more employment and development opportunities. However, the study also highlights challenges such as inadequate infrastructure, insufficient innovation capabilities in digital technology, talent shortages, and incomplete regulatory frameworks. This research provides evidence for understanding the relationship between digital trade and inclusive green growth, offering decision-making references for governments to formulate policies that promote healthy digital trade development and achieve coordinated progress among economic, environmental, and social dimensions.","container-title":"Integration of Industry and Education Journal","DOI":"10.6914/iiej.040303","ISSN":"2791-268X, 2791-2671","issue":"3","journalAbbreviation":"IIEJ","license":"https://creativecommons.org/licenses/by-nc-nd/4.0","page":"21-32","source":"DOI.org (Crossref)","title":"Research on the Contribution of Digital Trade in Shandong Province to Inclusive Green Growth","URL":"https://iiej.net/index.php/iiej/article/view/29","volume":"4","author":[{"family":"Chen","given":"Lian"},{"family":"Xing","given":"Manjiang"}],"accessed":{"date-parts":[["2025",11,22]]},"issued":{"date-parts":[["2025",9,30]]}}}],"schema":"https://github.com/citation-style-language/schema/raw/master/csl-citation.json"} </w:instrText>
      </w:r>
      <w:r w:rsidR="00506F93">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[131]</w:t>
      </w:r>
      <w:r w:rsidR="00506F93">
        <w:rPr>
          <w:rFonts w:ascii="Times New Roman" w:hAnsi="Times New Roman" w:cs="Times New Roman"/>
          <w:sz w:val="28"/>
          <w:szCs w:val="28"/>
          <w:lang w:val="kk-KZ"/>
        </w:rPr>
        <w:fldChar w:fldCharType="end"/>
      </w:r>
      <w:r w:rsidRPr="00F3062D">
        <w:rPr>
          <w:rFonts w:ascii="Times New Roman" w:hAnsi="Times New Roman" w:cs="Times New Roman"/>
          <w:sz w:val="28"/>
          <w:szCs w:val="28"/>
          <w:lang w:val="kk-KZ"/>
        </w:rPr>
        <w:t xml:space="preserve">. Для таких организаций цифровизация превращается в дополнительный вызов. Напротив, крупные предприятия, достигшие продвинутого уровня цифровой трансформации, сталкиваются с другой проблемой </w:t>
      </w:r>
      <w:r w:rsidR="009D20AE">
        <w:rPr>
          <w:rFonts w:ascii="Times New Roman" w:hAnsi="Times New Roman" w:cs="Times New Roman"/>
          <w:sz w:val="28"/>
          <w:szCs w:val="28"/>
          <w:lang w:val="kk-KZ"/>
        </w:rPr>
        <w:t>–</w:t>
      </w:r>
      <w:r w:rsidRPr="00F3062D">
        <w:rPr>
          <w:rFonts w:ascii="Times New Roman" w:hAnsi="Times New Roman" w:cs="Times New Roman"/>
          <w:sz w:val="28"/>
          <w:szCs w:val="28"/>
          <w:lang w:val="kk-KZ"/>
        </w:rPr>
        <w:t xml:space="preserve"> интеграцией сложных технологических систем и необходимостью гибко перестраивать корпоративные процессы</w:t>
      </w:r>
      <w:r w:rsidR="00506F93">
        <w:rPr>
          <w:rFonts w:ascii="Times New Roman" w:hAnsi="Times New Roman" w:cs="Times New Roman"/>
          <w:sz w:val="28"/>
          <w:szCs w:val="28"/>
          <w:lang w:val="kk-KZ"/>
        </w:rPr>
        <w:t xml:space="preserve"> </w:t>
      </w:r>
      <w:r w:rsidR="00506F93">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{"citationID":"a1mh9ir33hb","properties":{"formattedCitation":"[58]","plainCitation":"[58]","noteIndex":0},"citationItems":[{"id":109,"uris":["http://zotero.org/users/16887523/items/7ATHXUNL"],"itemData":{"id":109,"type":"article-journal","abstract":"In recent years, digital transformation has emerged as a pivotal catalyst for innovation and efficiency across various sectors, including sustainability. This study investigates the integration of digital technology with Environmental, Social, and Governance (ESG) principles to enhance the sustainable industrial sector in Indonesia. Despite the presence of supportive policies, challenges such as the effective implementation of digital technology and the preparedness of human resources remain significant barriers to achieving this objective. Employing a normative approach, this research analyzes the legal framework governing sustainable investment in Indonesia and assesses the potential of digital technology in accelerating ESG adoption within the industrial sector. Furthermore, it proposes strategic recommendations to cultivate an ecosystem that facilitates digital transformation, emphasizing regulatory measures that reinforce the synergy between technology, sustainability, and investment. The findings of this study are expected to provide valuable insights for policymakers, industry stakeholders, and investors in advancing sustainable investment through digital innovation in Indonesia.","container-title":"Veteran Law Review","DOI":"10.35586/velrev.v8i1.10662","ISSN":"2655-1608, 2655-1594","issue":"1","journalAbbreviation":"Velrev","license":"https://creativecommons.org/licenses/by/4.0/","page":"28-44","source":"DOI.org (Crossref)","title":"Harnessing Digital Transformation to Accelerate Sustainable Investment Through Environmental, Social, and Governance Integration (ESG)","URL":"https://ejournal.upnvj.ac.id/Velrev/article/view/10662","volume":"8","author":[{"family":"Kusuma","given":"Ajeng Pramesthy Hardiani"},{"family":"Jumantoro","given":"Tegar Raffi Putra"}],"accessed":{"date-parts":[["2025",11,22]]},"issued":{"date-parts":[["2025",9,29]]}}}],"schema":"https://github.com/citation-style-language/schema/raw/master/csl-citation.json"} </w:instrText>
      </w:r>
      <w:r w:rsidR="00506F93">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[58]</w:t>
      </w:r>
      <w:r w:rsidR="00506F93">
        <w:rPr>
          <w:rFonts w:ascii="Times New Roman" w:hAnsi="Times New Roman" w:cs="Times New Roman"/>
          <w:sz w:val="28"/>
          <w:szCs w:val="28"/>
          <w:lang w:val="kk-KZ"/>
        </w:rPr>
        <w:fldChar w:fldCharType="end"/>
      </w:r>
      <w:r w:rsidRPr="00F3062D">
        <w:rPr>
          <w:rFonts w:ascii="Times New Roman" w:hAnsi="Times New Roman" w:cs="Times New Roman"/>
          <w:sz w:val="28"/>
          <w:szCs w:val="28"/>
          <w:lang w:val="kk-KZ"/>
        </w:rPr>
        <w:t>.</w:t>
      </w:r>
    </w:p>
    <w:p w14:paraId="5FA94A9B" w14:textId="15EFDE28" w:rsidR="00F3062D" w:rsidRPr="00F3062D" w:rsidRDefault="00F3062D" w:rsidP="002F33D0">
      <w:pPr>
        <w:tabs>
          <w:tab w:val="left" w:pos="851"/>
        </w:tabs>
        <w:spacing w:after="0" w:line="240" w:lineRule="auto"/>
        <w:ind w:firstLine="567"/>
        <w:jc w:val="both"/>
        <w:rPr>
          <w:rFonts w:ascii="Times New Roman" w:hAnsi="Times New Roman" w:cs="Times New Roman"/>
          <w:sz w:val="28"/>
          <w:szCs w:val="28"/>
          <w:lang w:val="kk-KZ"/>
        </w:rPr>
      </w:pPr>
      <w:r w:rsidRPr="00F3062D">
        <w:rPr>
          <w:rFonts w:ascii="Times New Roman" w:hAnsi="Times New Roman" w:cs="Times New Roman"/>
          <w:sz w:val="28"/>
          <w:szCs w:val="28"/>
          <w:lang w:val="kk-KZ"/>
        </w:rPr>
        <w:t xml:space="preserve">Таким образом, цифровизация выступает мультипликатором инновационного потенциала, способным как усиливать действие классических драйверов (управленческой поддержки, партнёрств, финансовой обеспеченности), так и снижать влияние барьеров (ограниченность ресурсов, </w:t>
      </w:r>
      <w:r w:rsidRPr="00F3062D">
        <w:rPr>
          <w:rFonts w:ascii="Times New Roman" w:hAnsi="Times New Roman" w:cs="Times New Roman"/>
          <w:sz w:val="28"/>
          <w:szCs w:val="28"/>
          <w:lang w:val="kk-KZ"/>
        </w:rPr>
        <w:lastRenderedPageBreak/>
        <w:t xml:space="preserve">географическую изолированность, информационные пробелы). В то же время при низкой цифровой готовности и слабой институциональной поддержке она сама становится фактором риска, усиливая разрыв между лидерами и отстающими. Это подчёркивает необходимость формирования сбалансированной модели цифрового развития, учитывающей различия между предприятиями по уровню цифровой зрелости: для малых и средних </w:t>
      </w:r>
      <w:r w:rsidR="009D20AE">
        <w:rPr>
          <w:rFonts w:ascii="Times New Roman" w:hAnsi="Times New Roman" w:cs="Times New Roman"/>
          <w:sz w:val="28"/>
          <w:szCs w:val="28"/>
          <w:lang w:val="kk-KZ"/>
        </w:rPr>
        <w:t>–</w:t>
      </w:r>
      <w:r w:rsidRPr="00F3062D">
        <w:rPr>
          <w:rFonts w:ascii="Times New Roman" w:hAnsi="Times New Roman" w:cs="Times New Roman"/>
          <w:sz w:val="28"/>
          <w:szCs w:val="28"/>
          <w:lang w:val="kk-KZ"/>
        </w:rPr>
        <w:t xml:space="preserve"> ориентация на цифровую адаптацию, для крупных </w:t>
      </w:r>
      <w:r w:rsidR="009D20AE">
        <w:rPr>
          <w:rFonts w:ascii="Times New Roman" w:hAnsi="Times New Roman" w:cs="Times New Roman"/>
          <w:sz w:val="28"/>
          <w:szCs w:val="28"/>
          <w:lang w:val="kk-KZ"/>
        </w:rPr>
        <w:t>–</w:t>
      </w:r>
      <w:r w:rsidRPr="00F3062D">
        <w:rPr>
          <w:rFonts w:ascii="Times New Roman" w:hAnsi="Times New Roman" w:cs="Times New Roman"/>
          <w:sz w:val="28"/>
          <w:szCs w:val="28"/>
          <w:lang w:val="kk-KZ"/>
        </w:rPr>
        <w:t xml:space="preserve"> на системную цифровую трансформацию.</w:t>
      </w:r>
    </w:p>
    <w:p w14:paraId="0ECA5E6E" w14:textId="21E9D099" w:rsidR="009151FB" w:rsidRPr="001922DD" w:rsidRDefault="009151FB" w:rsidP="002F33D0">
      <w:pPr>
        <w:tabs>
          <w:tab w:val="left" w:pos="851"/>
        </w:tabs>
        <w:spacing w:after="0" w:line="240" w:lineRule="auto"/>
        <w:ind w:firstLine="567"/>
        <w:jc w:val="both"/>
        <w:rPr>
          <w:rFonts w:ascii="Times New Roman" w:hAnsi="Times New Roman" w:cs="Times New Roman"/>
          <w:b/>
          <w:sz w:val="28"/>
          <w:szCs w:val="28"/>
          <w:lang w:val="kk-KZ"/>
        </w:rPr>
      </w:pPr>
      <w:r w:rsidRPr="001922DD">
        <w:rPr>
          <w:rFonts w:ascii="Times New Roman" w:hAnsi="Times New Roman" w:cs="Times New Roman"/>
          <w:b/>
          <w:sz w:val="28"/>
          <w:szCs w:val="28"/>
          <w:lang w:val="kk-KZ"/>
        </w:rPr>
        <w:t>Выводы по разделу 1.</w:t>
      </w:r>
      <w:r>
        <w:rPr>
          <w:rFonts w:ascii="Times New Roman" w:hAnsi="Times New Roman" w:cs="Times New Roman"/>
          <w:b/>
          <w:sz w:val="28"/>
          <w:szCs w:val="28"/>
          <w:lang w:val="kk-KZ"/>
        </w:rPr>
        <w:t>2</w:t>
      </w:r>
    </w:p>
    <w:p w14:paraId="3984CC78" w14:textId="77777777" w:rsidR="00F3062D" w:rsidRPr="00F3062D" w:rsidRDefault="00F3062D" w:rsidP="002F33D0">
      <w:pPr>
        <w:spacing w:after="0" w:line="240" w:lineRule="auto"/>
        <w:ind w:firstLine="567"/>
        <w:jc w:val="both"/>
        <w:rPr>
          <w:rFonts w:ascii="Times New Roman" w:hAnsi="Times New Roman" w:cs="Times New Roman"/>
          <w:sz w:val="28"/>
          <w:szCs w:val="28"/>
          <w:lang w:val="kk-KZ"/>
        </w:rPr>
      </w:pPr>
      <w:r w:rsidRPr="00F3062D">
        <w:rPr>
          <w:rFonts w:ascii="Times New Roman" w:hAnsi="Times New Roman" w:cs="Times New Roman"/>
          <w:sz w:val="28"/>
          <w:szCs w:val="28"/>
          <w:lang w:val="kk-KZ"/>
        </w:rPr>
        <w:t>В результате теоретико-аналитического обобщения установлено, что инновационный потенциал предпринимательских структур формируется и реализуется под влиянием согласованного действия внутренних и внешних факторов, которые проявляются как в виде драйверов, так и в виде барьеров. Предложенная классификация факторов увязана с компонентами инновационного потенциала (управленческо-инновационные, технологические и материально-сырьевые, финансовые, человеческий капитал и компетенции, инновационная культура, институциональная среда и цифровая адаптация) и тем самым обеспечивает целостную рамку для дальнейшей операционализации.</w:t>
      </w:r>
    </w:p>
    <w:p w14:paraId="71C915BE" w14:textId="77777777" w:rsidR="00F3062D" w:rsidRPr="00F3062D" w:rsidRDefault="00F3062D" w:rsidP="002F33D0">
      <w:pPr>
        <w:spacing w:after="0" w:line="240" w:lineRule="auto"/>
        <w:ind w:firstLine="567"/>
        <w:jc w:val="both"/>
        <w:rPr>
          <w:rFonts w:ascii="Times New Roman" w:hAnsi="Times New Roman" w:cs="Times New Roman"/>
          <w:sz w:val="28"/>
          <w:szCs w:val="28"/>
          <w:lang w:val="kk-KZ"/>
        </w:rPr>
      </w:pPr>
      <w:r w:rsidRPr="00F3062D">
        <w:rPr>
          <w:rFonts w:ascii="Times New Roman" w:hAnsi="Times New Roman" w:cs="Times New Roman"/>
          <w:sz w:val="28"/>
          <w:szCs w:val="28"/>
          <w:lang w:val="kk-KZ"/>
        </w:rPr>
        <w:t>Во-первых, доказана принципиальная двухконтурность влияния: внутренний контур (ресурсы, компетенции, культура) задаёт потенциал к обновлению, внешний контур (институты и цифровые условия) определяет границы его реализации. Нарушение согласованности контуров порождает устойчивые «узкие места».</w:t>
      </w:r>
    </w:p>
    <w:p w14:paraId="1570EC69" w14:textId="77777777" w:rsidR="00F3062D" w:rsidRPr="00F3062D" w:rsidRDefault="00F3062D" w:rsidP="002F33D0">
      <w:pPr>
        <w:spacing w:after="0" w:line="240" w:lineRule="auto"/>
        <w:ind w:firstLine="567"/>
        <w:jc w:val="both"/>
        <w:rPr>
          <w:rFonts w:ascii="Times New Roman" w:hAnsi="Times New Roman" w:cs="Times New Roman"/>
          <w:sz w:val="28"/>
          <w:szCs w:val="28"/>
          <w:lang w:val="kk-KZ"/>
        </w:rPr>
      </w:pPr>
      <w:r w:rsidRPr="00F3062D">
        <w:rPr>
          <w:rFonts w:ascii="Times New Roman" w:hAnsi="Times New Roman" w:cs="Times New Roman"/>
          <w:sz w:val="28"/>
          <w:szCs w:val="28"/>
          <w:lang w:val="kk-KZ"/>
        </w:rPr>
        <w:t>Во-вторых, обоснована двойственная природа государственной поддержки: при институциональной эффективности она компенсирует рыночные провалы и усиливает драйверы, при бюрократической перегруженности и низкой прозрачности воспроизводит барьеры. Это требует перехода к цифрово-инклюзивным форматам поддержки, особенно для МСП.</w:t>
      </w:r>
    </w:p>
    <w:p w14:paraId="788FB9A0" w14:textId="77777777" w:rsidR="00F3062D" w:rsidRPr="00F3062D" w:rsidRDefault="00F3062D" w:rsidP="002F33D0">
      <w:pPr>
        <w:spacing w:after="0" w:line="240" w:lineRule="auto"/>
        <w:ind w:firstLine="567"/>
        <w:jc w:val="both"/>
        <w:rPr>
          <w:rFonts w:ascii="Times New Roman" w:hAnsi="Times New Roman" w:cs="Times New Roman"/>
          <w:sz w:val="28"/>
          <w:szCs w:val="28"/>
          <w:lang w:val="kk-KZ"/>
        </w:rPr>
      </w:pPr>
      <w:r w:rsidRPr="00F3062D">
        <w:rPr>
          <w:rFonts w:ascii="Times New Roman" w:hAnsi="Times New Roman" w:cs="Times New Roman"/>
          <w:sz w:val="28"/>
          <w:szCs w:val="28"/>
          <w:lang w:val="kk-KZ"/>
        </w:rPr>
        <w:t>В-третьих, цифровые процессы выступают метафактором-мультипликатором: они одновременно усиливают действие драйверов (финансы, партнёрства, управленческие решения) и способны смягчать часть барьеров (информационные и транзакционные издержки). Ключевым механизмом здесь является уровень цифровой зрелости, варьирующийся от цифровой адаптации (реалистичная траектория для МСП) до цифровой трансформации (целевая траектория для крупных компаний).</w:t>
      </w:r>
    </w:p>
    <w:p w14:paraId="3CCD00D2" w14:textId="2B3122DF" w:rsidR="00F3062D" w:rsidRPr="00F3062D" w:rsidRDefault="00F3062D" w:rsidP="002F33D0">
      <w:pPr>
        <w:spacing w:after="0" w:line="240" w:lineRule="auto"/>
        <w:ind w:firstLine="567"/>
        <w:jc w:val="both"/>
        <w:rPr>
          <w:rFonts w:ascii="Times New Roman" w:hAnsi="Times New Roman" w:cs="Times New Roman"/>
          <w:sz w:val="28"/>
          <w:szCs w:val="28"/>
          <w:lang w:val="kk-KZ"/>
        </w:rPr>
      </w:pPr>
      <w:r w:rsidRPr="00F3062D">
        <w:rPr>
          <w:rFonts w:ascii="Times New Roman" w:hAnsi="Times New Roman" w:cs="Times New Roman"/>
          <w:sz w:val="28"/>
          <w:szCs w:val="28"/>
          <w:lang w:val="kk-KZ"/>
        </w:rPr>
        <w:t xml:space="preserve">В-четвёртых, выявлен разномасштабный эффект факторов: для МСП критичны финансовые, кадровые и цифровые ограничения; для крупных компаний </w:t>
      </w:r>
      <w:r w:rsidR="009D20AE">
        <w:rPr>
          <w:rFonts w:ascii="Times New Roman" w:hAnsi="Times New Roman" w:cs="Times New Roman"/>
          <w:sz w:val="28"/>
          <w:szCs w:val="28"/>
          <w:lang w:val="kk-KZ"/>
        </w:rPr>
        <w:t>–</w:t>
      </w:r>
      <w:r w:rsidRPr="00F3062D">
        <w:rPr>
          <w:rFonts w:ascii="Times New Roman" w:hAnsi="Times New Roman" w:cs="Times New Roman"/>
          <w:sz w:val="28"/>
          <w:szCs w:val="28"/>
          <w:lang w:val="kk-KZ"/>
        </w:rPr>
        <w:t xml:space="preserve"> организационная инерция и сложность интеграции технологий. Следовательно, политика и управленческие инструменты должны быть дифференцированы по размеру предприятия.</w:t>
      </w:r>
    </w:p>
    <w:p w14:paraId="25B99D3D" w14:textId="656BD241" w:rsidR="00F3062D" w:rsidRPr="00F3062D" w:rsidRDefault="00F3062D" w:rsidP="002F33D0">
      <w:pPr>
        <w:spacing w:after="0" w:line="240" w:lineRule="auto"/>
        <w:ind w:firstLine="567"/>
        <w:jc w:val="both"/>
        <w:rPr>
          <w:rFonts w:ascii="Times New Roman" w:hAnsi="Times New Roman" w:cs="Times New Roman"/>
          <w:sz w:val="28"/>
          <w:szCs w:val="28"/>
          <w:lang w:val="kk-KZ"/>
        </w:rPr>
      </w:pPr>
      <w:r w:rsidRPr="00F3062D">
        <w:rPr>
          <w:rFonts w:ascii="Times New Roman" w:hAnsi="Times New Roman" w:cs="Times New Roman"/>
          <w:sz w:val="28"/>
          <w:szCs w:val="28"/>
          <w:lang w:val="kk-KZ"/>
        </w:rPr>
        <w:t xml:space="preserve">В-пятых, предложенная матрица «компоненты потенциала × драйверы/барьеры» формирует основу измерительной модели для эмпирической проверки: драйверы ожидаемо повышают уровень соответствующих компонент, барьеры </w:t>
      </w:r>
      <w:r w:rsidR="009D20AE">
        <w:rPr>
          <w:rFonts w:ascii="Times New Roman" w:hAnsi="Times New Roman" w:cs="Times New Roman"/>
          <w:sz w:val="28"/>
          <w:szCs w:val="28"/>
          <w:lang w:val="kk-KZ"/>
        </w:rPr>
        <w:t>–</w:t>
      </w:r>
      <w:r w:rsidRPr="00F3062D">
        <w:rPr>
          <w:rFonts w:ascii="Times New Roman" w:hAnsi="Times New Roman" w:cs="Times New Roman"/>
          <w:sz w:val="28"/>
          <w:szCs w:val="28"/>
          <w:lang w:val="kk-KZ"/>
        </w:rPr>
        <w:t xml:space="preserve"> снижают; влияние цифровых процессов предполагается </w:t>
      </w:r>
      <w:r w:rsidRPr="00F3062D">
        <w:rPr>
          <w:rFonts w:ascii="Times New Roman" w:hAnsi="Times New Roman" w:cs="Times New Roman"/>
          <w:sz w:val="28"/>
          <w:szCs w:val="28"/>
          <w:lang w:val="kk-KZ"/>
        </w:rPr>
        <w:lastRenderedPageBreak/>
        <w:t>медиирующим между драйверами и результирующими показателями потенциала.</w:t>
      </w:r>
    </w:p>
    <w:p w14:paraId="3BF1511D" w14:textId="77777777" w:rsidR="008252E9" w:rsidRPr="008D092F" w:rsidRDefault="008252E9" w:rsidP="002F33D0">
      <w:pPr>
        <w:spacing w:after="0" w:line="240" w:lineRule="auto"/>
        <w:ind w:firstLine="567"/>
        <w:jc w:val="both"/>
        <w:rPr>
          <w:rFonts w:ascii="Times New Roman" w:hAnsi="Times New Roman" w:cs="Times New Roman"/>
          <w:sz w:val="28"/>
          <w:szCs w:val="28"/>
          <w:lang w:val="kk-KZ"/>
        </w:rPr>
      </w:pPr>
    </w:p>
    <w:p w14:paraId="7D36E6DF" w14:textId="77777777" w:rsidR="00221339" w:rsidRPr="008252E9" w:rsidRDefault="00221339" w:rsidP="002F33D0">
      <w:pPr>
        <w:spacing w:after="0" w:line="240" w:lineRule="auto"/>
        <w:ind w:firstLine="567"/>
        <w:jc w:val="both"/>
        <w:rPr>
          <w:rFonts w:ascii="Times New Roman" w:hAnsi="Times New Roman" w:cs="Times New Roman"/>
          <w:b/>
          <w:sz w:val="28"/>
          <w:szCs w:val="28"/>
          <w:lang w:val="kk-KZ"/>
        </w:rPr>
      </w:pPr>
      <w:r w:rsidRPr="008252E9">
        <w:rPr>
          <w:rFonts w:ascii="Times New Roman" w:hAnsi="Times New Roman" w:cs="Times New Roman"/>
          <w:b/>
          <w:sz w:val="28"/>
          <w:szCs w:val="28"/>
          <w:lang w:val="kk-KZ"/>
        </w:rPr>
        <w:t>1.3 Методические подходы к оценке инновационного потенциала в условиях цифровой трансформации</w:t>
      </w:r>
    </w:p>
    <w:p w14:paraId="04F4937F" w14:textId="6D6AA75A" w:rsidR="008252E9" w:rsidRPr="008252E9" w:rsidRDefault="00D1423F" w:rsidP="002F33D0">
      <w:pPr>
        <w:spacing w:after="0" w:line="240" w:lineRule="auto"/>
        <w:ind w:firstLine="567"/>
        <w:jc w:val="both"/>
        <w:rPr>
          <w:rFonts w:ascii="Times New Roman" w:eastAsia="Times New Roman" w:hAnsi="Times New Roman" w:cs="Times New Roman"/>
          <w:sz w:val="28"/>
          <w:szCs w:val="28"/>
          <w:lang w:eastAsia="ru-RU"/>
        </w:rPr>
      </w:pPr>
      <w:r w:rsidRPr="00D1423F">
        <w:rPr>
          <w:rFonts w:ascii="Times New Roman" w:eastAsia="Times New Roman" w:hAnsi="Times New Roman" w:cs="Times New Roman"/>
          <w:sz w:val="28"/>
          <w:szCs w:val="28"/>
          <w:lang w:eastAsia="ru-RU"/>
        </w:rPr>
        <w:t>В условиях цифровизации и нарастающей динамики глобальных процессов инновационный потенциал предприятий приобретает стратегическое значение, определяя их способность сохранять конкурентоспособность и устойчивость в долгосрочной перспективе.</w:t>
      </w:r>
      <w:r w:rsidR="008252E9" w:rsidRPr="008252E9">
        <w:rPr>
          <w:rFonts w:ascii="Times New Roman" w:eastAsia="Times New Roman" w:hAnsi="Times New Roman" w:cs="Times New Roman"/>
          <w:sz w:val="28"/>
          <w:szCs w:val="28"/>
          <w:lang w:eastAsia="ru-RU"/>
        </w:rPr>
        <w:t xml:space="preserve"> В цифровой экономике трансформация затрагивает не только технологические процессы, но и организационные, финансовые, управленческие и кадровые аспекты деятельности предприятий. Успех в цифровой среде зависит от способности компании не просто обладать ресурсами, а эффективно конвертировать их в инновационные решения и устойчивые результаты </w:t>
      </w:r>
      <w:r w:rsidR="008012BB">
        <w:rPr>
          <w:rFonts w:ascii="Times New Roman" w:eastAsia="Times New Roman" w:hAnsi="Times New Roman" w:cs="Times New Roman"/>
          <w:sz w:val="28"/>
          <w:szCs w:val="28"/>
          <w:lang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{"citationID":"atorqq1mnm","properties":{"formattedCitation":"[125,132]","plainCitation":"[125,132]","noteIndex":0},"citationItems":[{"id":183,"uris":["http://zotero.org/users/16887523/items/FQN682MW"],"itemData":{"id":183,"type":"article-journal","abstract":"Resource bricolage, centered on breaking through resource constraints, emphasizes providing innovation momentum for new ventures by creatively reorganizing existing resources at hand. Existing studies have confirmed that resource bricolage exerts an impact on corporate innovation, yet explorations into this approach’s mechanism of action remain insufficient. Based on resource bricolage theory and organizational ambidexterity theory, this study constructs a theoretical framework of “resource bricolage–ambidextrous learning–micro-innovation”. Using 319 new ventures as samples, hierarchical regression analysis is adopted to empirically test the mediating effect of ambidextrous learning and the moderating effects of government support and customer participation. The results show that resource bricolage has a significant positive impact on micro-innovation, with ambidextrous learning playing a partial mediating role. The research conclusions indicate that under resource-constrained contexts, new ventures can activate idle resources and improve resource efficiency through resource bricolage, thereby reducing reliance on new resource inputs. Under this method, new ventures can also rely on ambidextrous learning to accumulate knowledge and capabilities, laying the foundation for the continuous improvement of micro-innovation and further leverage government support to stabilize resource supply and absorb customer participation to align with market demand. This mechanism ultimately enables the achievement of micro-innovation while enhancing its sustainability. This study enriches resource bricolage theory by unpacking the “resource–learning–innovation” mechanism and provides practical guidance for new ventures to leverage resource bricolage and external support for micro-innovation under resource constraints, which is of reference value for sustainable entrepreneurial practices.","container-title":"Sustainability","DOI":"10.3390/su17177786","ISSN":"2071-1050","issue":"17","journalAbbreviation":"Sustainability","language":"en","page":"7786","source":"DOI.org (Crossref)","title":"An Exploration of the Influence Mechanism of Resource Bricolage and Ambidextrous Learning on Micro-Innovation in New Ventures: The Moderating Roles of Customer Participation and Government Support","title-short":"An Exploration of the Influence Mechanism of Resource Bricolage and Ambidextrous Learning on Micro-Innovation in New Ventures","URL":"https://www.mdpi.com/2071-1050/17/17/7786","volume":"17","author":[{"family":"Li","given":"Weiming"},{"family":"Cao","given":"Boyang"},{"family":"Li","given":"Chunyan"}],"accessed":{"date-parts":[["2025",11,22]]},"issued":{"date-parts":[["2025",8,29]]}}},{"id":190,"uris":["http://zotero.org/users/16887523/items/XUPX6942"],"itemData":{"id":190,"type":"article-journal","abstract":"This study uses Chinese A-share listed companies from 2015 to 2022 as a sample to explore the mechanism through which digital transformation affects new quality productivity. The study employs the entropy method to measure new quality productivity and constructs a digital transformation index through annual report text analysis. Empirical results indicate that digital transformation significantly promotes the development of new-quality productivity, with green technology innovation and supply chain efficiency playing mediating roles. Heterogeneity analysis shows that this effect is more pronounced in firms with low financing constraints, non-state-owned firms, and firms with high R&amp;D investments. This study provides theoretical foundations for firms to enhance new-quality productivity through digital transformation and offers policy implications for governments to formulate targeted policies.","container-title":"Advances in Economics, Management and Political Sciences","DOI":"10.54254/2754-1169/2025.CAU27010","ISSN":"2754-1169, 2754-1177","issue":"1","journalAbbreviation":"AEMPS","page":"165-174","source":"DOI.org (Crossref)","title":"The Impact of Digital Transformation on Enterprises' New Quality ProductivityThe Mediating Effects of Green Technology Innovation and Supply Chain Efficiency","URL":"https://www.ewadirect.com/proceedings/aemps/article/view/27010","volume":"214","author":[{"family":"Wang","given":"Sihan"}],"accessed":{"date-parts":[["2025",11,22]]},"issued":{"date-parts":[["2025",9,24]]}}}],"schema":"https://github.com/citation-style-language/schema/raw/master/csl-citation.json"} </w:instrText>
      </w:r>
      <w:r w:rsidR="008012BB">
        <w:rPr>
          <w:rFonts w:ascii="Times New Roman" w:eastAsia="Times New Roman" w:hAnsi="Times New Roman" w:cs="Times New Roman"/>
          <w:sz w:val="28"/>
          <w:szCs w:val="28"/>
          <w:lang w:eastAsia="ru-RU"/>
        </w:rPr>
        <w:fldChar w:fldCharType="separate"/>
      </w:r>
      <w:r w:rsidR="009C6DCA" w:rsidRPr="009C6DCA">
        <w:rPr>
          <w:rFonts w:ascii="Times New Roman" w:hAnsi="Times New Roman" w:cs="Times New Roman"/>
          <w:sz w:val="28"/>
        </w:rPr>
        <w:t>[125,132]</w:t>
      </w:r>
      <w:r w:rsidR="008012BB">
        <w:rPr>
          <w:rFonts w:ascii="Times New Roman" w:eastAsia="Times New Roman" w:hAnsi="Times New Roman" w:cs="Times New Roman"/>
          <w:sz w:val="28"/>
          <w:szCs w:val="28"/>
          <w:lang w:eastAsia="ru-RU"/>
        </w:rPr>
        <w:fldChar w:fldCharType="end"/>
      </w:r>
      <w:r w:rsidR="008252E9" w:rsidRPr="008252E9">
        <w:rPr>
          <w:rFonts w:ascii="Times New Roman" w:eastAsia="Times New Roman" w:hAnsi="Times New Roman" w:cs="Times New Roman"/>
          <w:sz w:val="28"/>
          <w:szCs w:val="28"/>
          <w:lang w:eastAsia="ru-RU"/>
        </w:rPr>
        <w:t>. Именно поэтому возникает необходимость в системной методике оценки инновационного потенциала, которая позволяет не только фиксировать текущее состояние, но и выявлять механизмы развития предприятия в условиях цифровой трансформации.</w:t>
      </w:r>
    </w:p>
    <w:p w14:paraId="35CB2250" w14:textId="375EB1D1" w:rsidR="008252E9" w:rsidRPr="00E84334" w:rsidRDefault="008252E9" w:rsidP="002F33D0">
      <w:pPr>
        <w:spacing w:after="0" w:line="240" w:lineRule="auto"/>
        <w:ind w:firstLine="567"/>
        <w:jc w:val="both"/>
        <w:rPr>
          <w:rFonts w:ascii="Times New Roman" w:eastAsia="Times New Roman" w:hAnsi="Times New Roman" w:cs="Times New Roman"/>
          <w:color w:val="FF0000"/>
          <w:sz w:val="28"/>
          <w:szCs w:val="28"/>
          <w:lang w:eastAsia="ru-RU"/>
        </w:rPr>
      </w:pPr>
      <w:r w:rsidRPr="008252E9">
        <w:rPr>
          <w:rFonts w:ascii="Times New Roman" w:eastAsia="Times New Roman" w:hAnsi="Times New Roman" w:cs="Times New Roman"/>
          <w:sz w:val="28"/>
          <w:szCs w:val="28"/>
          <w:lang w:eastAsia="ru-RU"/>
        </w:rPr>
        <w:t xml:space="preserve">Цифровая экономика предъявляет новые требования к структуре и динамике инновационного потенциала. С одной стороны, цифровизация открывает дополнительные источники роста </w:t>
      </w:r>
      <w:r w:rsidR="009D20AE">
        <w:rPr>
          <w:rFonts w:ascii="Times New Roman" w:eastAsia="Times New Roman" w:hAnsi="Times New Roman" w:cs="Times New Roman"/>
          <w:sz w:val="28"/>
          <w:szCs w:val="28"/>
          <w:lang w:eastAsia="ru-RU"/>
        </w:rPr>
        <w:t>–</w:t>
      </w:r>
      <w:r w:rsidRPr="008252E9">
        <w:rPr>
          <w:rFonts w:ascii="Times New Roman" w:eastAsia="Times New Roman" w:hAnsi="Times New Roman" w:cs="Times New Roman"/>
          <w:sz w:val="28"/>
          <w:szCs w:val="28"/>
          <w:lang w:eastAsia="ru-RU"/>
        </w:rPr>
        <w:t xml:space="preserve"> автоматизацию, аналитические платформы, новые модели взаимодействия. С другой </w:t>
      </w:r>
      <w:r w:rsidR="009D20AE">
        <w:rPr>
          <w:rFonts w:ascii="Times New Roman" w:eastAsia="Times New Roman" w:hAnsi="Times New Roman" w:cs="Times New Roman"/>
          <w:sz w:val="28"/>
          <w:szCs w:val="28"/>
          <w:lang w:eastAsia="ru-RU"/>
        </w:rPr>
        <w:t>–</w:t>
      </w:r>
      <w:r w:rsidRPr="008252E9">
        <w:rPr>
          <w:rFonts w:ascii="Times New Roman" w:eastAsia="Times New Roman" w:hAnsi="Times New Roman" w:cs="Times New Roman"/>
          <w:sz w:val="28"/>
          <w:szCs w:val="28"/>
          <w:lang w:eastAsia="ru-RU"/>
        </w:rPr>
        <w:t xml:space="preserve"> она усиливает значение нематериальных факторов, таких как корпоративная культура, гибкость управления и уровень цифровой зрелости. Наличие ресурсов само по себе не гарантирует инновационного успеха: решающее значение имеет организация процессов их использования и способность предприятия к быстрой адаптации </w:t>
      </w:r>
      <w:r w:rsidR="008012BB">
        <w:rPr>
          <w:rFonts w:ascii="Times New Roman" w:eastAsia="Times New Roman" w:hAnsi="Times New Roman" w:cs="Times New Roman"/>
          <w:sz w:val="28"/>
          <w:szCs w:val="28"/>
          <w:lang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{"citationID":"a2m95c6r1d","properties":{"formattedCitation":"[28]","plainCitation":"[28]","noteIndex":0},"citationItems":[{"id":72,"uris":["http://zotero.org/users/16887523/items/2FG3DIEP"],"itemData":{"id":72,"type":"article-journal","abstract":"This study investigates how the digital business environment affects firms' innovation input variables. It was discovered that digitization leads to ongoing corporate environment optimization, which improves the effectiveness of innovation. One of the institutional environment factors, digitalization, increases the redundancy of government subsidies on businesses' investments in innovation. It also helps to eliminate duplication in innovation investment through the financial environment and the protection of legal rights. With increasing marketization in the informal institutional framework, the degree of R&amp;D investment redundancy lowers while R&amp;D human resource investment redundancy grows. Digitization not only lowers the grade of innovation, but it also has a negative association with the duplicate nature of commercial R&amp;D investments. The authors' research combines institutional environment theory and digital development to establish a new empirical foundation for corporate development in order to boost innovation efficiency.","container-title":"Journal of Organizational and End User Computing","DOI":"10.4018/JOEUC.327365","ISSN":"1546-2234, 1546-5012","issue":"3","language":"ng","license":"http://creativecommons.org/licenses/by/3.0/deed.en_US","page":"1-25","source":"DOI.org (Crossref)","title":"Digitalization of the Business Environment and Innovation Efficiency of Chinese ICT Firms:","title-short":"Digitalization of the Business Environment and Innovation Efficiency of Chinese ICT Firms","URL":"https://services.igi-global.com/resolvedoi/resolve.aspx?doi=10.4018/JOEUC.327365","volume":"35","author":[{"family":"Ding","given":"Jian"},{"family":"Liu","given":"Baoliu"},{"family":"Wang","given":"Jiaxin"},{"family":"Qiao","given":"Ping"},{"family":"Zhu","given":"Zhaowei"}],"accessed":{"date-parts":[["2025",11,22]]},"issued":{"date-parts":[["2023",8,14]]}}}],"schema":"https://github.com/citation-style-language/schema/raw/master/csl-citation.json"} </w:instrText>
      </w:r>
      <w:r w:rsidR="008012BB">
        <w:rPr>
          <w:rFonts w:ascii="Times New Roman" w:eastAsia="Times New Roman" w:hAnsi="Times New Roman" w:cs="Times New Roman"/>
          <w:sz w:val="28"/>
          <w:szCs w:val="28"/>
          <w:lang w:eastAsia="ru-RU"/>
        </w:rPr>
        <w:fldChar w:fldCharType="separate"/>
      </w:r>
      <w:r w:rsidR="009C6DCA" w:rsidRPr="009C6DCA">
        <w:rPr>
          <w:rFonts w:ascii="Times New Roman" w:hAnsi="Times New Roman" w:cs="Times New Roman"/>
          <w:sz w:val="28"/>
        </w:rPr>
        <w:t>[28]</w:t>
      </w:r>
      <w:r w:rsidR="008012BB">
        <w:rPr>
          <w:rFonts w:ascii="Times New Roman" w:eastAsia="Times New Roman" w:hAnsi="Times New Roman" w:cs="Times New Roman"/>
          <w:sz w:val="28"/>
          <w:szCs w:val="28"/>
          <w:lang w:eastAsia="ru-RU"/>
        </w:rPr>
        <w:fldChar w:fldCharType="end"/>
      </w:r>
      <w:r w:rsidRPr="00A12459">
        <w:rPr>
          <w:rFonts w:ascii="Times New Roman" w:eastAsia="Times New Roman" w:hAnsi="Times New Roman" w:cs="Times New Roman"/>
          <w:sz w:val="28"/>
          <w:szCs w:val="28"/>
          <w:lang w:eastAsia="ru-RU"/>
        </w:rPr>
        <w:t>.</w:t>
      </w:r>
    </w:p>
    <w:p w14:paraId="4CF03339" w14:textId="4D1BFCA6" w:rsidR="008252E9" w:rsidRPr="008252E9" w:rsidRDefault="008252E9" w:rsidP="002F33D0">
      <w:pPr>
        <w:spacing w:after="0" w:line="240" w:lineRule="auto"/>
        <w:ind w:firstLine="567"/>
        <w:jc w:val="both"/>
        <w:rPr>
          <w:rFonts w:ascii="Times New Roman" w:eastAsia="Times New Roman" w:hAnsi="Times New Roman" w:cs="Times New Roman"/>
          <w:sz w:val="28"/>
          <w:szCs w:val="28"/>
          <w:lang w:eastAsia="ru-RU"/>
        </w:rPr>
      </w:pPr>
      <w:r w:rsidRPr="008252E9">
        <w:rPr>
          <w:rFonts w:ascii="Times New Roman" w:eastAsia="Times New Roman" w:hAnsi="Times New Roman" w:cs="Times New Roman"/>
          <w:sz w:val="28"/>
          <w:szCs w:val="28"/>
          <w:lang w:eastAsia="ru-RU"/>
        </w:rPr>
        <w:t xml:space="preserve">Таким образом, методика оценки инновационного потенциала должна быть не только комплексной, но и адаптивной </w:t>
      </w:r>
      <w:r w:rsidR="009D20AE">
        <w:rPr>
          <w:rFonts w:ascii="Times New Roman" w:eastAsia="Times New Roman" w:hAnsi="Times New Roman" w:cs="Times New Roman"/>
          <w:sz w:val="28"/>
          <w:szCs w:val="28"/>
          <w:lang w:eastAsia="ru-RU"/>
        </w:rPr>
        <w:t>–</w:t>
      </w:r>
      <w:r w:rsidRPr="008252E9">
        <w:rPr>
          <w:rFonts w:ascii="Times New Roman" w:eastAsia="Times New Roman" w:hAnsi="Times New Roman" w:cs="Times New Roman"/>
          <w:sz w:val="28"/>
          <w:szCs w:val="28"/>
          <w:lang w:eastAsia="ru-RU"/>
        </w:rPr>
        <w:t xml:space="preserve"> учитывать, как внутренние ресурсы (человеческие, технологические, финансовые), так и внешние условия </w:t>
      </w:r>
      <w:r w:rsidR="009D20AE">
        <w:rPr>
          <w:rFonts w:ascii="Times New Roman" w:eastAsia="Times New Roman" w:hAnsi="Times New Roman" w:cs="Times New Roman"/>
          <w:sz w:val="28"/>
          <w:szCs w:val="28"/>
          <w:lang w:eastAsia="ru-RU"/>
        </w:rPr>
        <w:t>–</w:t>
      </w:r>
      <w:r w:rsidRPr="008252E9">
        <w:rPr>
          <w:rFonts w:ascii="Times New Roman" w:eastAsia="Times New Roman" w:hAnsi="Times New Roman" w:cs="Times New Roman"/>
          <w:sz w:val="28"/>
          <w:szCs w:val="28"/>
          <w:lang w:eastAsia="ru-RU"/>
        </w:rPr>
        <w:t xml:space="preserve"> институциональную среду, доступ к финансированию, уровень цифровизации и государственную поддержку. В быстро меняющейся цифровой среде оценка инновационного потенциала становится не просто инструментом диагностики, но и элементом стратегического управления, позволяющим предприятиям своевременно реагировать на изменения и развивать способность к инновациям </w:t>
      </w:r>
      <w:r w:rsidR="008012BB">
        <w:rPr>
          <w:rFonts w:ascii="Times New Roman" w:eastAsia="Times New Roman" w:hAnsi="Times New Roman" w:cs="Times New Roman"/>
          <w:sz w:val="28"/>
          <w:szCs w:val="28"/>
          <w:lang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{"citationID":"a89bdcft3n","properties":{"formattedCitation":"[55]","plainCitation":"[55]","noteIndex":0},"citationItems":[{"id":106,"uris":["http://zotero.org/users/16887523/items/UIPG8NSP"],"itemData":{"id":106,"type":"article-journal","abstract":"Introduction. The fintech industry has focused on its potential, as it has rethought the possibilities and put the provision of financial services in a digitally developed world on a completely different level. The digital transformation of financial services, made possible by the rapid development of new technologies that ensure reliable transactions, has boosted the growth of FinTech companies. \nAim and tasks. The study aims to comprehensively assess the determinants of the ability of FinTech companies to achieve market leadership, sustain innovation activity, and ensure regulatory compliance in the context of the financial sector’s digital transformation. \nResults. The expert survey developed a standardised codebook to evaluate 15 FinTech companies grouped into three clusters, resulting in a composite index and validating hypotheses about the factors determining growth. The regulatory environment (RE, 0.148), trust and security (TS, 0.139), and access to finance (AF, 0.117) form the core determinants, followed by technological infrastructure (TI, 0.111) and team quality (TQ, 0.108), and the remaining factors have lower relative weights (&lt;0.09). The inter-firm differences are mainly explained by the performance on the regulatory-trust and financial-technology determinants, and the sensitivity analysis shows that a 1-point (0–5) increase in RE/TS/AF increases the index by approximately +0.030/+0.028/+0.023, which quantitatively confirms their leading roles. A comparative analysis of the cohorts showed that the leaders (C1–C7) demonstrated high results (≥4 points on 9–10 factors out of 10) and significant superiority in technology infrastructure (TI) and team quality (TQ). At the same time, the remaining groups of companies had more fragmented profiles with pronounced weaknesses. \nConclusions. FinTech growth relies on a core of regulatory stability (RE), trust and security (TS), and access to finance (AF), complemented by technological infrastructure (TI) and team quality (TQ). Predictable regulation, access to capital, high-security standards, and targeted partnerships maximise the chance of “gazelle” or “unicorn” growth. A predictable regulatory environment and access to investment capital play a key role in accelerating the growth of the FinTech ecosystem. FinTech management should prioritise investments in technology infrastructure, developing highly skilled teams, creating targeted partnerships and ecosystems (PEs), and developing scalability and international expansion (SIEs) to transform high-growth companies into leaders.","container-title":"Economics Ecology Socium","DOI":"10.61954/2616-7107/2025.9.3-7","ISSN":"2616-7107, 2616-7107","issue":"3","journalAbbreviation":"ees","license":"https://creativecommons.org/licenses/by-nc/4.0/","page":"93-109","source":"DOI.org (Crossref)","title":"Assessment of Factors Influencing Market Leadership and Innovation of FinTech Companies in the Digital economy","URL":"https://ees-journal.com/index.php/journal/article/view/305","volume":"9","author":[{"family":"Anguelov","given":"Kiril"},{"family":"Stoyanova","given":"Tsvetana"}],"accessed":{"date-parts":[["2025",11,22]]},"issued":{"date-parts":[["2025",9,30]]}}}],"schema":"https://github.com/citation-style-language/schema/raw/master/csl-citation.json"} </w:instrText>
      </w:r>
      <w:r w:rsidR="008012BB">
        <w:rPr>
          <w:rFonts w:ascii="Times New Roman" w:eastAsia="Times New Roman" w:hAnsi="Times New Roman" w:cs="Times New Roman"/>
          <w:sz w:val="28"/>
          <w:szCs w:val="28"/>
          <w:lang w:eastAsia="ru-RU"/>
        </w:rPr>
        <w:fldChar w:fldCharType="separate"/>
      </w:r>
      <w:r w:rsidR="009C6DCA" w:rsidRPr="009C6DCA">
        <w:rPr>
          <w:rFonts w:ascii="Times New Roman" w:hAnsi="Times New Roman" w:cs="Times New Roman"/>
          <w:sz w:val="28"/>
        </w:rPr>
        <w:t>[55]</w:t>
      </w:r>
      <w:r w:rsidR="008012BB">
        <w:rPr>
          <w:rFonts w:ascii="Times New Roman" w:eastAsia="Times New Roman" w:hAnsi="Times New Roman" w:cs="Times New Roman"/>
          <w:sz w:val="28"/>
          <w:szCs w:val="28"/>
          <w:lang w:eastAsia="ru-RU"/>
        </w:rPr>
        <w:fldChar w:fldCharType="end"/>
      </w:r>
      <w:r w:rsidRPr="008252E9">
        <w:rPr>
          <w:rFonts w:ascii="Times New Roman" w:eastAsia="Times New Roman" w:hAnsi="Times New Roman" w:cs="Times New Roman"/>
          <w:sz w:val="28"/>
          <w:szCs w:val="28"/>
          <w:lang w:eastAsia="ru-RU"/>
        </w:rPr>
        <w:t>.</w:t>
      </w:r>
    </w:p>
    <w:p w14:paraId="35E9FB95" w14:textId="75E5A028" w:rsidR="008252E9" w:rsidRPr="00125EA1" w:rsidRDefault="008252E9" w:rsidP="002F33D0">
      <w:pPr>
        <w:spacing w:after="0" w:line="240" w:lineRule="auto"/>
        <w:ind w:firstLine="567"/>
        <w:jc w:val="both"/>
        <w:rPr>
          <w:rFonts w:ascii="Times New Roman" w:eastAsia="Times New Roman" w:hAnsi="Times New Roman" w:cs="Times New Roman"/>
          <w:sz w:val="28"/>
          <w:szCs w:val="28"/>
          <w:lang w:eastAsia="ru-RU"/>
        </w:rPr>
      </w:pPr>
      <w:r w:rsidRPr="00125EA1">
        <w:rPr>
          <w:rFonts w:ascii="Times New Roman" w:eastAsia="Times New Roman" w:hAnsi="Times New Roman" w:cs="Times New Roman"/>
          <w:sz w:val="28"/>
          <w:szCs w:val="28"/>
          <w:lang w:eastAsia="ru-RU"/>
        </w:rPr>
        <w:t xml:space="preserve">Исторически первые методики оценки инновационного потенциала носили индикативный характер и основывались на количественных показателях </w:t>
      </w:r>
      <w:r w:rsidR="009D20AE">
        <w:rPr>
          <w:rFonts w:ascii="Times New Roman" w:eastAsia="Times New Roman" w:hAnsi="Times New Roman" w:cs="Times New Roman"/>
          <w:sz w:val="28"/>
          <w:szCs w:val="28"/>
          <w:lang w:eastAsia="ru-RU"/>
        </w:rPr>
        <w:t>–</w:t>
      </w:r>
      <w:r w:rsidRPr="00125EA1">
        <w:rPr>
          <w:rFonts w:ascii="Times New Roman" w:eastAsia="Times New Roman" w:hAnsi="Times New Roman" w:cs="Times New Roman"/>
          <w:sz w:val="28"/>
          <w:szCs w:val="28"/>
          <w:lang w:eastAsia="ru-RU"/>
        </w:rPr>
        <w:t xml:space="preserve"> объёмах расходов на НИОКР, количестве патентов, доле инновационной продукции в выручке. Эти индикаторы позволяли осуществлять межфирменные и межрегиональные сравнения, однако не отражали качественные характеристики инновационной среды, такие как инновационная культура, гибкость управления или уровень цифровой зрелости </w:t>
      </w:r>
      <w:r w:rsidR="008012BB">
        <w:rPr>
          <w:rFonts w:ascii="Times New Roman" w:eastAsia="Times New Roman" w:hAnsi="Times New Roman" w:cs="Times New Roman"/>
          <w:sz w:val="28"/>
          <w:szCs w:val="28"/>
          <w:lang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{"citationID":"a1lker5jpqk","properties":{"formattedCitation":"[133]","plainCitation":"[133]","noteIndex":0},"citationItems":[{"id":192,"uris":["http://zotero.org/users/16887523/items/CRACIE26"],"itemData":{"id":192,"type":"article-journal","abstract":"The article carries out an analytical review of scientific publications of domestic and foreign scientists on the research of the methodology of assessing innovation potential, which showed that it is insufficiently developed, in particular, at the level of an industrial enterprise in the conditions of the digital economy. It has been proven that in the scientific works of both foreign and domestic economists, the task of assessing the innovative potential of an industrial enterprise boils down to the use of one of two possible assessment methods: detailed or diagnostic. The analytical review of available methods conducted in the article showed that the considered methods have certain advantages and disadvantages. The most complete, deep and objective assessment of the innovative potential of a system is possible only with the correct selection of a set of indicators that allow characterizing the innovative potential according to various features and in terms of its constituent components. Thus, the author's methodology of assessing the innovative potential of an industrial enterprise, taking into account the digitalization of the economy, is proposed. As part of the methodology, a system of indicators for analysis was developed, which is subdivided into four projections: production and technological resources, financial and management resources, factors of innovative activity, and indicators of information security. The proposed methodology includes the calculation of generalized indices of the innovative potential of each projection, the integral indicator of the innovative potential of the enterprise for positioning the enterprise according to the level of innovative activity. Such a set of indicators meets the requirements of universality and ease of use, but at the same time provides objective and complete information about the state of the innovative potential of an industrial enterprise, in particular in the context of digitalization.","container-title":"THE PROBLEMS OF ECONOMY","DOI":"10.32983/2222-0712-2022-3-112-120","ISSN":"22220712","issue":"53","journalAbbreviation":"PE","page":"112-120","source":"DOI.org (Crossref)","title":"Methodology of Assessing the Innovative Potential of Industrial Enterprises in the Digital Economy","URL":"https://www.problecon.com/export_pdf/problems-of-economy-2022-3_0-pages-112_120.pdf","volume":"3","author":[{"family":"Havrylenko","given":"Nataliia H."}],"accessed":{"date-parts":[["2025",11,22]]},"issued":{"date-parts":[["2022"]]}}}],"schema":"https://github.com/citation-style-language/schema/raw/master/csl-citation.json"} </w:instrText>
      </w:r>
      <w:r w:rsidR="008012BB">
        <w:rPr>
          <w:rFonts w:ascii="Times New Roman" w:eastAsia="Times New Roman" w:hAnsi="Times New Roman" w:cs="Times New Roman"/>
          <w:sz w:val="28"/>
          <w:szCs w:val="28"/>
          <w:lang w:eastAsia="ru-RU"/>
        </w:rPr>
        <w:fldChar w:fldCharType="separate"/>
      </w:r>
      <w:r w:rsidR="009C6DCA" w:rsidRPr="009C6DCA">
        <w:rPr>
          <w:rFonts w:ascii="Times New Roman" w:hAnsi="Times New Roman" w:cs="Times New Roman"/>
          <w:sz w:val="28"/>
        </w:rPr>
        <w:t>[133]</w:t>
      </w:r>
      <w:r w:rsidR="008012BB">
        <w:rPr>
          <w:rFonts w:ascii="Times New Roman" w:eastAsia="Times New Roman" w:hAnsi="Times New Roman" w:cs="Times New Roman"/>
          <w:sz w:val="28"/>
          <w:szCs w:val="28"/>
          <w:lang w:eastAsia="ru-RU"/>
        </w:rPr>
        <w:fldChar w:fldCharType="end"/>
      </w:r>
      <w:r w:rsidRPr="00125EA1">
        <w:rPr>
          <w:rFonts w:ascii="Times New Roman" w:eastAsia="Times New Roman" w:hAnsi="Times New Roman" w:cs="Times New Roman"/>
          <w:sz w:val="28"/>
          <w:szCs w:val="28"/>
          <w:lang w:eastAsia="ru-RU"/>
        </w:rPr>
        <w:t>.</w:t>
      </w:r>
    </w:p>
    <w:p w14:paraId="6C654FDA" w14:textId="25B5EFE2" w:rsidR="008252E9" w:rsidRPr="00125EA1" w:rsidRDefault="008252E9" w:rsidP="002F33D0">
      <w:pPr>
        <w:spacing w:after="0" w:line="240" w:lineRule="auto"/>
        <w:ind w:firstLine="567"/>
        <w:jc w:val="both"/>
        <w:rPr>
          <w:rFonts w:ascii="Times New Roman" w:eastAsia="Times New Roman" w:hAnsi="Times New Roman" w:cs="Times New Roman"/>
          <w:sz w:val="28"/>
          <w:szCs w:val="28"/>
          <w:lang w:eastAsia="ru-RU"/>
        </w:rPr>
      </w:pPr>
      <w:r w:rsidRPr="00125EA1">
        <w:rPr>
          <w:rFonts w:ascii="Times New Roman" w:eastAsia="Times New Roman" w:hAnsi="Times New Roman" w:cs="Times New Roman"/>
          <w:sz w:val="28"/>
          <w:szCs w:val="28"/>
          <w:lang w:eastAsia="ru-RU"/>
        </w:rPr>
        <w:t xml:space="preserve">Постепенно исследователи перешли от статичных к интегральным и индексным моделям, агрегирующим систему показателей в сводные оценки. </w:t>
      </w:r>
      <w:r w:rsidRPr="00125EA1">
        <w:rPr>
          <w:rFonts w:ascii="Times New Roman" w:eastAsia="Times New Roman" w:hAnsi="Times New Roman" w:cs="Times New Roman"/>
          <w:sz w:val="28"/>
          <w:szCs w:val="28"/>
          <w:lang w:eastAsia="ru-RU"/>
        </w:rPr>
        <w:lastRenderedPageBreak/>
        <w:t xml:space="preserve">Havrylenko </w:t>
      </w:r>
      <w:r w:rsidR="008012BB">
        <w:rPr>
          <w:rFonts w:ascii="Times New Roman" w:eastAsia="Times New Roman" w:hAnsi="Times New Roman" w:cs="Times New Roman"/>
          <w:sz w:val="28"/>
          <w:szCs w:val="28"/>
          <w:lang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{"citationID":"a20s6q9mtqr","properties":{"formattedCitation":"[133]","plainCitation":"[133]","noteIndex":0},"citationItems":[{"id":192,"uris":["http://zotero.org/users/16887523/items/CRACIE26"],"itemData":{"id":192,"type":"article-journal","abstract":"The article carries out an analytical review of scientific publications of domestic and foreign scientists on the research of the methodology of assessing innovation potential, which showed that it is insufficiently developed, in particular, at the level of an industrial enterprise in the conditions of the digital economy. It has been proven that in the scientific works of both foreign and domestic economists, the task of assessing the innovative potential of an industrial enterprise boils down to the use of one of two possible assessment methods: detailed or diagnostic. The analytical review of available methods conducted in the article showed that the considered methods have certain advantages and disadvantages. The most complete, deep and objective assessment of the innovative potential of a system is possible only with the correct selection of a set of indicators that allow characterizing the innovative potential according to various features and in terms of its constituent components. Thus, the author's methodology of assessing the innovative potential of an industrial enterprise, taking into account the digitalization of the economy, is proposed. As part of the methodology, a system of indicators for analysis was developed, which is subdivided into four projections: production and technological resources, financial and management resources, factors of innovative activity, and indicators of information security. The proposed methodology includes the calculation of generalized indices of the innovative potential of each projection, the integral indicator of the innovative potential of the enterprise for positioning the enterprise according to the level of innovative activity. Such a set of indicators meets the requirements of universality and ease of use, but at the same time provides objective and complete information about the state of the innovative potential of an industrial enterprise, in particular in the context of digitalization.","container-title":"THE PROBLEMS OF ECONOMY","DOI":"10.32983/2222-0712-2022-3-112-120","ISSN":"22220712","issue":"53","journalAbbreviation":"PE","page":"112-120","source":"DOI.org (Crossref)","title":"Methodology of Assessing the Innovative Potential of Industrial Enterprises in the Digital Economy","URL":"https://www.problecon.com/export_pdf/problems-of-economy-2022-3_0-pages-112_120.pdf","volume":"3","author":[{"family":"Havrylenko","given":"Nataliia H."}],"accessed":{"date-parts":[["2025",11,22]]},"issued":{"date-parts":[["2022"]]}}}],"schema":"https://github.com/citation-style-language/schema/raw/master/csl-citation.json"} </w:instrText>
      </w:r>
      <w:r w:rsidR="008012BB">
        <w:rPr>
          <w:rFonts w:ascii="Times New Roman" w:eastAsia="Times New Roman" w:hAnsi="Times New Roman" w:cs="Times New Roman"/>
          <w:sz w:val="28"/>
          <w:szCs w:val="28"/>
          <w:lang w:eastAsia="ru-RU"/>
        </w:rPr>
        <w:fldChar w:fldCharType="separate"/>
      </w:r>
      <w:r w:rsidR="009C6DCA" w:rsidRPr="009C6DCA">
        <w:rPr>
          <w:rFonts w:ascii="Times New Roman" w:hAnsi="Times New Roman" w:cs="Times New Roman"/>
          <w:sz w:val="28"/>
        </w:rPr>
        <w:t>[133]</w:t>
      </w:r>
      <w:r w:rsidR="008012BB">
        <w:rPr>
          <w:rFonts w:ascii="Times New Roman" w:eastAsia="Times New Roman" w:hAnsi="Times New Roman" w:cs="Times New Roman"/>
          <w:sz w:val="28"/>
          <w:szCs w:val="28"/>
          <w:lang w:eastAsia="ru-RU"/>
        </w:rPr>
        <w:fldChar w:fldCharType="end"/>
      </w:r>
      <w:r w:rsidRPr="00125EA1">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предложила комплексный подход к управлению цифровыми инновациями на промышленных предприятиях, включающий компоненты цифровой культуры, стратегии, организационных изменений и технологической инфраструктуры. Эти модели обеспечивают более системное представление об уровне инновационного развития, но требуют адаптации под отраслевую специфику и уровень цифровой зрелости предприятий.</w:t>
      </w:r>
    </w:p>
    <w:p w14:paraId="05B55E67" w14:textId="1D51F8AC" w:rsidR="008252E9" w:rsidRPr="00617838" w:rsidRDefault="008252E9" w:rsidP="002F33D0">
      <w:pPr>
        <w:spacing w:after="0" w:line="240" w:lineRule="auto"/>
        <w:ind w:firstLine="567"/>
        <w:jc w:val="both"/>
        <w:rPr>
          <w:rFonts w:ascii="Times New Roman" w:eastAsia="Times New Roman" w:hAnsi="Times New Roman" w:cs="Times New Roman"/>
          <w:sz w:val="28"/>
          <w:szCs w:val="28"/>
          <w:lang w:eastAsia="ru-RU"/>
        </w:rPr>
      </w:pPr>
      <w:r w:rsidRPr="00125EA1">
        <w:rPr>
          <w:rFonts w:ascii="Times New Roman" w:eastAsia="Times New Roman" w:hAnsi="Times New Roman" w:cs="Times New Roman"/>
          <w:sz w:val="28"/>
          <w:szCs w:val="28"/>
          <w:lang w:eastAsia="ru-RU"/>
        </w:rPr>
        <w:t xml:space="preserve">В последние годы методологическая парадигма оценки существенно изменилась под влиянием цифровизации. Исследователи отмечают, что традиционные показатели </w:t>
      </w:r>
      <w:r w:rsidR="009D20AE">
        <w:rPr>
          <w:rFonts w:ascii="Times New Roman" w:eastAsia="Times New Roman" w:hAnsi="Times New Roman" w:cs="Times New Roman"/>
          <w:sz w:val="28"/>
          <w:szCs w:val="28"/>
          <w:lang w:eastAsia="ru-RU"/>
        </w:rPr>
        <w:t>–</w:t>
      </w:r>
      <w:r w:rsidRPr="00125EA1">
        <w:rPr>
          <w:rFonts w:ascii="Times New Roman" w:eastAsia="Times New Roman" w:hAnsi="Times New Roman" w:cs="Times New Roman"/>
          <w:sz w:val="28"/>
          <w:szCs w:val="28"/>
          <w:lang w:eastAsia="ru-RU"/>
        </w:rPr>
        <w:t xml:space="preserve"> расходы на НИОКР и количество патентов </w:t>
      </w:r>
      <w:r w:rsidR="009D20AE">
        <w:rPr>
          <w:rFonts w:ascii="Times New Roman" w:eastAsia="Times New Roman" w:hAnsi="Times New Roman" w:cs="Times New Roman"/>
          <w:sz w:val="28"/>
          <w:szCs w:val="28"/>
          <w:lang w:eastAsia="ru-RU"/>
        </w:rPr>
        <w:t>–</w:t>
      </w:r>
      <w:r w:rsidRPr="00125EA1">
        <w:rPr>
          <w:rFonts w:ascii="Times New Roman" w:eastAsia="Times New Roman" w:hAnsi="Times New Roman" w:cs="Times New Roman"/>
          <w:sz w:val="28"/>
          <w:szCs w:val="28"/>
          <w:lang w:eastAsia="ru-RU"/>
        </w:rPr>
        <w:t xml:space="preserve"> фиксируют лишь входные параметры инновационной деятельности и не отражают реальные результаты и влияние на производительность </w:t>
      </w:r>
      <w:r w:rsidR="00EB5CC8">
        <w:rPr>
          <w:rFonts w:ascii="Times New Roman" w:eastAsia="Times New Roman" w:hAnsi="Times New Roman" w:cs="Times New Roman"/>
          <w:sz w:val="28"/>
          <w:szCs w:val="28"/>
          <w:lang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{"citationID":"a12jtt9q4ot","properties":{"formattedCitation":"[134]","plainCitation":"[134]","noteIndex":0},"citationItems":[{"id":194,"uris":["http://zotero.org/users/16887523/items/8RG3Q7ZD"],"itemData":{"id":194,"type":"article-journal","abstract":"Recent advancements in big data analytics and artificial intelligence (AI) have revolutionized precision oncology, enabling the prediction of therapy responses, patient stratification, and the personalization of treatment courses. This study expands upon the methodologies and results presented in \"Leveraging Big Data Analytics for Personalized Cancer Treatment: An Overview of Current Approaches and Future Directions\" (Journal of Engineering, 2025) by formulating and implementing an innovative framework for multimodal, data-driven cancer care. The system amalgamates genetic, transcriptomic, imaging, clinical, and patient-reported data streams with machine learning models, causal inference methodologies, and explainable AI to produce personalized treatment-effect predictions. The suggested approach, named OncoSage, exhibits enhanced stability, predictive accuracy, and interpretability when evaluated against benchmark datasets such as TCGA, METABRIC, and TCIA, surpassing traditional models. Significant contributions encompass schema-first data governance, uncertainty quantification using conformal prediction, target-trial emulation for treatment impact estimation, and fairness-aware monitoring in federated environments. The findings underscore the clinical relevance of explainable big-data pipelines in oncology, providing clear and ethically sound decision assistance that connects computational capabilities with practical implementation in clinical settings. This study enhances the expanding field of translational cancer informatics by offering a replicable, therapeutically pertinent, and governance-oriented framework for future customized oncology systems.","container-title":"Journal of Medical and Health Studies","DOI":"10.32996/jmhs.2025.6.4.14","ISSN":"2710-1452","issue":"4","journalAbbreviation":"jmhs","license":"https://creativecommons.org/licenses/by/4.0","page":"104-117","source":"DOI.org (Crossref)","title":"A Multimodal Big Data and Explainable AI Framework for Personalized Cancer Care: Extending Methods for Clinical Translation","title-short":"A Multimodal Big Data and Explainable AI Framework for Personalized Cancer Care","URL":"https://al-kindipublisher.com/index.php/jmhs/article/view/11015","volume":"6","author":[{"family":"Hossain","given":"Forhad"}],"accessed":{"date-parts":[["2025",11,23]]},"issued":{"date-parts":[["2025",9,27]]}}}],"schema":"https://github.com/citation-style-language/schema/raw/master/csl-citation.json"} </w:instrText>
      </w:r>
      <w:r w:rsidR="00EB5CC8">
        <w:rPr>
          <w:rFonts w:ascii="Times New Roman" w:eastAsia="Times New Roman" w:hAnsi="Times New Roman" w:cs="Times New Roman"/>
          <w:sz w:val="28"/>
          <w:szCs w:val="28"/>
          <w:lang w:eastAsia="ru-RU"/>
        </w:rPr>
        <w:fldChar w:fldCharType="separate"/>
      </w:r>
      <w:r w:rsidR="009C6DCA" w:rsidRPr="009C6DCA">
        <w:rPr>
          <w:rFonts w:ascii="Times New Roman" w:hAnsi="Times New Roman" w:cs="Times New Roman"/>
          <w:sz w:val="28"/>
        </w:rPr>
        <w:t>[134]</w:t>
      </w:r>
      <w:r w:rsidR="00EB5CC8">
        <w:rPr>
          <w:rFonts w:ascii="Times New Roman" w:eastAsia="Times New Roman" w:hAnsi="Times New Roman" w:cs="Times New Roman"/>
          <w:sz w:val="28"/>
          <w:szCs w:val="28"/>
          <w:lang w:eastAsia="ru-RU"/>
        </w:rPr>
        <w:fldChar w:fldCharType="end"/>
      </w:r>
      <w:r w:rsidRPr="00125EA1">
        <w:rPr>
          <w:rFonts w:ascii="Times New Roman" w:eastAsia="Times New Roman" w:hAnsi="Times New Roman" w:cs="Times New Roman"/>
          <w:sz w:val="28"/>
          <w:szCs w:val="28"/>
          <w:lang w:eastAsia="ru-RU"/>
        </w:rPr>
        <w:t>. В ответ на это появились новые подходы, использующие цифровые источники данных, искусстве</w:t>
      </w:r>
      <w:r w:rsidR="00EB5CC8">
        <w:rPr>
          <w:rFonts w:ascii="Times New Roman" w:eastAsia="Times New Roman" w:hAnsi="Times New Roman" w:cs="Times New Roman"/>
          <w:sz w:val="28"/>
          <w:szCs w:val="28"/>
          <w:lang w:eastAsia="ru-RU"/>
        </w:rPr>
        <w:t>нный интеллект и большие данные</w:t>
      </w:r>
      <w:r w:rsidRPr="00125EA1">
        <w:rPr>
          <w:rFonts w:ascii="Times New Roman" w:eastAsia="Times New Roman" w:hAnsi="Times New Roman" w:cs="Times New Roman"/>
          <w:sz w:val="28"/>
          <w:szCs w:val="28"/>
          <w:lang w:eastAsia="ru-RU"/>
        </w:rPr>
        <w:t xml:space="preserve"> </w:t>
      </w:r>
      <w:r w:rsidR="009D20AE">
        <w:rPr>
          <w:rFonts w:ascii="Times New Roman" w:eastAsia="Times New Roman" w:hAnsi="Times New Roman" w:cs="Times New Roman"/>
          <w:sz w:val="28"/>
          <w:szCs w:val="28"/>
          <w:lang w:eastAsia="ru-RU"/>
        </w:rPr>
        <w:t>–</w:t>
      </w:r>
      <w:r w:rsidRPr="00125EA1">
        <w:rPr>
          <w:rFonts w:ascii="Times New Roman" w:eastAsia="Times New Roman" w:hAnsi="Times New Roman" w:cs="Times New Roman"/>
          <w:sz w:val="28"/>
          <w:szCs w:val="28"/>
          <w:lang w:eastAsia="ru-RU"/>
        </w:rPr>
        <w:t xml:space="preserve"> что позволило перейти от статичных измерений к динамическим и предиктивным моделям</w:t>
      </w:r>
      <w:r w:rsidR="00EB5CC8" w:rsidRPr="00EB5CC8">
        <w:rPr>
          <w:rFonts w:ascii="Times New Roman" w:eastAsia="Times New Roman" w:hAnsi="Times New Roman" w:cs="Times New Roman"/>
          <w:sz w:val="28"/>
          <w:szCs w:val="28"/>
          <w:lang w:eastAsia="ru-RU"/>
        </w:rPr>
        <w:t xml:space="preserve"> </w:t>
      </w:r>
      <w:r w:rsidR="00EB5CC8">
        <w:rPr>
          <w:rFonts w:ascii="Times New Roman" w:eastAsia="Times New Roman" w:hAnsi="Times New Roman" w:cs="Times New Roman"/>
          <w:sz w:val="28"/>
          <w:szCs w:val="28"/>
          <w:lang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{"citationID":"a18jcc128lc","properties":{"formattedCitation":"[135]","plainCitation":"[135]","noteIndex":0},"citationItems":[{"id":195,"uris":["http://zotero.org/users/16887523/items/TT3S4DFY"],"itemData":{"id":195,"type":"article-journal","abstract":"Gene therapy has specialized into different classes, attacking the diseases from different fronts. Mono-therapy production has made an impact here over probably decades: the external supply (CDPs) with memory CD8+ T cells has mobilized an accompaniment of autoreactive CD4+ T cells, where the latter fire up antigen-presenting CD14+ macrophages. This whole process leaks anti-inflammatory cytokines. In direct local response, cytokines were supposed to have potential inhibition on regulatory T cells' (Treg) inhibitory activity. In the latter case, these CD4+ T helper cells involved in indirect pathology resolution could seem to have participated in the conditioning of subsequent immunological memory: perhaps acting as an additional T-cell helper. The one model that appears to connect the two classes of CTLs may also be involving CD8 T cells at that point, which are accounted to be CD4 T cell indirect actors in recognizing MHC II from APC and can mount expulsion of APC through MHC - CD8 interaction. The neutrally charged system perhaps dissipates its effects through soluble IL-10 and TGF-__; two cytokines clear only through decades of monitoring. In retrospect, this contrasting effect yields a \"persistence\" phenomenon, granting there are also weak antibodies that can be made for years after ceasing treatment, when apparently the autoimmunity could recur. The mixed CD4 T cells amplify the CD8 anti-viral activity in either CD4+ T-cell activation via direct action or cytokine-mediated CD8-promotion activity. Therefore, it is plausible that memory CD8 will serve to sustain their activity as well. By virtue of their neutralization, standard antibodies—IgG1 and IgG4—have been found to modify the antibody activity blocking signaling of their counterpart as noted. In other words, it suggests that momentarily, without agitating the existing Treg activity, this can be mediating some immune deviation-mediated inhibition via known mechanisms. The other regenerative design shown to increase is injection or cytophilic antibodies against MHC class II molecules, inhibiting APC or directly modulating T-cell activity. In an automatic fashion, therefore such treatment may lead to favoring the cellular restoration of CD4+ helpers and CD4+ memory cells, which in turn herald the procession of autoimmune activity.","container-title":"International Journal of Applied Mathematics","DOI":"10.12732/ijam.v38i4s.226","ISSN":"1314-8060","issue":"4s","journalAbbreviation":"ijam","page":"206-227","source":"DOI.org (Crossref)","title":"ADVANCED MACHINE LEARNING AND BIG DATA ANALYTICS FOR IMPROVED MEDICAL DECISION SYSTEM ACCURACY","URL":"https://ijamjournal.org/ijam/publication/index.php/ijam/article/view/226","volume":"38","author":[{"literal":"Archana G"}],"accessed":{"date-parts":[["2025",11,23]]},"issued":{"date-parts":[["2025",9,27]]}}}],"schema":"https://github.com/citation-style-language/schema/raw/master/csl-citation.json"} </w:instrText>
      </w:r>
      <w:r w:rsidR="00EB5CC8">
        <w:rPr>
          <w:rFonts w:ascii="Times New Roman" w:eastAsia="Times New Roman" w:hAnsi="Times New Roman" w:cs="Times New Roman"/>
          <w:sz w:val="28"/>
          <w:szCs w:val="28"/>
          <w:lang w:eastAsia="ru-RU"/>
        </w:rPr>
        <w:fldChar w:fldCharType="separate"/>
      </w:r>
      <w:r w:rsidR="009C6DCA" w:rsidRPr="009C6DCA">
        <w:rPr>
          <w:rFonts w:ascii="Times New Roman" w:hAnsi="Times New Roman" w:cs="Times New Roman"/>
          <w:sz w:val="28"/>
        </w:rPr>
        <w:t>[135]</w:t>
      </w:r>
      <w:r w:rsidR="00EB5CC8">
        <w:rPr>
          <w:rFonts w:ascii="Times New Roman" w:eastAsia="Times New Roman" w:hAnsi="Times New Roman" w:cs="Times New Roman"/>
          <w:sz w:val="28"/>
          <w:szCs w:val="28"/>
          <w:lang w:eastAsia="ru-RU"/>
        </w:rPr>
        <w:fldChar w:fldCharType="end"/>
      </w:r>
      <w:r w:rsidRPr="00617838">
        <w:rPr>
          <w:rFonts w:ascii="Times New Roman" w:eastAsia="Times New Roman" w:hAnsi="Times New Roman" w:cs="Times New Roman"/>
          <w:sz w:val="28"/>
          <w:szCs w:val="28"/>
          <w:lang w:eastAsia="ru-RU"/>
        </w:rPr>
        <w:t>.</w:t>
      </w:r>
    </w:p>
    <w:p w14:paraId="19F340CE" w14:textId="7DC24FAD" w:rsidR="008252E9" w:rsidRPr="00EB5CC8" w:rsidRDefault="008252E9" w:rsidP="002F33D0">
      <w:pPr>
        <w:spacing w:after="0" w:line="240" w:lineRule="auto"/>
        <w:ind w:firstLine="567"/>
        <w:jc w:val="both"/>
        <w:rPr>
          <w:rFonts w:ascii="Times New Roman" w:eastAsia="Times New Roman" w:hAnsi="Times New Roman" w:cs="Times New Roman"/>
          <w:sz w:val="28"/>
          <w:szCs w:val="28"/>
          <w:lang w:eastAsia="ru-RU"/>
        </w:rPr>
      </w:pPr>
      <w:r w:rsidRPr="00125EA1">
        <w:rPr>
          <w:rFonts w:ascii="Times New Roman" w:eastAsia="Times New Roman" w:hAnsi="Times New Roman" w:cs="Times New Roman"/>
          <w:sz w:val="28"/>
          <w:szCs w:val="28"/>
          <w:lang w:eastAsia="ru-RU"/>
        </w:rPr>
        <w:t>Например</w:t>
      </w:r>
      <w:r w:rsidRPr="00617838">
        <w:rPr>
          <w:rFonts w:ascii="Times New Roman" w:eastAsia="Times New Roman" w:hAnsi="Times New Roman" w:cs="Times New Roman"/>
          <w:sz w:val="28"/>
          <w:szCs w:val="28"/>
          <w:lang w:eastAsia="ru-RU"/>
        </w:rPr>
        <w:t xml:space="preserve">, </w:t>
      </w:r>
      <w:r w:rsidR="00EB5CC8">
        <w:rPr>
          <w:rFonts w:ascii="Times New Roman" w:eastAsia="Times New Roman" w:hAnsi="Times New Roman" w:cs="Times New Roman"/>
          <w:sz w:val="28"/>
          <w:szCs w:val="28"/>
          <w:lang w:val="en-US" w:eastAsia="ru-RU"/>
        </w:rPr>
        <w:t>F</w:t>
      </w:r>
      <w:r w:rsidR="00EB5CC8" w:rsidRPr="00617838">
        <w:rPr>
          <w:rFonts w:ascii="Times New Roman" w:eastAsia="Times New Roman" w:hAnsi="Times New Roman" w:cs="Times New Roman"/>
          <w:sz w:val="28"/>
          <w:szCs w:val="28"/>
          <w:lang w:eastAsia="ru-RU"/>
        </w:rPr>
        <w:t xml:space="preserve">. </w:t>
      </w:r>
      <w:r w:rsidR="00EB5CC8" w:rsidRPr="00617838">
        <w:rPr>
          <w:rFonts w:ascii="Times New Roman" w:eastAsia="Times New Roman" w:hAnsi="Times New Roman" w:cs="Times New Roman"/>
          <w:sz w:val="28"/>
          <w:szCs w:val="28"/>
          <w:lang w:val="en-US" w:eastAsia="ru-RU"/>
        </w:rPr>
        <w:t>Hossain</w:t>
      </w:r>
      <w:r w:rsidRPr="00617838">
        <w:rPr>
          <w:rFonts w:ascii="Times New Roman" w:eastAsia="Times New Roman" w:hAnsi="Times New Roman" w:cs="Times New Roman"/>
          <w:sz w:val="28"/>
          <w:szCs w:val="28"/>
          <w:lang w:eastAsia="ru-RU"/>
        </w:rPr>
        <w:t xml:space="preserve"> </w:t>
      </w:r>
      <w:r w:rsidR="00EB5CC8">
        <w:rPr>
          <w:rFonts w:ascii="Times New Roman" w:eastAsia="Times New Roman" w:hAnsi="Times New Roman" w:cs="Times New Roman"/>
          <w:sz w:val="28"/>
          <w:szCs w:val="28"/>
          <w:lang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{"citationID":"a20n68if4i3","properties":{"formattedCitation":"[134]","plainCitation":"[134]","noteIndex":0},"citationItems":[{"id":194,"uris":["http://zotero.org/users/16887523/items/8RG3Q7ZD"],"itemData":{"id":194,"type":"article-journal","abstract":"Recent advancements in big data analytics and artificial intelligence (AI) have revolutionized precision oncology, enabling the prediction of therapy responses, patient stratification, and the personalization of treatment courses. This study expands upon the methodologies and results presented in \"Leveraging Big Data Analytics for Personalized Cancer Treatment: An Overview of Current Approaches and Future Directions\" (Journal of Engineering, 2025) by formulating and implementing an innovative framework for multimodal, data-driven cancer care. The system amalgamates genetic, transcriptomic, imaging, clinical, and patient-reported data streams with machine learning models, causal inference methodologies, and explainable AI to produce personalized treatment-effect predictions. The suggested approach, named OncoSage, exhibits enhanced stability, predictive accuracy, and interpretability when evaluated against benchmark datasets such as TCGA, METABRIC, and TCIA, surpassing traditional models. Significant contributions encompass schema-first data governance, uncertainty quantification using conformal prediction, target-trial emulation for treatment impact estimation, and fairness-aware monitoring in federated environments. The findings underscore the clinical relevance of explainable big-data pipelines in oncology, providing clear and ethically sound decision assistance that connects computational capabilities with practical implementation in clinical settings. This study enhances the expanding field of translational cancer informatics by offering a replicable, therapeutically pertinent, and governance-oriented framework for future customized oncology systems.","container-title":"Journal of Medical and Health Studies","DOI":"10.32996/jmhs.2025.6.4.14","ISSN":"2710-1452","issue":"4","journalAbbreviation":"jmhs","license":"https://creativecommons.org/licenses/by/4.0","page":"104-117","source":"DOI.org (Crossref)","title":"A Multimodal Big Data and Explainable AI Framework for Personalized Cancer Care: Extending Methods for Clinical Translation","title-short":"A Multimodal Big Data and Explainable AI Framework for Personalized Cancer Care","URL":"https://al-kindipublisher.com/index.php/jmhs/article/view/11015","volume":"6","author":[{"family":"Hossain","given":"Forhad"}],"accessed":{"date-parts":[["2025",11,23]]},"issued":{"date-parts":[["2025",9,27]]}}}],"schema":"https://github.com/citation-style-language/schema/raw/master/csl-citation.json"} </w:instrText>
      </w:r>
      <w:r w:rsidR="00EB5CC8">
        <w:rPr>
          <w:rFonts w:ascii="Times New Roman" w:eastAsia="Times New Roman" w:hAnsi="Times New Roman" w:cs="Times New Roman"/>
          <w:sz w:val="28"/>
          <w:szCs w:val="28"/>
          <w:lang w:eastAsia="ru-RU"/>
        </w:rPr>
        <w:fldChar w:fldCharType="separate"/>
      </w:r>
      <w:r w:rsidR="009C6DCA" w:rsidRPr="009C6DCA">
        <w:rPr>
          <w:rFonts w:ascii="Times New Roman" w:hAnsi="Times New Roman" w:cs="Times New Roman"/>
          <w:sz w:val="28"/>
        </w:rPr>
        <w:t>[134]</w:t>
      </w:r>
      <w:r w:rsidR="00EB5CC8">
        <w:rPr>
          <w:rFonts w:ascii="Times New Roman" w:eastAsia="Times New Roman" w:hAnsi="Times New Roman" w:cs="Times New Roman"/>
          <w:sz w:val="28"/>
          <w:szCs w:val="28"/>
          <w:lang w:eastAsia="ru-RU"/>
        </w:rPr>
        <w:fldChar w:fldCharType="end"/>
      </w:r>
      <w:r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предложил</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использовать</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мультимодальные</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данные</w:t>
      </w:r>
      <w:r w:rsidR="00EB5CC8" w:rsidRPr="00617838">
        <w:rPr>
          <w:rFonts w:ascii="Times New Roman" w:eastAsia="Times New Roman" w:hAnsi="Times New Roman" w:cs="Times New Roman"/>
          <w:sz w:val="28"/>
          <w:szCs w:val="28"/>
          <w:lang w:eastAsia="ru-RU"/>
        </w:rPr>
        <w:t xml:space="preserve"> </w:t>
      </w:r>
      <w:r w:rsidR="009D20AE" w:rsidRPr="00617838">
        <w:rPr>
          <w:rFonts w:ascii="Times New Roman" w:eastAsia="Times New Roman" w:hAnsi="Times New Roman" w:cs="Times New Roman"/>
          <w:sz w:val="28"/>
          <w:szCs w:val="28"/>
          <w:lang w:eastAsia="ru-RU"/>
        </w:rPr>
        <w:t>–</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включая</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цифровые</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следы</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генетическую</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информацию</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клинические</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показатели</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и</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обратную</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связь</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от</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пользователей</w:t>
      </w:r>
      <w:r w:rsidR="00EB5CC8" w:rsidRPr="00617838">
        <w:rPr>
          <w:rFonts w:ascii="Times New Roman" w:eastAsia="Times New Roman" w:hAnsi="Times New Roman" w:cs="Times New Roman"/>
          <w:sz w:val="28"/>
          <w:szCs w:val="28"/>
          <w:lang w:eastAsia="ru-RU"/>
        </w:rPr>
        <w:t xml:space="preserve"> </w:t>
      </w:r>
      <w:r w:rsidR="009D20AE" w:rsidRPr="00617838">
        <w:rPr>
          <w:rFonts w:ascii="Times New Roman" w:eastAsia="Times New Roman" w:hAnsi="Times New Roman" w:cs="Times New Roman"/>
          <w:sz w:val="28"/>
          <w:szCs w:val="28"/>
          <w:lang w:eastAsia="ru-RU"/>
        </w:rPr>
        <w:t>–</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для</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построения</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комплексной</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системы</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оценки</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основанной</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на</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объяснимом</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ИИ</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и</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предиктивной</w:t>
      </w:r>
      <w:r w:rsidR="00EB5CC8" w:rsidRPr="00617838">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аналитике</w:t>
      </w:r>
      <w:r w:rsidR="00EB5CC8" w:rsidRPr="00617838">
        <w:rPr>
          <w:rFonts w:ascii="Times New Roman" w:eastAsia="Times New Roman" w:hAnsi="Times New Roman" w:cs="Times New Roman"/>
          <w:sz w:val="28"/>
          <w:szCs w:val="28"/>
          <w:lang w:eastAsia="ru-RU"/>
        </w:rPr>
        <w:t>.</w:t>
      </w:r>
      <w:r w:rsidRPr="00617838">
        <w:rPr>
          <w:rFonts w:ascii="Times New Roman" w:eastAsia="Times New Roman" w:hAnsi="Times New Roman" w:cs="Times New Roman"/>
          <w:sz w:val="28"/>
          <w:szCs w:val="28"/>
          <w:lang w:eastAsia="ru-RU"/>
        </w:rPr>
        <w:t xml:space="preserve"> </w:t>
      </w:r>
      <w:r w:rsidR="00EB5CC8">
        <w:rPr>
          <w:rFonts w:ascii="Times New Roman" w:eastAsia="Times New Roman" w:hAnsi="Times New Roman" w:cs="Times New Roman"/>
          <w:sz w:val="28"/>
          <w:szCs w:val="28"/>
          <w:lang w:val="en-US" w:eastAsia="ru-RU"/>
        </w:rPr>
        <w:t>S</w:t>
      </w:r>
      <w:r w:rsidR="00EB5CC8" w:rsidRPr="00EB5CC8">
        <w:rPr>
          <w:rFonts w:ascii="Times New Roman" w:eastAsia="Times New Roman" w:hAnsi="Times New Roman" w:cs="Times New Roman"/>
          <w:sz w:val="28"/>
          <w:szCs w:val="28"/>
          <w:lang w:eastAsia="ru-RU"/>
        </w:rPr>
        <w:t xml:space="preserve">. Dzreke </w:t>
      </w:r>
      <w:r w:rsidR="00EB5CC8">
        <w:rPr>
          <w:rFonts w:ascii="Times New Roman" w:eastAsia="Times New Roman" w:hAnsi="Times New Roman" w:cs="Times New Roman"/>
          <w:sz w:val="28"/>
          <w:szCs w:val="28"/>
          <w:lang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{"citationID":"autuv6m1sv","properties":{"formattedCitation":"[136]","plainCitation":"[136]","noteIndex":0},"citationItems":[{"id":198,"uris":["http://zotero.org/users/16887523/items/UALJ7CPU"],"itemData":{"id":198,"type":"article-journal","abstract":"Despite huge investments, 72% of businesses fail to turn their Big Data Analytics (BDA) and Artificial Intelligence (AI) capabilities into long-term competitive advantages, owing to isolated implementations that fail to capitalize on essential synergies. This study fills a critical gap in understanding how BDA and AI dynamically interact at the strategic, operational, and individual levels to build long-term organizational resilience. Using a rigorous mixed-methods design—including longitudinal panel data analysis of 1,200 firms (2015-2023), embedded multi-industry case studies, and fuzzy-set Qualitative Comparative Analysis (fsQCA)—the study reveals the transformative mechanism of BDA-AI Symbiosis, a recursive cycle in which advanced AI algorithms refine data quality and uncover novel insights within BDA systems, while enriched data assets simultaneously enhance the precision, adaptiveness, and Organizations that manage this integration achieve a 3.2-fold increase in competitive persistence compared to counterparts who operate in silos. The findings show that orchestration capability—the strategic alignment of resources, seamless cross-functional process design, and nurturing of hybrid expertise—mediates 58% of the sustainability effects of this symbiosis. Two equifinal pathways are identified: the Tech-Lead Synergy pathway, exemplified by a FinTech firm leveraging high maturity and executive mandates to accelerate integration, and the Orchestration-Driven pathway, demonstrated by Kroger's inventory optimization through superior process governance, despite moderate initial technological maturity. This study necessitates a paradigm shift by demonstrating that sustainable competitive advantage is derived not from discrete technological assets but from the recursive integration of BDA and AI, meticulously orchestrated across the organizational ecosystem, providing a blueprint for unleashing the enduring power of data-driven intelligence.","container-title":"Frontiers in Research","DOI":"10.71350/30624533119","ISSN":"3062-4533","issue":"1","journalAbbreviation":"Frontiers in Research","license":"https://creativecommons.org/licenses/by/4.0","page":"35-56","source":"DOI.org (Crossref)","title":"The symbiotic interplay between big data analytics (BDA) and artificial intelligence (AI) in the formulation and execution of sustainable competitive advantage: A multi-level analysis","title-short":"The symbiotic interplay between big data analytics (BDA) and artificial intelligence (AI) in the formulation and execution of sustainable competitive advantage","URL":"https://www.firjournal.com/index.php/pub/article/view/119","volume":"4","author":[{"family":"Dzreke","given":"Simon Suwanzy"}],"accessed":{"date-parts":[["2025",11,23]]},"issued":{"date-parts":[["2025",9,26]]}}}],"schema":"https://github.com/citation-style-language/schema/raw/master/csl-citation.json"} </w:instrText>
      </w:r>
      <w:r w:rsidR="00EB5CC8">
        <w:rPr>
          <w:rFonts w:ascii="Times New Roman" w:eastAsia="Times New Roman" w:hAnsi="Times New Roman" w:cs="Times New Roman"/>
          <w:sz w:val="28"/>
          <w:szCs w:val="28"/>
          <w:lang w:eastAsia="ru-RU"/>
        </w:rPr>
        <w:fldChar w:fldCharType="separate"/>
      </w:r>
      <w:r w:rsidR="009C6DCA" w:rsidRPr="009C6DCA">
        <w:rPr>
          <w:rFonts w:ascii="Times New Roman" w:hAnsi="Times New Roman" w:cs="Times New Roman"/>
          <w:sz w:val="28"/>
        </w:rPr>
        <w:t>[136]</w:t>
      </w:r>
      <w:r w:rsidR="00EB5CC8">
        <w:rPr>
          <w:rFonts w:ascii="Times New Roman" w:eastAsia="Times New Roman" w:hAnsi="Times New Roman" w:cs="Times New Roman"/>
          <w:sz w:val="28"/>
          <w:szCs w:val="28"/>
          <w:lang w:eastAsia="ru-RU"/>
        </w:rPr>
        <w:fldChar w:fldCharType="end"/>
      </w:r>
      <w:r w:rsidRPr="00125EA1">
        <w:rPr>
          <w:rFonts w:ascii="Times New Roman" w:eastAsia="Times New Roman" w:hAnsi="Times New Roman" w:cs="Times New Roman"/>
          <w:sz w:val="28"/>
          <w:szCs w:val="28"/>
          <w:lang w:eastAsia="ru-RU"/>
        </w:rPr>
        <w:t xml:space="preserve"> </w:t>
      </w:r>
      <w:r w:rsidR="00EB5CC8" w:rsidRPr="00EB5CC8">
        <w:rPr>
          <w:rFonts w:ascii="Times New Roman" w:eastAsia="Times New Roman" w:hAnsi="Times New Roman" w:cs="Times New Roman"/>
          <w:sz w:val="28"/>
          <w:szCs w:val="28"/>
          <w:lang w:eastAsia="ru-RU"/>
        </w:rPr>
        <w:t xml:space="preserve">развил этот подход, показав важность интеграции больших данных и ИИ на стратегическом, операционном и индивидуальном уровнях, где качество данных и аналитика усиливают управленческое принятие решений и устойчивое конкурентное преимущество. Эти подходы подчеркивают необходимость системной цифровой инфраструктуры и кросс-функционального взаимодействия. Л.А. Семина </w:t>
      </w:r>
      <w:r w:rsidR="00EB5CC8">
        <w:rPr>
          <w:rFonts w:ascii="Times New Roman" w:eastAsia="Times New Roman" w:hAnsi="Times New Roman" w:cs="Times New Roman"/>
          <w:sz w:val="28"/>
          <w:szCs w:val="28"/>
          <w:lang w:val="en-US"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{"citationID":"al0hi0d9hq","properties":{"formattedCitation":"[137]","plainCitation":"[137]","noteIndex":0},"citationItems":[{"id":199,"uris":["http://zotero.org/users/16887523/items/V5M6GDY3"],"itemData":{"id":199,"type":"article-journal","abstract":"Повышение уровня инвестиционной привлекательности с использованием системы сбалансированных показателей является важным инструментом при формировании инновационных проектов. Использование определенных методов, используемых для разработки, внедрения и управления системой сбалансированных показателей, помогает организациям оценивать инвестиционную привлекательность с различных точек зрения. Определение стратегических целей с помощью SWOT-анализа, установление причинно-следственных связей с использованием стратегической карты, определение ключевых показателей эффективности, определение стратегических мероприятий – инструменты повышения инвестиционной привлекательности при формировании инновационных проектов.\n            Increasing the level of investment attractiveness using the balanced scorecard system is an important tool for developing innovative projects. Using specific methods for developing, implementing, and managing the balanced scorecard system helps organizations evaluate investment attractiveness from various perspectives. Defining strategic goals using SWOT analysis, establishing cause-and-effect relationships using a strategic map, identifying key performance indicators, and defining strategic activities are tools for increasing investment attractiveness when developing innovative projects.","container-title":"Journal of Applied Research","DOI":"10.47576/2949-1878.2025.10.10.010","ISSN":"29491878","issue":"10","language":"ru","page":"84-89","source":"DOI.org (Crossref)","title":"Система сбалансированных показателей как инструмент повышения инвестиционной привлекательности при формировании инновационных проектов","title-short":"Система сбалансированных показателей как инструмент повышения инвестиционной привлекательности при формировании инновационных проектов","URL":"https://www.zhpi.ru/journal","author":[{"family":"Семина","given":"Л.А."},{"family":"Ковалева","given":"И.В."},{"family":"Кудинова","given":"М.Г."},{"family":"Горносталь","given":"Р.Г."}],"accessed":{"date-parts":[["2025",11,23]]},"issued":{"date-parts":[["2025",9,27]]}}}],"schema":"https://github.com/citation-style-language/schema/raw/master/csl-citation.json"} </w:instrText>
      </w:r>
      <w:r w:rsidR="00EB5CC8">
        <w:rPr>
          <w:rFonts w:ascii="Times New Roman" w:eastAsia="Times New Roman" w:hAnsi="Times New Roman" w:cs="Times New Roman"/>
          <w:sz w:val="28"/>
          <w:szCs w:val="28"/>
          <w:lang w:val="en-US" w:eastAsia="ru-RU"/>
        </w:rPr>
        <w:fldChar w:fldCharType="separate"/>
      </w:r>
      <w:r w:rsidR="009C6DCA" w:rsidRPr="009C6DCA">
        <w:rPr>
          <w:rFonts w:ascii="Times New Roman" w:hAnsi="Times New Roman" w:cs="Times New Roman"/>
          <w:sz w:val="28"/>
        </w:rPr>
        <w:t>[137]</w:t>
      </w:r>
      <w:r w:rsidR="00EB5CC8">
        <w:rPr>
          <w:rFonts w:ascii="Times New Roman" w:eastAsia="Times New Roman" w:hAnsi="Times New Roman" w:cs="Times New Roman"/>
          <w:sz w:val="28"/>
          <w:szCs w:val="28"/>
          <w:lang w:val="en-US" w:eastAsia="ru-RU"/>
        </w:rPr>
        <w:fldChar w:fldCharType="end"/>
      </w:r>
      <w:r w:rsidR="00EB5CC8" w:rsidRPr="00EB5CC8">
        <w:rPr>
          <w:rFonts w:ascii="Times New Roman" w:eastAsia="Times New Roman" w:hAnsi="Times New Roman" w:cs="Times New Roman"/>
          <w:sz w:val="28"/>
          <w:szCs w:val="28"/>
          <w:lang w:eastAsia="ru-RU"/>
        </w:rPr>
        <w:t xml:space="preserve"> описывает использование системы сбалансированных показателей (</w:t>
      </w:r>
      <w:r w:rsidR="00EB5CC8" w:rsidRPr="00EB5CC8">
        <w:rPr>
          <w:rFonts w:ascii="Times New Roman" w:eastAsia="Times New Roman" w:hAnsi="Times New Roman" w:cs="Times New Roman"/>
          <w:sz w:val="28"/>
          <w:szCs w:val="28"/>
          <w:lang w:val="en-US" w:eastAsia="ru-RU"/>
        </w:rPr>
        <w:t>BSC</w:t>
      </w:r>
      <w:r w:rsidR="00EB5CC8" w:rsidRPr="00EB5CC8">
        <w:rPr>
          <w:rFonts w:ascii="Times New Roman" w:eastAsia="Times New Roman" w:hAnsi="Times New Roman" w:cs="Times New Roman"/>
          <w:sz w:val="28"/>
          <w:szCs w:val="28"/>
          <w:lang w:eastAsia="ru-RU"/>
        </w:rPr>
        <w:t xml:space="preserve">) для оценки инвестиционной привлекательности инновационных проектов, включая стратегические карты, </w:t>
      </w:r>
      <w:r w:rsidR="00EB5CC8" w:rsidRPr="00EB5CC8">
        <w:rPr>
          <w:rFonts w:ascii="Times New Roman" w:eastAsia="Times New Roman" w:hAnsi="Times New Roman" w:cs="Times New Roman"/>
          <w:sz w:val="28"/>
          <w:szCs w:val="28"/>
          <w:lang w:val="en-US" w:eastAsia="ru-RU"/>
        </w:rPr>
        <w:t>SWOT</w:t>
      </w:r>
      <w:r w:rsidR="00EB5CC8" w:rsidRPr="00EB5CC8">
        <w:rPr>
          <w:rFonts w:ascii="Times New Roman" w:eastAsia="Times New Roman" w:hAnsi="Times New Roman" w:cs="Times New Roman"/>
          <w:sz w:val="28"/>
          <w:szCs w:val="28"/>
          <w:lang w:eastAsia="ru-RU"/>
        </w:rPr>
        <w:t>-анализ и ключевые показатели эффективности (</w:t>
      </w:r>
      <w:r w:rsidR="00EB5CC8" w:rsidRPr="00EB5CC8">
        <w:rPr>
          <w:rFonts w:ascii="Times New Roman" w:eastAsia="Times New Roman" w:hAnsi="Times New Roman" w:cs="Times New Roman"/>
          <w:sz w:val="28"/>
          <w:szCs w:val="28"/>
          <w:lang w:val="en-US" w:eastAsia="ru-RU"/>
        </w:rPr>
        <w:t>KPI</w:t>
      </w:r>
      <w:r w:rsidR="00EB5CC8" w:rsidRPr="00EB5CC8">
        <w:rPr>
          <w:rFonts w:ascii="Times New Roman" w:eastAsia="Times New Roman" w:hAnsi="Times New Roman" w:cs="Times New Roman"/>
          <w:sz w:val="28"/>
          <w:szCs w:val="28"/>
          <w:lang w:eastAsia="ru-RU"/>
        </w:rPr>
        <w:t>). Она полностью соответствует идее использования системы сбалансированных показателей как инструмента стратегической оценки инновационной деятельности.</w:t>
      </w:r>
    </w:p>
    <w:p w14:paraId="28D02D7C" w14:textId="07DE2965" w:rsidR="008252E9" w:rsidRPr="008252E9" w:rsidRDefault="008252E9" w:rsidP="002F33D0">
      <w:pPr>
        <w:spacing w:after="0" w:line="240" w:lineRule="auto"/>
        <w:ind w:firstLine="567"/>
        <w:jc w:val="both"/>
        <w:rPr>
          <w:rFonts w:ascii="Times New Roman" w:eastAsia="Times New Roman" w:hAnsi="Times New Roman" w:cs="Times New Roman"/>
          <w:sz w:val="28"/>
          <w:szCs w:val="28"/>
          <w:lang w:val="kk-KZ" w:eastAsia="ru-RU"/>
        </w:rPr>
      </w:pPr>
      <w:r w:rsidRPr="008252E9">
        <w:rPr>
          <w:rFonts w:ascii="Times New Roman" w:eastAsia="Times New Roman" w:hAnsi="Times New Roman" w:cs="Times New Roman"/>
          <w:sz w:val="28"/>
          <w:szCs w:val="28"/>
          <w:lang w:val="kk-KZ" w:eastAsia="ru-RU"/>
        </w:rPr>
        <w:t xml:space="preserve">В научной литературе подходы к оценке инновационного потенциала эволюционировали от простых количественных измерений к комплексным и динамическим моделям, способным учитывать влияние цифровых факторов. На ранних этапах акцент делался на оценке материальных и финансовых ресурсов, а в современных условиях </w:t>
      </w:r>
      <w:r w:rsidR="009D20AE">
        <w:rPr>
          <w:rFonts w:ascii="Times New Roman" w:eastAsia="Times New Roman" w:hAnsi="Times New Roman" w:cs="Times New Roman"/>
          <w:sz w:val="28"/>
          <w:szCs w:val="28"/>
          <w:lang w:val="kk-KZ" w:eastAsia="ru-RU"/>
        </w:rPr>
        <w:t>–</w:t>
      </w:r>
      <w:r w:rsidRPr="008252E9">
        <w:rPr>
          <w:rFonts w:ascii="Times New Roman" w:eastAsia="Times New Roman" w:hAnsi="Times New Roman" w:cs="Times New Roman"/>
          <w:sz w:val="28"/>
          <w:szCs w:val="28"/>
          <w:lang w:val="kk-KZ" w:eastAsia="ru-RU"/>
        </w:rPr>
        <w:t xml:space="preserve"> на процессах взаимодействия, цифровой зрелости и способности предприятия адаптироваться к технологическим изменениям.</w:t>
      </w:r>
    </w:p>
    <w:p w14:paraId="556DBA2C" w14:textId="38B521A0" w:rsidR="008252E9" w:rsidRPr="008252E9" w:rsidRDefault="008252E9" w:rsidP="002F33D0">
      <w:pPr>
        <w:spacing w:after="0" w:line="240" w:lineRule="auto"/>
        <w:ind w:firstLine="567"/>
        <w:jc w:val="both"/>
        <w:rPr>
          <w:rFonts w:ascii="Times New Roman" w:eastAsia="Times New Roman" w:hAnsi="Times New Roman" w:cs="Times New Roman"/>
          <w:sz w:val="28"/>
          <w:szCs w:val="28"/>
          <w:lang w:val="kk-KZ" w:eastAsia="ru-RU"/>
        </w:rPr>
      </w:pPr>
      <w:r w:rsidRPr="008252E9">
        <w:rPr>
          <w:rFonts w:ascii="Times New Roman" w:eastAsia="Times New Roman" w:hAnsi="Times New Roman" w:cs="Times New Roman"/>
          <w:sz w:val="28"/>
          <w:szCs w:val="28"/>
          <w:lang w:val="kk-KZ" w:eastAsia="ru-RU"/>
        </w:rPr>
        <w:t>Для наглядности представлена систематизация основных этапов развития методических подходов к оценке инновационного потенциала (таблица 6).</w:t>
      </w:r>
      <w:r w:rsidR="00660037">
        <w:rPr>
          <w:rFonts w:ascii="Times New Roman" w:eastAsia="Times New Roman" w:hAnsi="Times New Roman" w:cs="Times New Roman"/>
          <w:sz w:val="28"/>
          <w:szCs w:val="28"/>
          <w:lang w:val="kk-KZ" w:eastAsia="ru-RU"/>
        </w:rPr>
        <w:t xml:space="preserve"> </w:t>
      </w:r>
      <w:r w:rsidR="00660037" w:rsidRPr="008252E9">
        <w:rPr>
          <w:rFonts w:ascii="Times New Roman" w:eastAsia="Times New Roman" w:hAnsi="Times New Roman" w:cs="Times New Roman"/>
          <w:sz w:val="28"/>
          <w:szCs w:val="28"/>
          <w:lang w:val="kk-KZ" w:eastAsia="ru-RU"/>
        </w:rPr>
        <w:t xml:space="preserve">В ходе эволюции методик оценки инновационного потенциала произошёл переход от фиксирования отдельных количественных показателей к комплексным моделям, отражающим взаимодействие ресурсов, процессов и цифровых факторов. Современные подходы ориентированы на выявление не только состояния инновационного потенциала, но и механизмов его формирования и преобразования в условиях цифровой трансформации. Это закономерно подводит к необходимости применения ресурсно-процессного подхода, который </w:t>
      </w:r>
      <w:r w:rsidR="00660037" w:rsidRPr="008252E9">
        <w:rPr>
          <w:rFonts w:ascii="Times New Roman" w:eastAsia="Times New Roman" w:hAnsi="Times New Roman" w:cs="Times New Roman"/>
          <w:sz w:val="28"/>
          <w:szCs w:val="28"/>
          <w:lang w:val="kk-KZ" w:eastAsia="ru-RU"/>
        </w:rPr>
        <w:lastRenderedPageBreak/>
        <w:t>сочетает количественные и качественные параметры и позволяет оценивать инновационный потенциал как динамическую систему</w:t>
      </w:r>
      <w:r w:rsidR="00660037">
        <w:rPr>
          <w:rFonts w:ascii="Times New Roman" w:eastAsia="Times New Roman" w:hAnsi="Times New Roman" w:cs="Times New Roman"/>
          <w:sz w:val="28"/>
          <w:szCs w:val="28"/>
          <w:lang w:val="kk-KZ" w:eastAsia="ru-RU"/>
        </w:rPr>
        <w:t xml:space="preserve"> </w:t>
      </w:r>
      <w:r w:rsidR="00660037">
        <w:rPr>
          <w:rFonts w:ascii="Times New Roman" w:eastAsia="Times New Roman" w:hAnsi="Times New Roman" w:cs="Times New Roman"/>
          <w:sz w:val="28"/>
          <w:szCs w:val="28"/>
          <w:lang w:val="kk-KZ" w:eastAsia="ru-RU"/>
        </w:rPr>
        <w:fldChar w:fldCharType="begin"/>
      </w:r>
      <w:r w:rsidR="00660037">
        <w:rPr>
          <w:rFonts w:ascii="Times New Roman" w:eastAsia="Times New Roman" w:hAnsi="Times New Roman" w:cs="Times New Roman"/>
          <w:sz w:val="28"/>
          <w:szCs w:val="28"/>
          <w:lang w:val="kk-KZ" w:eastAsia="ru-RU"/>
        </w:rPr>
        <w:instrText xml:space="preserve"> ADDIN ZOTERO_ITEM CSL_CITATION {"citationID":"a1dt2pk49n1","properties":{"formattedCitation":"[138]","plainCitation":"[138]","noteIndex":0},"citationItems":[{"id":200,"uris":["http://zotero.org/users/16887523/items/5RI2G7TZ"],"itemData":{"id":200,"type":"article-journal","abstract":"This study examines the influence of innovation capability, digital transformation, and supply chain integration on competitive advantage in the Indonesian automotive industry. Using a quantitative design, data were collected from 150 respondents representing managers and decision-makers in automotive firms. Constructs were measured using a five-point Likert scale, and data were analyzed with Structural Equation Modeling–Partial Least Squares (SEM-PLS 3). The results show that all three factors significantly and positively affect competitive advantage, with innovation capability having the strongest impact, followed by digital transformation and supply chain integration. These findings highlight the need for an integrated strategy, combining internal innovation, digital readiness, and external collaboration, to sustain competitiveness in a dynamic and globalized market. The study contributes to the Resource-Based View, Dynamic Capabilities, and Relational View theories by demonstrating how organizational capabilities, technological adaptation, and supply chain collaboration jointly shape competitive advantage in emerging economies. Managerial implications suggest that firms should invest in innovation, accelerate digital adoption, and strengthen supply chain partnerships to ensure long-term performance.","container-title":"International Journal of Business, Law, and Education","DOI":"10.56442/ijble.v6i2.1248","ISSN":"2747-139X","issue":"2","journalAbbreviation":"IJBLE","license":"https://creativecommons.org/licenses/by-nc-sa/4.0","page":"1318-1334","source":"DOI.org (Crossref)","title":"The Influence of Innovation Capability, Digital Transformation, and Supply Chain Integration on Competitive Advantage in the Automotive Industry in Indonesia","URL":"https://ijble.com/index.php/journal/article/view/1248","volume":"6","author":[{"family":"Susanto","given":"Fredy"},{"family":"Wibowo","given":"Sundaru Guntur"}],"accessed":{"date-parts":[["2025",11,23]]},"issued":{"date-parts":[["2025",9,26]]}}}],"schema":"https://github.com/citation-style-language/schema/raw/master/csl-citation.json"} </w:instrText>
      </w:r>
      <w:r w:rsidR="00660037">
        <w:rPr>
          <w:rFonts w:ascii="Times New Roman" w:eastAsia="Times New Roman" w:hAnsi="Times New Roman" w:cs="Times New Roman"/>
          <w:sz w:val="28"/>
          <w:szCs w:val="28"/>
          <w:lang w:val="kk-KZ" w:eastAsia="ru-RU"/>
        </w:rPr>
        <w:fldChar w:fldCharType="separate"/>
      </w:r>
      <w:r w:rsidR="00660037" w:rsidRPr="009C6DCA">
        <w:rPr>
          <w:rFonts w:ascii="Times New Roman" w:hAnsi="Times New Roman" w:cs="Times New Roman"/>
          <w:sz w:val="28"/>
        </w:rPr>
        <w:t>[138]</w:t>
      </w:r>
      <w:r w:rsidR="00660037">
        <w:rPr>
          <w:rFonts w:ascii="Times New Roman" w:eastAsia="Times New Roman" w:hAnsi="Times New Roman" w:cs="Times New Roman"/>
          <w:sz w:val="28"/>
          <w:szCs w:val="28"/>
          <w:lang w:val="kk-KZ" w:eastAsia="ru-RU"/>
        </w:rPr>
        <w:fldChar w:fldCharType="end"/>
      </w:r>
      <w:r w:rsidR="00660037" w:rsidRPr="008252E9">
        <w:rPr>
          <w:rFonts w:ascii="Times New Roman" w:eastAsia="Times New Roman" w:hAnsi="Times New Roman" w:cs="Times New Roman"/>
          <w:sz w:val="28"/>
          <w:szCs w:val="28"/>
          <w:lang w:val="kk-KZ" w:eastAsia="ru-RU"/>
        </w:rPr>
        <w:t>.</w:t>
      </w:r>
    </w:p>
    <w:p w14:paraId="5BF45B15" w14:textId="77777777" w:rsidR="008252E9" w:rsidRDefault="008252E9" w:rsidP="002F33D0">
      <w:pPr>
        <w:spacing w:after="0" w:line="240" w:lineRule="auto"/>
        <w:jc w:val="both"/>
        <w:rPr>
          <w:rFonts w:ascii="Times New Roman" w:eastAsia="Times New Roman" w:hAnsi="Times New Roman" w:cs="Times New Roman"/>
          <w:sz w:val="28"/>
          <w:szCs w:val="28"/>
          <w:lang w:val="kk-KZ" w:eastAsia="ru-RU"/>
        </w:rPr>
      </w:pPr>
    </w:p>
    <w:p w14:paraId="32A0631D" w14:textId="0740AE55" w:rsidR="008252E9" w:rsidRDefault="008252E9" w:rsidP="002F33D0">
      <w:pPr>
        <w:spacing w:after="0" w:line="240" w:lineRule="auto"/>
        <w:jc w:val="both"/>
        <w:rPr>
          <w:rFonts w:ascii="Times New Roman" w:eastAsia="Times New Roman" w:hAnsi="Times New Roman" w:cs="Times New Roman"/>
          <w:sz w:val="28"/>
          <w:szCs w:val="28"/>
          <w:lang w:val="kk-KZ" w:eastAsia="ru-RU"/>
        </w:rPr>
      </w:pPr>
      <w:r w:rsidRPr="008252E9">
        <w:rPr>
          <w:rFonts w:ascii="Times New Roman" w:eastAsia="Times New Roman" w:hAnsi="Times New Roman" w:cs="Times New Roman"/>
          <w:sz w:val="28"/>
          <w:szCs w:val="28"/>
          <w:lang w:val="kk-KZ" w:eastAsia="ru-RU"/>
        </w:rPr>
        <w:t xml:space="preserve">Таблица </w:t>
      </w:r>
      <w:r w:rsidR="00D76ADF">
        <w:rPr>
          <w:rFonts w:ascii="Times New Roman" w:eastAsia="Times New Roman" w:hAnsi="Times New Roman" w:cs="Times New Roman"/>
          <w:sz w:val="28"/>
          <w:szCs w:val="28"/>
          <w:lang w:val="kk-KZ" w:eastAsia="ru-RU"/>
        </w:rPr>
        <w:t xml:space="preserve">6 </w:t>
      </w:r>
      <w:r w:rsidRPr="008252E9">
        <w:rPr>
          <w:rFonts w:ascii="Times New Roman" w:eastAsia="Times New Roman" w:hAnsi="Times New Roman" w:cs="Times New Roman"/>
          <w:sz w:val="28"/>
          <w:szCs w:val="28"/>
          <w:lang w:val="kk-KZ" w:eastAsia="ru-RU"/>
        </w:rPr>
        <w:t>– Эволюция методических подходов к оценке инновационного потенциала предприятий</w:t>
      </w:r>
    </w:p>
    <w:p w14:paraId="576CA6A7" w14:textId="77777777" w:rsidR="00DB0D3C" w:rsidRPr="00DB0D3C" w:rsidRDefault="00DB0D3C" w:rsidP="002F33D0">
      <w:pPr>
        <w:spacing w:after="0" w:line="240" w:lineRule="auto"/>
        <w:jc w:val="both"/>
        <w:rPr>
          <w:rFonts w:ascii="Times New Roman" w:eastAsia="Times New Roman" w:hAnsi="Times New Roman" w:cs="Times New Roman"/>
          <w:sz w:val="20"/>
          <w:szCs w:val="20"/>
          <w:lang w:val="kk-KZ" w:eastAsia="ru-RU"/>
        </w:rPr>
      </w:pPr>
    </w:p>
    <w:tbl>
      <w:tblPr>
        <w:tblStyle w:val="a5"/>
        <w:tblW w:w="0" w:type="auto"/>
        <w:tblLook w:val="04A0" w:firstRow="1" w:lastRow="0" w:firstColumn="1" w:lastColumn="0" w:noHBand="0" w:noVBand="1"/>
      </w:tblPr>
      <w:tblGrid>
        <w:gridCol w:w="2177"/>
        <w:gridCol w:w="2522"/>
        <w:gridCol w:w="2701"/>
        <w:gridCol w:w="2228"/>
      </w:tblGrid>
      <w:tr w:rsidR="00301B77" w:rsidRPr="008252E9" w14:paraId="6D7EBB71" w14:textId="77777777" w:rsidTr="00660037">
        <w:tc>
          <w:tcPr>
            <w:tcW w:w="0" w:type="auto"/>
            <w:vAlign w:val="center"/>
            <w:hideMark/>
          </w:tcPr>
          <w:p w14:paraId="4E072614" w14:textId="77777777" w:rsidR="00301B77" w:rsidRPr="003D7090" w:rsidRDefault="00301B77" w:rsidP="002F33D0">
            <w:pPr>
              <w:ind w:firstLine="0"/>
              <w:jc w:val="center"/>
              <w:rPr>
                <w:rFonts w:eastAsia="Times New Roman"/>
                <w:bCs/>
                <w:szCs w:val="24"/>
                <w:lang w:eastAsia="ru-RU"/>
              </w:rPr>
            </w:pPr>
            <w:r w:rsidRPr="003D7090">
              <w:rPr>
                <w:rFonts w:eastAsia="Times New Roman"/>
                <w:bCs/>
                <w:szCs w:val="24"/>
                <w:lang w:eastAsia="ru-RU"/>
              </w:rPr>
              <w:t>Период / Методологический подход</w:t>
            </w:r>
          </w:p>
        </w:tc>
        <w:tc>
          <w:tcPr>
            <w:tcW w:w="2522" w:type="dxa"/>
            <w:vAlign w:val="center"/>
            <w:hideMark/>
          </w:tcPr>
          <w:p w14:paraId="034C9F3E" w14:textId="77777777" w:rsidR="00301B77" w:rsidRPr="003D7090" w:rsidRDefault="00301B77" w:rsidP="002F33D0">
            <w:pPr>
              <w:ind w:firstLine="0"/>
              <w:jc w:val="center"/>
              <w:rPr>
                <w:rFonts w:eastAsia="Times New Roman"/>
                <w:bCs/>
                <w:szCs w:val="24"/>
                <w:lang w:eastAsia="ru-RU"/>
              </w:rPr>
            </w:pPr>
            <w:r w:rsidRPr="003D7090">
              <w:rPr>
                <w:rFonts w:eastAsia="Times New Roman"/>
                <w:bCs/>
                <w:szCs w:val="24"/>
                <w:lang w:eastAsia="ru-RU"/>
              </w:rPr>
              <w:t>Основные характеристики</w:t>
            </w:r>
          </w:p>
        </w:tc>
        <w:tc>
          <w:tcPr>
            <w:tcW w:w="2701" w:type="dxa"/>
            <w:vAlign w:val="center"/>
            <w:hideMark/>
          </w:tcPr>
          <w:p w14:paraId="2D85B610" w14:textId="77777777" w:rsidR="00301B77" w:rsidRPr="003D7090" w:rsidRDefault="00301B77" w:rsidP="002F33D0">
            <w:pPr>
              <w:ind w:firstLine="0"/>
              <w:jc w:val="center"/>
              <w:rPr>
                <w:rFonts w:eastAsia="Times New Roman"/>
                <w:bCs/>
                <w:szCs w:val="24"/>
                <w:lang w:eastAsia="ru-RU"/>
              </w:rPr>
            </w:pPr>
            <w:r w:rsidRPr="003D7090">
              <w:rPr>
                <w:rFonts w:eastAsia="Times New Roman"/>
                <w:bCs/>
                <w:szCs w:val="24"/>
                <w:lang w:eastAsia="ru-RU"/>
              </w:rPr>
              <w:t>Основные показатели и инструменты</w:t>
            </w:r>
          </w:p>
        </w:tc>
        <w:tc>
          <w:tcPr>
            <w:tcW w:w="2228" w:type="dxa"/>
            <w:vAlign w:val="center"/>
            <w:hideMark/>
          </w:tcPr>
          <w:p w14:paraId="7DA6418D" w14:textId="77777777" w:rsidR="00301B77" w:rsidRPr="003D7090" w:rsidRDefault="00301B77" w:rsidP="002F33D0">
            <w:pPr>
              <w:ind w:firstLine="0"/>
              <w:jc w:val="center"/>
              <w:rPr>
                <w:rFonts w:eastAsia="Times New Roman"/>
                <w:bCs/>
                <w:szCs w:val="24"/>
                <w:lang w:eastAsia="ru-RU"/>
              </w:rPr>
            </w:pPr>
            <w:r w:rsidRPr="003D7090">
              <w:rPr>
                <w:rFonts w:eastAsia="Times New Roman"/>
                <w:bCs/>
                <w:szCs w:val="24"/>
                <w:lang w:eastAsia="ru-RU"/>
              </w:rPr>
              <w:t>Ограничения и недостатки</w:t>
            </w:r>
          </w:p>
        </w:tc>
      </w:tr>
      <w:tr w:rsidR="00301B77" w:rsidRPr="008252E9" w14:paraId="1034C207" w14:textId="77777777" w:rsidTr="00660037">
        <w:tc>
          <w:tcPr>
            <w:tcW w:w="0" w:type="auto"/>
            <w:hideMark/>
          </w:tcPr>
          <w:p w14:paraId="31E9C813" w14:textId="77777777" w:rsidR="00301B77" w:rsidRPr="003D7090" w:rsidRDefault="00301B77" w:rsidP="002F33D0">
            <w:pPr>
              <w:ind w:firstLine="0"/>
              <w:rPr>
                <w:rFonts w:eastAsia="Times New Roman"/>
                <w:szCs w:val="24"/>
                <w:lang w:eastAsia="ru-RU"/>
              </w:rPr>
            </w:pPr>
            <w:r w:rsidRPr="008252E9">
              <w:rPr>
                <w:rFonts w:eastAsia="Times New Roman"/>
                <w:bCs/>
                <w:szCs w:val="24"/>
                <w:lang w:eastAsia="ru-RU"/>
              </w:rPr>
              <w:t>Индикативный подход</w:t>
            </w:r>
            <w:r w:rsidRPr="003D7090">
              <w:rPr>
                <w:rFonts w:eastAsia="Times New Roman"/>
                <w:szCs w:val="24"/>
                <w:lang w:eastAsia="ru-RU"/>
              </w:rPr>
              <w:t xml:space="preserve"> (до 2000-х гг.)</w:t>
            </w:r>
          </w:p>
        </w:tc>
        <w:tc>
          <w:tcPr>
            <w:tcW w:w="2522" w:type="dxa"/>
            <w:hideMark/>
          </w:tcPr>
          <w:p w14:paraId="70AD5BA3" w14:textId="77777777" w:rsidR="00301B77" w:rsidRPr="003D7090" w:rsidRDefault="00301B77" w:rsidP="002F33D0">
            <w:pPr>
              <w:ind w:firstLine="0"/>
              <w:rPr>
                <w:rFonts w:eastAsia="Times New Roman"/>
                <w:szCs w:val="24"/>
                <w:lang w:eastAsia="ru-RU"/>
              </w:rPr>
            </w:pPr>
            <w:r w:rsidRPr="003D7090">
              <w:rPr>
                <w:rFonts w:eastAsia="Times New Roman"/>
                <w:szCs w:val="24"/>
                <w:lang w:eastAsia="ru-RU"/>
              </w:rPr>
              <w:t>Статическая оценка по количественным показателям</w:t>
            </w:r>
          </w:p>
        </w:tc>
        <w:tc>
          <w:tcPr>
            <w:tcW w:w="2701" w:type="dxa"/>
            <w:hideMark/>
          </w:tcPr>
          <w:p w14:paraId="45A17B25" w14:textId="77777777" w:rsidR="00301B77" w:rsidRPr="003D7090" w:rsidRDefault="00301B77" w:rsidP="002F33D0">
            <w:pPr>
              <w:ind w:firstLine="0"/>
              <w:rPr>
                <w:rFonts w:eastAsia="Times New Roman"/>
                <w:szCs w:val="24"/>
                <w:lang w:eastAsia="ru-RU"/>
              </w:rPr>
            </w:pPr>
            <w:r w:rsidRPr="003D7090">
              <w:rPr>
                <w:rFonts w:eastAsia="Times New Roman"/>
                <w:szCs w:val="24"/>
                <w:lang w:eastAsia="ru-RU"/>
              </w:rPr>
              <w:t>Расходы на исследования и разработки, количество патентов, доля инновационной продукции</w:t>
            </w:r>
          </w:p>
        </w:tc>
        <w:tc>
          <w:tcPr>
            <w:tcW w:w="2228" w:type="dxa"/>
            <w:hideMark/>
          </w:tcPr>
          <w:p w14:paraId="5EFE08E4" w14:textId="77777777" w:rsidR="00301B77" w:rsidRPr="003D7090" w:rsidRDefault="00301B77" w:rsidP="002F33D0">
            <w:pPr>
              <w:ind w:firstLine="0"/>
              <w:rPr>
                <w:rFonts w:eastAsia="Times New Roman"/>
                <w:szCs w:val="24"/>
                <w:lang w:eastAsia="ru-RU"/>
              </w:rPr>
            </w:pPr>
            <w:r w:rsidRPr="003D7090">
              <w:rPr>
                <w:rFonts w:eastAsia="Times New Roman"/>
                <w:szCs w:val="24"/>
                <w:lang w:eastAsia="ru-RU"/>
              </w:rPr>
              <w:t>Не учитывает инновационную культуру, гибкость управления и цифровизацию</w:t>
            </w:r>
          </w:p>
        </w:tc>
      </w:tr>
      <w:tr w:rsidR="00301B77" w:rsidRPr="008252E9" w14:paraId="5AD4B44E" w14:textId="77777777" w:rsidTr="00660037">
        <w:tc>
          <w:tcPr>
            <w:tcW w:w="0" w:type="auto"/>
            <w:tcBorders>
              <w:bottom w:val="single" w:sz="4" w:space="0" w:color="auto"/>
            </w:tcBorders>
            <w:hideMark/>
          </w:tcPr>
          <w:p w14:paraId="5304422F" w14:textId="77777777" w:rsidR="00301B77" w:rsidRPr="003D7090" w:rsidRDefault="00301B77" w:rsidP="002F33D0">
            <w:pPr>
              <w:ind w:firstLine="0"/>
              <w:rPr>
                <w:rFonts w:eastAsia="Times New Roman"/>
                <w:szCs w:val="24"/>
                <w:lang w:eastAsia="ru-RU"/>
              </w:rPr>
            </w:pPr>
            <w:r w:rsidRPr="008252E9">
              <w:rPr>
                <w:rFonts w:eastAsia="Times New Roman"/>
                <w:bCs/>
                <w:szCs w:val="24"/>
                <w:lang w:eastAsia="ru-RU"/>
              </w:rPr>
              <w:t>Индексный и интегральный подход</w:t>
            </w:r>
            <w:r w:rsidRPr="003D7090">
              <w:rPr>
                <w:rFonts w:eastAsia="Times New Roman"/>
                <w:szCs w:val="24"/>
                <w:lang w:eastAsia="ru-RU"/>
              </w:rPr>
              <w:t xml:space="preserve"> (2000–2015 гг.)</w:t>
            </w:r>
          </w:p>
        </w:tc>
        <w:tc>
          <w:tcPr>
            <w:tcW w:w="2522" w:type="dxa"/>
            <w:tcBorders>
              <w:bottom w:val="single" w:sz="4" w:space="0" w:color="auto"/>
            </w:tcBorders>
            <w:hideMark/>
          </w:tcPr>
          <w:p w14:paraId="656BF564" w14:textId="77777777" w:rsidR="00301B77" w:rsidRPr="003D7090" w:rsidRDefault="00301B77" w:rsidP="002F33D0">
            <w:pPr>
              <w:ind w:firstLine="0"/>
              <w:rPr>
                <w:rFonts w:eastAsia="Times New Roman"/>
                <w:szCs w:val="24"/>
                <w:lang w:eastAsia="ru-RU"/>
              </w:rPr>
            </w:pPr>
            <w:r w:rsidRPr="003D7090">
              <w:rPr>
                <w:rFonts w:eastAsia="Times New Roman"/>
                <w:szCs w:val="24"/>
                <w:lang w:eastAsia="ru-RU"/>
              </w:rPr>
              <w:t>Комплексная оценка инновационного потенциала через агрегирование показателей</w:t>
            </w:r>
          </w:p>
        </w:tc>
        <w:tc>
          <w:tcPr>
            <w:tcW w:w="2701" w:type="dxa"/>
            <w:tcBorders>
              <w:bottom w:val="single" w:sz="4" w:space="0" w:color="auto"/>
            </w:tcBorders>
            <w:hideMark/>
          </w:tcPr>
          <w:p w14:paraId="79B1E1E1" w14:textId="77777777" w:rsidR="00301B77" w:rsidRPr="003D7090" w:rsidRDefault="00301B77" w:rsidP="002F33D0">
            <w:pPr>
              <w:ind w:firstLine="0"/>
              <w:rPr>
                <w:rFonts w:eastAsia="Times New Roman"/>
                <w:szCs w:val="24"/>
                <w:lang w:eastAsia="ru-RU"/>
              </w:rPr>
            </w:pPr>
            <w:r w:rsidRPr="003D7090">
              <w:rPr>
                <w:rFonts w:eastAsia="Times New Roman"/>
                <w:szCs w:val="24"/>
                <w:lang w:eastAsia="ru-RU"/>
              </w:rPr>
              <w:t>Интегральные индексы, инновационные карты, оценка кадрового и финансового потенциала</w:t>
            </w:r>
          </w:p>
        </w:tc>
        <w:tc>
          <w:tcPr>
            <w:tcW w:w="2228" w:type="dxa"/>
            <w:tcBorders>
              <w:bottom w:val="single" w:sz="4" w:space="0" w:color="auto"/>
            </w:tcBorders>
            <w:hideMark/>
          </w:tcPr>
          <w:p w14:paraId="38336BCD" w14:textId="77777777" w:rsidR="00301B77" w:rsidRPr="003D7090" w:rsidRDefault="00301B77" w:rsidP="002F33D0">
            <w:pPr>
              <w:ind w:firstLine="0"/>
              <w:rPr>
                <w:rFonts w:eastAsia="Times New Roman"/>
                <w:szCs w:val="24"/>
                <w:lang w:eastAsia="ru-RU"/>
              </w:rPr>
            </w:pPr>
            <w:r w:rsidRPr="003D7090">
              <w:rPr>
                <w:rFonts w:eastAsia="Times New Roman"/>
                <w:szCs w:val="24"/>
                <w:lang w:eastAsia="ru-RU"/>
              </w:rPr>
              <w:t>Недостаточная динамичность, слабое отражение цифровых факторов</w:t>
            </w:r>
          </w:p>
        </w:tc>
      </w:tr>
      <w:tr w:rsidR="00301B77" w:rsidRPr="008252E9" w14:paraId="36A5D194" w14:textId="77777777" w:rsidTr="00660037">
        <w:tc>
          <w:tcPr>
            <w:tcW w:w="0" w:type="auto"/>
            <w:tcBorders>
              <w:bottom w:val="nil"/>
            </w:tcBorders>
            <w:hideMark/>
          </w:tcPr>
          <w:p w14:paraId="2D15FD76" w14:textId="021D2CA5" w:rsidR="00301B77" w:rsidRPr="003D7090" w:rsidRDefault="00301B77" w:rsidP="00DB0D3C">
            <w:pPr>
              <w:ind w:firstLine="0"/>
              <w:rPr>
                <w:rFonts w:eastAsia="Times New Roman"/>
                <w:szCs w:val="24"/>
                <w:lang w:eastAsia="ru-RU"/>
              </w:rPr>
            </w:pPr>
            <w:r w:rsidRPr="008252E9">
              <w:rPr>
                <w:rFonts w:eastAsia="Times New Roman"/>
                <w:bCs/>
                <w:szCs w:val="24"/>
                <w:lang w:eastAsia="ru-RU"/>
              </w:rPr>
              <w:t>Подход на основе ключевых показателей результативности</w:t>
            </w:r>
            <w:r w:rsidRPr="003D7090">
              <w:rPr>
                <w:rFonts w:eastAsia="Times New Roman"/>
                <w:szCs w:val="24"/>
                <w:lang w:eastAsia="ru-RU"/>
              </w:rPr>
              <w:t xml:space="preserve"> </w:t>
            </w:r>
            <w:r w:rsidR="00660037" w:rsidRPr="003D7090">
              <w:rPr>
                <w:rFonts w:eastAsia="Times New Roman"/>
                <w:szCs w:val="24"/>
                <w:lang w:eastAsia="ru-RU"/>
              </w:rPr>
              <w:t>(2015–2020 гг.)</w:t>
            </w:r>
          </w:p>
        </w:tc>
        <w:tc>
          <w:tcPr>
            <w:tcW w:w="2522" w:type="dxa"/>
            <w:tcBorders>
              <w:bottom w:val="nil"/>
            </w:tcBorders>
            <w:hideMark/>
          </w:tcPr>
          <w:p w14:paraId="3FA96BA3" w14:textId="3B4DD435" w:rsidR="00301B77" w:rsidRPr="003D7090" w:rsidRDefault="00301B77" w:rsidP="00DB0D3C">
            <w:pPr>
              <w:ind w:firstLine="0"/>
              <w:rPr>
                <w:rFonts w:eastAsia="Times New Roman"/>
                <w:szCs w:val="24"/>
                <w:lang w:eastAsia="ru-RU"/>
              </w:rPr>
            </w:pPr>
            <w:r w:rsidRPr="003D7090">
              <w:rPr>
                <w:rFonts w:eastAsia="Times New Roman"/>
                <w:szCs w:val="24"/>
                <w:lang w:eastAsia="ru-RU"/>
              </w:rPr>
              <w:t xml:space="preserve">Оценка эффективности инноваций через связь показателей с </w:t>
            </w:r>
            <w:r w:rsidR="00660037" w:rsidRPr="003D7090">
              <w:rPr>
                <w:rFonts w:eastAsia="Times New Roman"/>
                <w:szCs w:val="24"/>
                <w:lang w:eastAsia="ru-RU"/>
              </w:rPr>
              <w:t>целями предприятия</w:t>
            </w:r>
          </w:p>
        </w:tc>
        <w:tc>
          <w:tcPr>
            <w:tcW w:w="2701" w:type="dxa"/>
            <w:tcBorders>
              <w:bottom w:val="nil"/>
            </w:tcBorders>
            <w:hideMark/>
          </w:tcPr>
          <w:p w14:paraId="619328E6" w14:textId="4F83AC7D" w:rsidR="00301B77" w:rsidRPr="003D7090" w:rsidRDefault="00301B77" w:rsidP="00DB0D3C">
            <w:pPr>
              <w:ind w:firstLine="0"/>
              <w:rPr>
                <w:rFonts w:eastAsia="Times New Roman"/>
                <w:szCs w:val="24"/>
                <w:lang w:eastAsia="ru-RU"/>
              </w:rPr>
            </w:pPr>
            <w:r w:rsidRPr="003D7090">
              <w:rPr>
                <w:rFonts w:eastAsia="Times New Roman"/>
                <w:szCs w:val="24"/>
                <w:lang w:eastAsia="ru-RU"/>
              </w:rPr>
              <w:t xml:space="preserve">Система сбалансированных показателей, карты инновационного </w:t>
            </w:r>
            <w:r w:rsidR="00660037" w:rsidRPr="003D7090">
              <w:rPr>
                <w:rFonts w:eastAsia="Times New Roman"/>
                <w:szCs w:val="24"/>
                <w:lang w:eastAsia="ru-RU"/>
              </w:rPr>
              <w:t>развития</w:t>
            </w:r>
          </w:p>
        </w:tc>
        <w:tc>
          <w:tcPr>
            <w:tcW w:w="2228" w:type="dxa"/>
            <w:tcBorders>
              <w:bottom w:val="nil"/>
            </w:tcBorders>
            <w:hideMark/>
          </w:tcPr>
          <w:p w14:paraId="6594F3D7" w14:textId="77777777" w:rsidR="00301B77" w:rsidRPr="003D7090" w:rsidRDefault="00301B77" w:rsidP="002F33D0">
            <w:pPr>
              <w:ind w:firstLine="0"/>
              <w:rPr>
                <w:rFonts w:eastAsia="Times New Roman"/>
                <w:szCs w:val="24"/>
                <w:lang w:eastAsia="ru-RU"/>
              </w:rPr>
            </w:pPr>
            <w:r w:rsidRPr="003D7090">
              <w:rPr>
                <w:rFonts w:eastAsia="Times New Roman"/>
                <w:szCs w:val="24"/>
                <w:lang w:eastAsia="ru-RU"/>
              </w:rPr>
              <w:t>Не отражает скорость и качество цифровых изменений</w:t>
            </w:r>
          </w:p>
        </w:tc>
      </w:tr>
      <w:tr w:rsidR="00301B77" w:rsidRPr="008252E9" w14:paraId="3D93DD57" w14:textId="77777777" w:rsidTr="00660037">
        <w:tc>
          <w:tcPr>
            <w:tcW w:w="0" w:type="auto"/>
            <w:hideMark/>
          </w:tcPr>
          <w:p w14:paraId="1265FA27" w14:textId="77777777" w:rsidR="00301B77" w:rsidRPr="003D7090" w:rsidRDefault="00301B77" w:rsidP="002F33D0">
            <w:pPr>
              <w:ind w:firstLine="0"/>
              <w:rPr>
                <w:rFonts w:eastAsia="Times New Roman"/>
                <w:szCs w:val="24"/>
                <w:lang w:eastAsia="ru-RU"/>
              </w:rPr>
            </w:pPr>
            <w:r w:rsidRPr="008252E9">
              <w:rPr>
                <w:rFonts w:eastAsia="Times New Roman"/>
                <w:bCs/>
                <w:szCs w:val="24"/>
                <w:lang w:eastAsia="ru-RU"/>
              </w:rPr>
              <w:t>Цифровые и интеллектуальные подходы</w:t>
            </w:r>
            <w:r w:rsidRPr="003D7090">
              <w:rPr>
                <w:rFonts w:eastAsia="Times New Roman"/>
                <w:szCs w:val="24"/>
                <w:lang w:eastAsia="ru-RU"/>
              </w:rPr>
              <w:t xml:space="preserve"> (2020–н.в.)</w:t>
            </w:r>
          </w:p>
        </w:tc>
        <w:tc>
          <w:tcPr>
            <w:tcW w:w="2522" w:type="dxa"/>
            <w:hideMark/>
          </w:tcPr>
          <w:p w14:paraId="6D3A6668" w14:textId="77777777" w:rsidR="00301B77" w:rsidRPr="003D7090" w:rsidRDefault="00301B77" w:rsidP="002F33D0">
            <w:pPr>
              <w:ind w:firstLine="0"/>
              <w:rPr>
                <w:rFonts w:eastAsia="Times New Roman"/>
                <w:szCs w:val="24"/>
                <w:lang w:eastAsia="ru-RU"/>
              </w:rPr>
            </w:pPr>
            <w:r w:rsidRPr="003D7090">
              <w:rPr>
                <w:rFonts w:eastAsia="Times New Roman"/>
                <w:szCs w:val="24"/>
                <w:lang w:eastAsia="ru-RU"/>
              </w:rPr>
              <w:t>Использование цифровых данных, автоматизированных систем и аналитики больших массивов информации</w:t>
            </w:r>
          </w:p>
        </w:tc>
        <w:tc>
          <w:tcPr>
            <w:tcW w:w="2701" w:type="dxa"/>
            <w:hideMark/>
          </w:tcPr>
          <w:p w14:paraId="7477A57B" w14:textId="77777777" w:rsidR="00301B77" w:rsidRPr="003D7090" w:rsidRDefault="00301B77" w:rsidP="002F33D0">
            <w:pPr>
              <w:ind w:firstLine="0"/>
              <w:rPr>
                <w:rFonts w:eastAsia="Times New Roman"/>
                <w:szCs w:val="24"/>
                <w:lang w:eastAsia="ru-RU"/>
              </w:rPr>
            </w:pPr>
            <w:r w:rsidRPr="003D7090">
              <w:rPr>
                <w:rFonts w:eastAsia="Times New Roman"/>
                <w:szCs w:val="24"/>
                <w:lang w:eastAsia="ru-RU"/>
              </w:rPr>
              <w:t>Мониторинг цифровых следов предприятий, анализ данных из сетевых источников, алгоритмы машинного обучения</w:t>
            </w:r>
          </w:p>
        </w:tc>
        <w:tc>
          <w:tcPr>
            <w:tcW w:w="2228" w:type="dxa"/>
            <w:hideMark/>
          </w:tcPr>
          <w:p w14:paraId="2D1449B5" w14:textId="77777777" w:rsidR="00301B77" w:rsidRPr="003D7090" w:rsidRDefault="00301B77" w:rsidP="002F33D0">
            <w:pPr>
              <w:ind w:firstLine="0"/>
              <w:rPr>
                <w:rFonts w:eastAsia="Times New Roman"/>
                <w:szCs w:val="24"/>
                <w:lang w:eastAsia="ru-RU"/>
              </w:rPr>
            </w:pPr>
            <w:r w:rsidRPr="003D7090">
              <w:rPr>
                <w:rFonts w:eastAsia="Times New Roman"/>
                <w:szCs w:val="24"/>
                <w:lang w:eastAsia="ru-RU"/>
              </w:rPr>
              <w:t>Проблемы достоверности и верификации данных, сложность интерпретации</w:t>
            </w:r>
          </w:p>
        </w:tc>
      </w:tr>
      <w:tr w:rsidR="00301B77" w:rsidRPr="008252E9" w14:paraId="02B8B92D" w14:textId="77777777" w:rsidTr="00660037">
        <w:tc>
          <w:tcPr>
            <w:tcW w:w="0" w:type="auto"/>
            <w:hideMark/>
          </w:tcPr>
          <w:p w14:paraId="6C9F210E" w14:textId="77777777" w:rsidR="00301B77" w:rsidRPr="003D7090" w:rsidRDefault="00301B77" w:rsidP="002F33D0">
            <w:pPr>
              <w:ind w:firstLine="0"/>
              <w:rPr>
                <w:rFonts w:eastAsia="Times New Roman"/>
                <w:szCs w:val="24"/>
                <w:lang w:eastAsia="ru-RU"/>
              </w:rPr>
            </w:pPr>
            <w:r w:rsidRPr="008252E9">
              <w:rPr>
                <w:rFonts w:eastAsia="Times New Roman"/>
                <w:bCs/>
                <w:szCs w:val="24"/>
                <w:lang w:eastAsia="ru-RU"/>
              </w:rPr>
              <w:t>Интегрированные и процессные модели</w:t>
            </w:r>
            <w:r w:rsidRPr="003D7090">
              <w:rPr>
                <w:rFonts w:eastAsia="Times New Roman"/>
                <w:szCs w:val="24"/>
                <w:lang w:eastAsia="ru-RU"/>
              </w:rPr>
              <w:t xml:space="preserve"> (2023–н.в.)</w:t>
            </w:r>
          </w:p>
        </w:tc>
        <w:tc>
          <w:tcPr>
            <w:tcW w:w="2522" w:type="dxa"/>
            <w:hideMark/>
          </w:tcPr>
          <w:p w14:paraId="2FC3F6BF" w14:textId="77777777" w:rsidR="00301B77" w:rsidRPr="003D7090" w:rsidRDefault="00301B77" w:rsidP="002F33D0">
            <w:pPr>
              <w:ind w:firstLine="0"/>
              <w:rPr>
                <w:rFonts w:eastAsia="Times New Roman"/>
                <w:szCs w:val="24"/>
                <w:lang w:eastAsia="ru-RU"/>
              </w:rPr>
            </w:pPr>
            <w:r w:rsidRPr="003D7090">
              <w:rPr>
                <w:rFonts w:eastAsia="Times New Roman"/>
                <w:szCs w:val="24"/>
                <w:lang w:eastAsia="ru-RU"/>
              </w:rPr>
              <w:t>Сочетание ресурсных и процессных факторов, учёт цифровой зрелости и организационной динамики</w:t>
            </w:r>
          </w:p>
        </w:tc>
        <w:tc>
          <w:tcPr>
            <w:tcW w:w="2701" w:type="dxa"/>
            <w:hideMark/>
          </w:tcPr>
          <w:p w14:paraId="0BDDBD27" w14:textId="77777777" w:rsidR="00301B77" w:rsidRPr="003D7090" w:rsidRDefault="00301B77" w:rsidP="002F33D0">
            <w:pPr>
              <w:ind w:firstLine="0"/>
              <w:rPr>
                <w:rFonts w:eastAsia="Times New Roman"/>
                <w:szCs w:val="24"/>
                <w:lang w:eastAsia="ru-RU"/>
              </w:rPr>
            </w:pPr>
            <w:r w:rsidRPr="003D7090">
              <w:rPr>
                <w:rFonts w:eastAsia="Times New Roman"/>
                <w:szCs w:val="24"/>
                <w:lang w:eastAsia="ru-RU"/>
              </w:rPr>
              <w:t>Многоуровневые оценки, совокупные показатели взаимодействия ресурсов и процессов</w:t>
            </w:r>
          </w:p>
        </w:tc>
        <w:tc>
          <w:tcPr>
            <w:tcW w:w="2228" w:type="dxa"/>
            <w:hideMark/>
          </w:tcPr>
          <w:p w14:paraId="54AE4ABF" w14:textId="77777777" w:rsidR="00301B77" w:rsidRPr="003D7090" w:rsidRDefault="00301B77" w:rsidP="002F33D0">
            <w:pPr>
              <w:ind w:firstLine="0"/>
              <w:rPr>
                <w:rFonts w:eastAsia="Times New Roman"/>
                <w:szCs w:val="24"/>
                <w:lang w:eastAsia="ru-RU"/>
              </w:rPr>
            </w:pPr>
            <w:r w:rsidRPr="003D7090">
              <w:rPr>
                <w:rFonts w:eastAsia="Times New Roman"/>
                <w:szCs w:val="24"/>
                <w:lang w:eastAsia="ru-RU"/>
              </w:rPr>
              <w:t>Требуют адаптации к отраслевой и национальной специфике</w:t>
            </w:r>
          </w:p>
        </w:tc>
      </w:tr>
      <w:tr w:rsidR="00DB0D3C" w:rsidRPr="008252E9" w14:paraId="5B1B7791" w14:textId="77777777" w:rsidTr="00937878">
        <w:tc>
          <w:tcPr>
            <w:tcW w:w="0" w:type="auto"/>
            <w:gridSpan w:val="4"/>
          </w:tcPr>
          <w:p w14:paraId="4AFCB0E7" w14:textId="25783970" w:rsidR="00DB0D3C" w:rsidRPr="00DB0D3C" w:rsidRDefault="00DB0D3C" w:rsidP="000F3C80">
            <w:pPr>
              <w:ind w:firstLine="459"/>
              <w:rPr>
                <w:rFonts w:eastAsia="Times New Roman"/>
                <w:szCs w:val="24"/>
                <w:lang w:val="kk-KZ" w:eastAsia="ru-RU"/>
              </w:rPr>
            </w:pPr>
            <w:r w:rsidRPr="00EE311D">
              <w:rPr>
                <w:rFonts w:eastAsia="Times New Roman"/>
                <w:szCs w:val="24"/>
                <w:lang w:val="kk-KZ" w:eastAsia="ru-RU"/>
              </w:rPr>
              <w:t xml:space="preserve">Примечание – </w:t>
            </w:r>
            <w:r w:rsidR="000F3C80" w:rsidRPr="00EE311D">
              <w:rPr>
                <w:rFonts w:eastAsia="Times New Roman"/>
                <w:szCs w:val="24"/>
                <w:lang w:val="kk-KZ" w:eastAsia="ru-RU"/>
              </w:rPr>
              <w:t>С</w:t>
            </w:r>
            <w:r w:rsidRPr="00EE311D">
              <w:rPr>
                <w:rFonts w:eastAsia="Times New Roman"/>
                <w:szCs w:val="24"/>
                <w:lang w:val="kk-KZ" w:eastAsia="ru-RU"/>
              </w:rPr>
              <w:t>оставлено автором</w:t>
            </w:r>
          </w:p>
        </w:tc>
      </w:tr>
    </w:tbl>
    <w:p w14:paraId="5B363E0B" w14:textId="77777777" w:rsidR="008252E9" w:rsidRDefault="008252E9" w:rsidP="002F33D0">
      <w:pPr>
        <w:spacing w:after="0" w:line="240" w:lineRule="auto"/>
        <w:ind w:firstLine="567"/>
        <w:jc w:val="both"/>
        <w:rPr>
          <w:rFonts w:ascii="Times New Roman" w:eastAsia="Times New Roman" w:hAnsi="Times New Roman" w:cs="Times New Roman"/>
          <w:sz w:val="28"/>
          <w:szCs w:val="28"/>
          <w:lang w:val="kk-KZ" w:eastAsia="ru-RU"/>
        </w:rPr>
      </w:pPr>
    </w:p>
    <w:p w14:paraId="29B0C636" w14:textId="5D647060" w:rsidR="008252E9" w:rsidRPr="008252E9" w:rsidRDefault="008252E9" w:rsidP="002F33D0">
      <w:pPr>
        <w:spacing w:after="0" w:line="240" w:lineRule="auto"/>
        <w:ind w:firstLine="567"/>
        <w:jc w:val="both"/>
        <w:rPr>
          <w:rFonts w:ascii="Times New Roman" w:eastAsia="Times New Roman" w:hAnsi="Times New Roman" w:cs="Times New Roman"/>
          <w:sz w:val="28"/>
          <w:szCs w:val="28"/>
          <w:lang w:eastAsia="ru-RU"/>
        </w:rPr>
      </w:pPr>
      <w:r w:rsidRPr="008252E9">
        <w:rPr>
          <w:rFonts w:ascii="Times New Roman" w:eastAsia="Times New Roman" w:hAnsi="Times New Roman" w:cs="Times New Roman"/>
          <w:sz w:val="28"/>
          <w:szCs w:val="28"/>
          <w:lang w:eastAsia="ru-RU"/>
        </w:rPr>
        <w:t xml:space="preserve">Несмотря на существенный прогресс, исследователи выделяют несколько ключевых проблем. Во-первых, инновации представляют собой сложное и многоаспектное явление, включающее широкий спектр входов, процессов и результатов, что затрудняет унификацию показателей. Во-вторых, существующие метрики обладают ограниченной сопоставимостью и охватом, а традиционные опросные методы, такие как Community Innovation Survey, характеризуются низкой оперативностью и субъективностью </w:t>
      </w:r>
      <w:r w:rsidR="00D14780">
        <w:rPr>
          <w:rFonts w:ascii="Times New Roman" w:eastAsia="Times New Roman" w:hAnsi="Times New Roman" w:cs="Times New Roman"/>
          <w:sz w:val="28"/>
          <w:szCs w:val="28"/>
          <w:lang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{"citationID":"a24nmqpsgeq","properties":{"formattedCitation":"[132]","plainCitation":"[132]","noteIndex":0},"citationItems":[{"id":190,"uris":["http://zotero.org/users/16887523/items/XUPX6942"],"itemData":{"id":190,"type":"article-journal","abstract":"This study uses Chinese A-share listed companies from 2015 to 2022 as a sample to explore the mechanism through which digital transformation affects new quality productivity. The study employs the entropy method to measure new quality productivity and constructs a digital transformation index through annual report text analysis. Empirical results indicate that digital transformation significantly promotes the development of new-quality productivity, with green technology innovation and supply chain efficiency playing mediating roles. Heterogeneity analysis shows that this effect is more pronounced in firms with low financing constraints, non-state-owned firms, and firms with high R&amp;D investments. This study provides theoretical foundations for firms to enhance new-quality productivity through digital transformation and offers policy implications for governments to formulate targeted policies.","container-title":"Advances in Economics, Management and Political Sciences","DOI":"10.54254/2754-1169/2025.CAU27010","ISSN":"2754-1169, 2754-1177","issue":"1","journalAbbreviation":"AEMPS","page":"165-174","source":"DOI.org (Crossref)","title":"The Impact of Digital Transformation on Enterprises' New Quality ProductivityThe Mediating Effects of Green Technology Innovation and Supply Chain Efficiency","URL":"https://www.ewadirect.com/proceedings/aemps/article/view/27010","volume":"214","author":[{"family":"Wang","given":"Sihan"}],"accessed":{"date-parts":[["2025",11,22]]},"issued":{"date-parts":[["2025",9,24]]}}}],"schema":"https://github.com/citation-style-language/schema/raw/master/csl-citation.json"} </w:instrText>
      </w:r>
      <w:r w:rsidR="00D14780">
        <w:rPr>
          <w:rFonts w:ascii="Times New Roman" w:eastAsia="Times New Roman" w:hAnsi="Times New Roman" w:cs="Times New Roman"/>
          <w:sz w:val="28"/>
          <w:szCs w:val="28"/>
          <w:lang w:eastAsia="ru-RU"/>
        </w:rPr>
        <w:fldChar w:fldCharType="separate"/>
      </w:r>
      <w:r w:rsidR="009C6DCA" w:rsidRPr="009C6DCA">
        <w:rPr>
          <w:rFonts w:ascii="Times New Roman" w:hAnsi="Times New Roman" w:cs="Times New Roman"/>
          <w:sz w:val="28"/>
        </w:rPr>
        <w:t>[132]</w:t>
      </w:r>
      <w:r w:rsidR="00D14780">
        <w:rPr>
          <w:rFonts w:ascii="Times New Roman" w:eastAsia="Times New Roman" w:hAnsi="Times New Roman" w:cs="Times New Roman"/>
          <w:sz w:val="28"/>
          <w:szCs w:val="28"/>
          <w:lang w:eastAsia="ru-RU"/>
        </w:rPr>
        <w:fldChar w:fldCharType="end"/>
      </w:r>
      <w:r w:rsidRPr="008252E9">
        <w:rPr>
          <w:rFonts w:ascii="Times New Roman" w:eastAsia="Times New Roman" w:hAnsi="Times New Roman" w:cs="Times New Roman"/>
          <w:sz w:val="28"/>
          <w:szCs w:val="28"/>
          <w:lang w:eastAsia="ru-RU"/>
        </w:rPr>
        <w:t>.</w:t>
      </w:r>
    </w:p>
    <w:p w14:paraId="7DB0C980" w14:textId="77CEF9E8" w:rsidR="008252E9" w:rsidRPr="008252E9" w:rsidRDefault="008252E9" w:rsidP="002F33D0">
      <w:pPr>
        <w:spacing w:after="0" w:line="240" w:lineRule="auto"/>
        <w:ind w:firstLine="567"/>
        <w:jc w:val="both"/>
        <w:rPr>
          <w:rFonts w:ascii="Times New Roman" w:eastAsia="Times New Roman" w:hAnsi="Times New Roman" w:cs="Times New Roman"/>
          <w:sz w:val="28"/>
          <w:szCs w:val="28"/>
          <w:lang w:eastAsia="ru-RU"/>
        </w:rPr>
      </w:pPr>
      <w:r w:rsidRPr="008252E9">
        <w:rPr>
          <w:rFonts w:ascii="Times New Roman" w:eastAsia="Times New Roman" w:hAnsi="Times New Roman" w:cs="Times New Roman"/>
          <w:sz w:val="28"/>
          <w:szCs w:val="28"/>
          <w:lang w:eastAsia="ru-RU"/>
        </w:rPr>
        <w:t xml:space="preserve">Третья проблема связана с цифровыми инновациями: их нелинейная логика, гибридная природа и сложная архитектура цифровых продуктов (программируемость, отслеживаемость, интеграция сервисных уровней) </w:t>
      </w:r>
      <w:r w:rsidR="00D14780">
        <w:rPr>
          <w:rFonts w:ascii="Times New Roman" w:eastAsia="Times New Roman" w:hAnsi="Times New Roman" w:cs="Times New Roman"/>
          <w:sz w:val="28"/>
          <w:szCs w:val="28"/>
          <w:lang w:eastAsia="ru-RU"/>
        </w:rPr>
        <w:lastRenderedPageBreak/>
        <w:t>усложняют измерение результатов</w:t>
      </w:r>
      <w:r w:rsidR="00D14780">
        <w:rPr>
          <w:rFonts w:ascii="Times New Roman" w:eastAsia="Times New Roman" w:hAnsi="Times New Roman" w:cs="Times New Roman"/>
          <w:sz w:val="28"/>
          <w:szCs w:val="28"/>
          <w:lang w:val="kk-KZ" w:eastAsia="ru-RU"/>
        </w:rPr>
        <w:t xml:space="preserve"> </w:t>
      </w:r>
      <w:r w:rsidR="00D14780">
        <w:rPr>
          <w:rFonts w:ascii="Times New Roman" w:eastAsia="Times New Roman" w:hAnsi="Times New Roman" w:cs="Times New Roman"/>
          <w:sz w:val="28"/>
          <w:szCs w:val="28"/>
          <w:lang w:val="kk-KZ" w:eastAsia="ru-RU"/>
        </w:rPr>
        <w:fldChar w:fldCharType="begin"/>
      </w:r>
      <w:r w:rsidR="009C6DCA">
        <w:rPr>
          <w:rFonts w:ascii="Times New Roman" w:eastAsia="Times New Roman" w:hAnsi="Times New Roman" w:cs="Times New Roman"/>
          <w:sz w:val="28"/>
          <w:szCs w:val="28"/>
          <w:lang w:val="kk-KZ" w:eastAsia="ru-RU"/>
        </w:rPr>
        <w:instrText xml:space="preserve"> ADDIN ZOTERO_ITEM CSL_CITATION {"citationID":"avmsdlcqel","properties":{"formattedCitation":"[139]","plainCitation":"[139]","noteIndex":0},"citationItems":[{"id":202,"uris":["http://zotero.org/users/16887523/items/DT9GJ76G"],"itemData":{"id":202,"type":"article-journal","abstract":"With the booming development of the digital economy, big data has become an important factor of production, and its development in various fields and aspects is becoming increasingly widespread. The characteristics of big data have driven the integration of big data and auditing, and the combined application of big data and auditing has greatly promoted changes in auditing. This article discusses the core big data audit technology cluster, analyzes the innovative performance, potential opportunities, and practical challenges of auditing under the background of big data, and proposes multiple collaborative response strategies to promote the high-quality development of the auditing industry in the era of big data. The aim is to provide theoretical reference and practical guidance for the digital transformation of the auditing industry.","container-title":"Frontiers in Business, Economics and Management","DOI":"10.54097/9a9bbc09","ISSN":"3080-1753, 2766-824X","issue":"3","journalAbbreviation":"FBEM","license":"https://creativecommons.org/licenses/by-nc/4.0","page":"15-19","source":"DOI.org (Crossref)","title":"Audit Innovation, Opportunities, And Challenges in The Era of Big Data","URL":"https://drpress.org/ojs/index.php/fbem/article/view/31696","volume":"20","author":[{"family":"Liu","given":"Yichang"}],"accessed":{"date-parts":[["2025",11,23]]},"issued":{"date-parts":[["2025",9,9]]}}}],"schema":"https://github.com/citation-style-language/schema/raw/master/csl-citation.json"} </w:instrText>
      </w:r>
      <w:r w:rsidR="00D14780">
        <w:rPr>
          <w:rFonts w:ascii="Times New Roman" w:eastAsia="Times New Roman" w:hAnsi="Times New Roman" w:cs="Times New Roman"/>
          <w:sz w:val="28"/>
          <w:szCs w:val="28"/>
          <w:lang w:val="kk-KZ" w:eastAsia="ru-RU"/>
        </w:rPr>
        <w:fldChar w:fldCharType="separate"/>
      </w:r>
      <w:r w:rsidR="009C6DCA" w:rsidRPr="009C6DCA">
        <w:rPr>
          <w:rFonts w:ascii="Times New Roman" w:hAnsi="Times New Roman" w:cs="Times New Roman"/>
          <w:sz w:val="28"/>
        </w:rPr>
        <w:t>[139]</w:t>
      </w:r>
      <w:r w:rsidR="00D14780">
        <w:rPr>
          <w:rFonts w:ascii="Times New Roman" w:eastAsia="Times New Roman" w:hAnsi="Times New Roman" w:cs="Times New Roman"/>
          <w:sz w:val="28"/>
          <w:szCs w:val="28"/>
          <w:lang w:val="kk-KZ" w:eastAsia="ru-RU"/>
        </w:rPr>
        <w:fldChar w:fldCharType="end"/>
      </w:r>
      <w:r w:rsidRPr="008252E9">
        <w:rPr>
          <w:rFonts w:ascii="Times New Roman" w:eastAsia="Times New Roman" w:hAnsi="Times New Roman" w:cs="Times New Roman"/>
          <w:sz w:val="28"/>
          <w:szCs w:val="28"/>
          <w:lang w:eastAsia="ru-RU"/>
        </w:rPr>
        <w:t>. В-четвёртых, широкое использование больших данных открывает новые возможности для построения инновационных индикаторов, но создаёт вызовы верификации,</w:t>
      </w:r>
      <w:r w:rsidR="00D14780">
        <w:rPr>
          <w:rFonts w:ascii="Times New Roman" w:eastAsia="Times New Roman" w:hAnsi="Times New Roman" w:cs="Times New Roman"/>
          <w:sz w:val="28"/>
          <w:szCs w:val="28"/>
          <w:lang w:eastAsia="ru-RU"/>
        </w:rPr>
        <w:t xml:space="preserve"> фильтрации и защиты информации</w:t>
      </w:r>
      <w:r w:rsidR="00D14780">
        <w:rPr>
          <w:rFonts w:ascii="Times New Roman" w:eastAsia="Times New Roman" w:hAnsi="Times New Roman" w:cs="Times New Roman"/>
          <w:sz w:val="28"/>
          <w:szCs w:val="28"/>
          <w:lang w:val="kk-KZ" w:eastAsia="ru-RU"/>
        </w:rPr>
        <w:t xml:space="preserve"> </w:t>
      </w:r>
      <w:r w:rsidR="00D14780">
        <w:rPr>
          <w:rFonts w:ascii="Times New Roman" w:eastAsia="Times New Roman" w:hAnsi="Times New Roman" w:cs="Times New Roman"/>
          <w:sz w:val="28"/>
          <w:szCs w:val="28"/>
          <w:lang w:val="kk-KZ" w:eastAsia="ru-RU"/>
        </w:rPr>
        <w:fldChar w:fldCharType="begin"/>
      </w:r>
      <w:r w:rsidR="00CD052D">
        <w:rPr>
          <w:rFonts w:ascii="Times New Roman" w:eastAsia="Times New Roman" w:hAnsi="Times New Roman" w:cs="Times New Roman"/>
          <w:sz w:val="28"/>
          <w:szCs w:val="28"/>
          <w:lang w:val="kk-KZ" w:eastAsia="ru-RU"/>
        </w:rPr>
        <w:instrText xml:space="preserve"> ADDIN ZOTERO_ITEM CSL_CITATION {"citationID":"a137u1ld68k","properties":{"formattedCitation":"[140]","plainCitation":"[140]","noteIndex":0},"citationItems":[{"id":203,"uris":["http://zotero.org/users/16887523/items/V852Q73V"],"itemData":{"id":203,"type":"article-journal","abstract":"Purpose\n              Under the rapid development of the digital economy, digital transformation has become a national-level economic development strategy. The digital economy’s immense potential to enable enterprise innovation has attracted attention from government authorities. As a typical representative of digital innovation, China possesses significant advantages in the digital field, including a vast market size, diverse and complex consumer demands, abundant digital application scenarios, and massive data resources. These interrelated factors collectively contribute to a highly conducive ecosystem for digital innovation, enabling rapid technological development and large-scale deployment of digital transformation. The digital transformation policy implemented by the Chinese government provides an empirical environment for this study. Therefore, the purpose of this paper is to explore the impact and mechanism of digital transformation policy implemented by the Chinese government on enterprises’ digital innovation.\n            \n            \n              Design/methodology/approach\n              This study regards the “big data comprehensive pilot zone” policy as a quasi-natural experiment. The research sample consists of panel data from Chinese listed companies from 2010 to 2022. The difference-in-differences identification strategy is used to test the impact of digital transformation policy on enterprise digital innovation.\n            \n            \n              Findings\n              This study reveals that China’s big data comprehensive pilot zone policy has promoted the increase of enterprise digital patents, reflecting the incentive effect of China’s digital transformation policy on enterprise digital innovation. Mechanism analysis shows that the digital transformation policy effectively promotes enterprise digital innovation by optimizing industrial structure, increasing research and development support and improving the financial environment. Heterogeneity analysis indicates that digital transformation policy has a better positive effect on digital innovation for enterprises in the eastern region, non-resource cities and technology-intensive industries.\n            \n            \n              Originality/value\n              An essential distinction of this study from prior research lies in its emphasis on innovation with digital characteristics. By locking in the digital innovation patent of enterprises, the effectiveness of digital transformation policy can be more accurately evaluated, and the understanding of the impact of digital transformation policy on the digitalization of micro-entities of enterprises can be deepened. Furthermore, this study also provides empirical evidence from China’s digital regulatory framework, enriching the relevant research in this field.","container-title":"Chinese Management Studies","DOI":"10.1108/CMS-10-2024-0812","ISSN":"1750-614X, 1750-6158","language":"en","source":"DOI.org (Crossref)","title":"Can digital transformation policy drive digital innovation of Chinese enterprises: based on the quasi-natural experiment of big data comprehensive pilot zones","title-short":"Can digital transformation policy drive digital innovation of Chinese enterprises","URL":"https://www.emerald.com/cms/article/doi/10.1108/CMS-10-2024-0812/1299116/Can-digital-transformation-policy-drive-digital","author":[{"family":"Luo","given":"Xuan"},{"family":"Wang","given":"Linxiang"}],"accessed":{"date-parts":[["2025",11,23]]},"issued":{"date-parts":[["2025",9,19]]}}}],"schema":"https://github.com/citation-style-language/schema/raw/master/csl-citation.json"} </w:instrText>
      </w:r>
      <w:r w:rsidR="00D14780">
        <w:rPr>
          <w:rFonts w:ascii="Times New Roman" w:eastAsia="Times New Roman" w:hAnsi="Times New Roman" w:cs="Times New Roman"/>
          <w:sz w:val="28"/>
          <w:szCs w:val="28"/>
          <w:lang w:val="kk-KZ" w:eastAsia="ru-RU"/>
        </w:rPr>
        <w:fldChar w:fldCharType="separate"/>
      </w:r>
      <w:r w:rsidR="009C6DCA" w:rsidRPr="009C6DCA">
        <w:rPr>
          <w:rFonts w:ascii="Times New Roman" w:hAnsi="Times New Roman" w:cs="Times New Roman"/>
          <w:sz w:val="28"/>
        </w:rPr>
        <w:t>[140]</w:t>
      </w:r>
      <w:r w:rsidR="00D14780">
        <w:rPr>
          <w:rFonts w:ascii="Times New Roman" w:eastAsia="Times New Roman" w:hAnsi="Times New Roman" w:cs="Times New Roman"/>
          <w:sz w:val="28"/>
          <w:szCs w:val="28"/>
          <w:lang w:val="kk-KZ" w:eastAsia="ru-RU"/>
        </w:rPr>
        <w:fldChar w:fldCharType="end"/>
      </w:r>
      <w:r w:rsidRPr="008252E9">
        <w:rPr>
          <w:rFonts w:ascii="Times New Roman" w:eastAsia="Times New Roman" w:hAnsi="Times New Roman" w:cs="Times New Roman"/>
          <w:sz w:val="28"/>
          <w:szCs w:val="28"/>
          <w:lang w:eastAsia="ru-RU"/>
        </w:rPr>
        <w:t>.</w:t>
      </w:r>
    </w:p>
    <w:p w14:paraId="022F2313" w14:textId="1E1FC9D6" w:rsidR="008252E9" w:rsidRPr="008252E9" w:rsidRDefault="008252E9" w:rsidP="002F33D0">
      <w:pPr>
        <w:spacing w:after="0" w:line="240" w:lineRule="auto"/>
        <w:ind w:firstLine="567"/>
        <w:jc w:val="both"/>
        <w:rPr>
          <w:rFonts w:ascii="Times New Roman" w:eastAsia="Times New Roman" w:hAnsi="Times New Roman" w:cs="Times New Roman"/>
          <w:sz w:val="28"/>
          <w:szCs w:val="28"/>
          <w:lang w:eastAsia="ru-RU"/>
        </w:rPr>
      </w:pPr>
      <w:r w:rsidRPr="008252E9">
        <w:rPr>
          <w:rFonts w:ascii="Times New Roman" w:eastAsia="Times New Roman" w:hAnsi="Times New Roman" w:cs="Times New Roman"/>
          <w:sz w:val="28"/>
          <w:szCs w:val="28"/>
          <w:lang w:eastAsia="ru-RU"/>
        </w:rPr>
        <w:t xml:space="preserve">Наконец, значительные различия в институциональной и цифровой среде обуславливают контекстуальную вариативность инновационных процессов. </w:t>
      </w:r>
      <w:r w:rsidR="00D14780" w:rsidRPr="00D14780">
        <w:rPr>
          <w:rFonts w:ascii="Times New Roman" w:eastAsia="Times New Roman" w:hAnsi="Times New Roman" w:cs="Times New Roman"/>
          <w:sz w:val="28"/>
          <w:szCs w:val="28"/>
          <w:lang w:val="kk-KZ" w:eastAsia="ru-RU"/>
        </w:rPr>
        <w:t>Y</w:t>
      </w:r>
      <w:r w:rsidR="00D14780">
        <w:rPr>
          <w:rFonts w:ascii="Times New Roman" w:eastAsia="Times New Roman" w:hAnsi="Times New Roman" w:cs="Times New Roman"/>
          <w:sz w:val="28"/>
          <w:szCs w:val="28"/>
          <w:lang w:val="kk-KZ" w:eastAsia="ru-RU"/>
        </w:rPr>
        <w:t xml:space="preserve">. Zhang, </w:t>
      </w:r>
      <w:r w:rsidR="00D14780" w:rsidRPr="00D14780">
        <w:rPr>
          <w:rFonts w:ascii="Times New Roman" w:eastAsia="Times New Roman" w:hAnsi="Times New Roman" w:cs="Times New Roman"/>
          <w:sz w:val="28"/>
          <w:szCs w:val="28"/>
          <w:lang w:val="kk-KZ" w:eastAsia="ru-RU"/>
        </w:rPr>
        <w:t>M</w:t>
      </w:r>
      <w:r w:rsidR="00D14780">
        <w:rPr>
          <w:rFonts w:ascii="Times New Roman" w:eastAsia="Times New Roman" w:hAnsi="Times New Roman" w:cs="Times New Roman"/>
          <w:sz w:val="28"/>
          <w:szCs w:val="28"/>
          <w:lang w:val="kk-KZ" w:eastAsia="ru-RU"/>
        </w:rPr>
        <w:t>.</w:t>
      </w:r>
      <w:r w:rsidR="00D14780" w:rsidRPr="00D14780">
        <w:rPr>
          <w:rFonts w:ascii="Times New Roman" w:eastAsia="Times New Roman" w:hAnsi="Times New Roman" w:cs="Times New Roman"/>
          <w:sz w:val="28"/>
          <w:szCs w:val="28"/>
          <w:lang w:val="kk-KZ" w:eastAsia="ru-RU"/>
        </w:rPr>
        <w:t>B</w:t>
      </w:r>
      <w:r w:rsidR="00D14780">
        <w:rPr>
          <w:rFonts w:ascii="Times New Roman" w:eastAsia="Times New Roman" w:hAnsi="Times New Roman" w:cs="Times New Roman"/>
          <w:sz w:val="28"/>
          <w:szCs w:val="28"/>
          <w:lang w:val="kk-KZ" w:eastAsia="ru-RU"/>
        </w:rPr>
        <w:t>.</w:t>
      </w:r>
      <w:r w:rsidR="00D14780" w:rsidRPr="00D14780">
        <w:rPr>
          <w:rFonts w:ascii="Times New Roman" w:eastAsia="Times New Roman" w:hAnsi="Times New Roman" w:cs="Times New Roman"/>
          <w:sz w:val="28"/>
          <w:szCs w:val="28"/>
          <w:lang w:val="kk-KZ" w:eastAsia="ru-RU"/>
        </w:rPr>
        <w:t xml:space="preserve"> Khaskheli</w:t>
      </w:r>
      <w:r w:rsidR="00D14780">
        <w:rPr>
          <w:rFonts w:ascii="Times New Roman" w:eastAsia="Times New Roman" w:hAnsi="Times New Roman" w:cs="Times New Roman"/>
          <w:sz w:val="28"/>
          <w:szCs w:val="28"/>
          <w:lang w:val="kk-KZ" w:eastAsia="ru-RU"/>
        </w:rPr>
        <w:t xml:space="preserve"> </w:t>
      </w:r>
      <w:r w:rsidR="00D14780">
        <w:rPr>
          <w:rFonts w:ascii="Times New Roman" w:eastAsia="Times New Roman" w:hAnsi="Times New Roman" w:cs="Times New Roman"/>
          <w:sz w:val="28"/>
          <w:szCs w:val="28"/>
          <w:lang w:val="kk-KZ" w:eastAsia="ru-RU"/>
        </w:rPr>
        <w:fldChar w:fldCharType="begin"/>
      </w:r>
      <w:r w:rsidR="009C6DCA">
        <w:rPr>
          <w:rFonts w:ascii="Times New Roman" w:eastAsia="Times New Roman" w:hAnsi="Times New Roman" w:cs="Times New Roman"/>
          <w:sz w:val="28"/>
          <w:szCs w:val="28"/>
          <w:lang w:val="kk-KZ" w:eastAsia="ru-RU"/>
        </w:rPr>
        <w:instrText xml:space="preserve"> ADDIN ZOTERO_ITEM CSL_CITATION {"citationID":"a13etcsftsc","properties":{"formattedCitation":"[141]","plainCitation":"[141]","noteIndex":0},"citationItems":[{"id":204,"uris":["http://zotero.org/users/16887523/items/3R4M54KH"],"itemData":{"id":204,"type":"article-journal","abstract":"This research delves into the central position of digital technology as a stimulator of sustainable economic advancement. This study examines the complementary convergence of policy structures, law, and environmental economics that unleashes this advancement. This research finds and explores converging strategies in tapping digital innovation towards sustainability goals through benchmarking China, the EU, and the USA. This study bridges a gap in the literature since it undertakes a systematic, cross-disciplinary analysis and offers policymakers valuable inputs to craft effective strategies leveraging technology to a prosperous, sustainable world future. The results prove that new technologies enhance environmental law efficacy, transparency, and enforcement. It provides a prospective framework integrating digital solutions into policy and legal design, connecting economic growth with environmental degradation. Imperial methods in the form of qualitative research grounded on literature review, secondary data, green growth sustainable development, circular economy project studies, and smart conurbations to evaluate the efficacy of digital policy machinery indicate that digitally empowered policies significantly enhance resource productivity, maximise environmental taxation and cap-and-trade instruments, and enhance green innovation. This paper concludes with a policy road map for integrating digital to achieve synergistic economic and environmental objectives, calling for a new paradigm in environmental economic policy and law.","container-title":"Sustainability","DOI":"10.3390/su17198666","ISSN":"2071-1050","issue":"19","journalAbbreviation":"Sustainability","language":"en","page":"8666","source":"DOI.org (Crossref)","title":"The Role of Digital Technologies in Advancing Sustainable Economic Development into Intersections of Policy, Law, Environmental Economics, and a Comparative Study of China, the EU, and the USA","URL":"https://www.mdpi.com/2071-1050/17/19/8666","volume":"17","author":[{"family":"Zhang","given":"Yizhi"},{"family":"Bilawal Khaskheli","given":"Muhammad"}],"accessed":{"date-parts":[["2025",11,23]]},"issued":{"date-parts":[["2025",9,26]]}}}],"schema":"https://github.com/citation-style-language/schema/raw/master/csl-citation.json"} </w:instrText>
      </w:r>
      <w:r w:rsidR="00D14780">
        <w:rPr>
          <w:rFonts w:ascii="Times New Roman" w:eastAsia="Times New Roman" w:hAnsi="Times New Roman" w:cs="Times New Roman"/>
          <w:sz w:val="28"/>
          <w:szCs w:val="28"/>
          <w:lang w:val="kk-KZ" w:eastAsia="ru-RU"/>
        </w:rPr>
        <w:fldChar w:fldCharType="separate"/>
      </w:r>
      <w:r w:rsidR="009C6DCA" w:rsidRPr="009C6DCA">
        <w:rPr>
          <w:rFonts w:ascii="Times New Roman" w:hAnsi="Times New Roman" w:cs="Times New Roman"/>
          <w:sz w:val="28"/>
        </w:rPr>
        <w:t>[141]</w:t>
      </w:r>
      <w:r w:rsidR="00D14780">
        <w:rPr>
          <w:rFonts w:ascii="Times New Roman" w:eastAsia="Times New Roman" w:hAnsi="Times New Roman" w:cs="Times New Roman"/>
          <w:sz w:val="28"/>
          <w:szCs w:val="28"/>
          <w:lang w:val="kk-KZ" w:eastAsia="ru-RU"/>
        </w:rPr>
        <w:fldChar w:fldCharType="end"/>
      </w:r>
      <w:r w:rsidR="00D14780">
        <w:rPr>
          <w:rFonts w:ascii="Times New Roman" w:eastAsia="Times New Roman" w:hAnsi="Times New Roman" w:cs="Times New Roman"/>
          <w:sz w:val="28"/>
          <w:szCs w:val="28"/>
          <w:lang w:val="kk-KZ" w:eastAsia="ru-RU"/>
        </w:rPr>
        <w:t xml:space="preserve"> и С. </w:t>
      </w:r>
      <w:r w:rsidR="00D14780" w:rsidRPr="00D14780">
        <w:rPr>
          <w:rFonts w:ascii="Times New Roman" w:eastAsia="Times New Roman" w:hAnsi="Times New Roman" w:cs="Times New Roman"/>
          <w:sz w:val="28"/>
          <w:szCs w:val="28"/>
          <w:lang w:val="kk-KZ" w:eastAsia="ru-RU"/>
        </w:rPr>
        <w:t>Повна</w:t>
      </w:r>
      <w:r w:rsidR="00D14780">
        <w:rPr>
          <w:rFonts w:ascii="Times New Roman" w:eastAsia="Times New Roman" w:hAnsi="Times New Roman" w:cs="Times New Roman"/>
          <w:sz w:val="28"/>
          <w:szCs w:val="28"/>
          <w:lang w:val="kk-KZ" w:eastAsia="ru-RU"/>
        </w:rPr>
        <w:t xml:space="preserve"> </w:t>
      </w:r>
      <w:r w:rsidR="00D14780">
        <w:rPr>
          <w:rFonts w:ascii="Times New Roman" w:eastAsia="Times New Roman" w:hAnsi="Times New Roman" w:cs="Times New Roman"/>
          <w:sz w:val="28"/>
          <w:szCs w:val="28"/>
          <w:lang w:val="kk-KZ" w:eastAsia="ru-RU"/>
        </w:rPr>
        <w:fldChar w:fldCharType="begin"/>
      </w:r>
      <w:r w:rsidR="009C6DCA">
        <w:rPr>
          <w:rFonts w:ascii="Times New Roman" w:eastAsia="Times New Roman" w:hAnsi="Times New Roman" w:cs="Times New Roman"/>
          <w:sz w:val="28"/>
          <w:szCs w:val="28"/>
          <w:lang w:val="kk-KZ" w:eastAsia="ru-RU"/>
        </w:rPr>
        <w:instrText xml:space="preserve"> ADDIN ZOTERO_ITEM CSL_CITATION {"citationID":"ai82ne0hga","properties":{"formattedCitation":"[120]","plainCitation":"[120]","noteIndex":0},"citationItems":[{"id":177,"uris":["http://zotero.org/users/16887523/items/WXX63IXV"],"itemData":{"id":177,"type":"article-journal","abstract":"The article defines the concept of digital innovation as a type of innovation based on the implementation and use of digital technologies that change products, services, business processes and interaction models inside and outside the organization. Significant differences between digital innovations and traditional innovations are: they are based not on material technologies, but on digital ones; the result is software solutions, platforms, services; the speed of dissemination is much higher than traditional innovations due to the use of flexible management methodologies; the sources of created value are data and their analysis, interaction, user experience; the type of effective interaction is a network ecosystem, a digital platform; high scalability when using platforms and network ecosystems. \nA model of the digital innovation management system of industrial enterprises has been developed. It consists of interacting subsystems of digital management (control subsystem) and digital technologies (managed subsystem). In turn, the digital management subsystem is a complex set of digital culture, digital strategy, digital interaction, flexible management methods, as well as changes in the business model and organizational structure. \nAn analysis of digital innovation management indicators in Ukraine was conducted, which indicate contradictory trends: on the one hand, Ukraine is an exporter of digital technology development services, which implies at least the presence of qualified personnel who are able to create appropriate software and have a digital culture. On the other hand, the penetration of digital technologies into national industrial enterprises has extremely low indicators, which is determined by the low level of development of industrial enterprises themselves. Such trends are explained by the predominance of short-term financial interests over long-term economic interests and cannot ensure sustainable long-term development of the national economy, which implies the need to change priorities in favor of the innovative and investment development of national industrial enterprises.","container-title":"Науковий вісник Полісся","DOI":"10.25140/2410-9576-2025-1(30)-401-412","ISSN":"2412-2394, 2410-9576","issue":"30","journalAbbreviation":"SBP","page":"401-412","source":"DOI.org (Crossref)","title":"Управління цифровими інноваціями на промислових підприємствах: аналіз міжнародного і національного досвіду","title-short":"Digital innovation management in industrial enterprises","URL":"http://nvp.stu.cn.ua/article/view/340003","volume":"1","author":[{"family":"Повна","given":"С."}],"accessed":{"date-parts":[["2025",11,22]]},"issued":{"date-parts":[["2025"]]}}}],"schema":"https://github.com/citation-style-language/schema/raw/master/csl-citation.json"} </w:instrText>
      </w:r>
      <w:r w:rsidR="00D14780">
        <w:rPr>
          <w:rFonts w:ascii="Times New Roman" w:eastAsia="Times New Roman" w:hAnsi="Times New Roman" w:cs="Times New Roman"/>
          <w:sz w:val="28"/>
          <w:szCs w:val="28"/>
          <w:lang w:val="kk-KZ" w:eastAsia="ru-RU"/>
        </w:rPr>
        <w:fldChar w:fldCharType="separate"/>
      </w:r>
      <w:r w:rsidR="009C6DCA" w:rsidRPr="009C6DCA">
        <w:rPr>
          <w:rFonts w:ascii="Times New Roman" w:hAnsi="Times New Roman" w:cs="Times New Roman"/>
          <w:sz w:val="28"/>
        </w:rPr>
        <w:t>[120]</w:t>
      </w:r>
      <w:r w:rsidR="00D14780">
        <w:rPr>
          <w:rFonts w:ascii="Times New Roman" w:eastAsia="Times New Roman" w:hAnsi="Times New Roman" w:cs="Times New Roman"/>
          <w:sz w:val="28"/>
          <w:szCs w:val="28"/>
          <w:lang w:val="kk-KZ" w:eastAsia="ru-RU"/>
        </w:rPr>
        <w:fldChar w:fldCharType="end"/>
      </w:r>
      <w:r w:rsidR="00D14780">
        <w:rPr>
          <w:rFonts w:ascii="Times New Roman" w:eastAsia="Times New Roman" w:hAnsi="Times New Roman" w:cs="Times New Roman"/>
          <w:sz w:val="28"/>
          <w:szCs w:val="28"/>
          <w:lang w:val="kk-KZ" w:eastAsia="ru-RU"/>
        </w:rPr>
        <w:t xml:space="preserve"> </w:t>
      </w:r>
      <w:r w:rsidRPr="008252E9">
        <w:rPr>
          <w:rFonts w:ascii="Times New Roman" w:eastAsia="Times New Roman" w:hAnsi="Times New Roman" w:cs="Times New Roman"/>
          <w:sz w:val="28"/>
          <w:szCs w:val="28"/>
          <w:lang w:eastAsia="ru-RU"/>
        </w:rPr>
        <w:t>отмечают, что универсальные системы показателей часто оказываются неэффективными в развивающихся экономиках, где инновационная активность формируется под влиянием региональных условий, инфраструктуры и государственной поддержки.</w:t>
      </w:r>
    </w:p>
    <w:p w14:paraId="65612ED9" w14:textId="12A0F740" w:rsidR="008252E9" w:rsidRPr="008252E9" w:rsidRDefault="008252E9" w:rsidP="002F33D0">
      <w:pPr>
        <w:spacing w:after="0" w:line="240" w:lineRule="auto"/>
        <w:ind w:firstLine="567"/>
        <w:jc w:val="both"/>
        <w:rPr>
          <w:rFonts w:ascii="Times New Roman" w:eastAsia="Times New Roman" w:hAnsi="Times New Roman" w:cs="Times New Roman"/>
          <w:sz w:val="28"/>
          <w:szCs w:val="28"/>
          <w:lang w:eastAsia="ru-RU"/>
        </w:rPr>
      </w:pPr>
      <w:r w:rsidRPr="008252E9">
        <w:rPr>
          <w:rFonts w:ascii="Times New Roman" w:eastAsia="Times New Roman" w:hAnsi="Times New Roman" w:cs="Times New Roman"/>
          <w:sz w:val="28"/>
          <w:szCs w:val="28"/>
          <w:lang w:eastAsia="ru-RU"/>
        </w:rPr>
        <w:t xml:space="preserve">Современные исследования предлагают объединять традиционные и цифровые подходы в рамках многоуровневых систем оценки. </w:t>
      </w:r>
      <w:r w:rsidR="00233CFF">
        <w:rPr>
          <w:rFonts w:ascii="Times New Roman" w:eastAsia="Times New Roman" w:hAnsi="Times New Roman" w:cs="Times New Roman"/>
          <w:sz w:val="28"/>
          <w:szCs w:val="28"/>
          <w:lang w:val="kk-KZ" w:eastAsia="ru-RU"/>
        </w:rPr>
        <w:t>Р. Yudhistira и др</w:t>
      </w:r>
      <w:r w:rsidR="00D14780" w:rsidRPr="00D14780">
        <w:rPr>
          <w:rFonts w:ascii="Times New Roman" w:eastAsia="Times New Roman" w:hAnsi="Times New Roman" w:cs="Times New Roman"/>
          <w:sz w:val="28"/>
          <w:szCs w:val="28"/>
          <w:lang w:val="kk-KZ" w:eastAsia="ru-RU"/>
        </w:rPr>
        <w:t>.</w:t>
      </w:r>
      <w:r w:rsidR="00D14780">
        <w:rPr>
          <w:rFonts w:ascii="Times New Roman" w:eastAsia="Times New Roman" w:hAnsi="Times New Roman" w:cs="Times New Roman"/>
          <w:sz w:val="28"/>
          <w:szCs w:val="28"/>
          <w:lang w:val="kk-KZ" w:eastAsia="ru-RU"/>
        </w:rPr>
        <w:t xml:space="preserve"> </w:t>
      </w:r>
      <w:r w:rsidR="00233CFF" w:rsidRPr="00233CFF">
        <w:rPr>
          <w:rFonts w:ascii="Times New Roman" w:eastAsia="Times New Roman" w:hAnsi="Times New Roman" w:cs="Times New Roman"/>
          <w:sz w:val="28"/>
          <w:szCs w:val="28"/>
          <w:lang w:eastAsia="ru-RU"/>
        </w:rPr>
        <w:t>представили инновационологическую модель, связывающую динамические способности, инновации и управление знаниями, с акцентом на организационные и экосистемные детерминанты инновационного успеха.</w:t>
      </w:r>
      <w:r w:rsidRPr="008252E9">
        <w:rPr>
          <w:rFonts w:ascii="Times New Roman" w:eastAsia="Times New Roman" w:hAnsi="Times New Roman" w:cs="Times New Roman"/>
          <w:sz w:val="28"/>
          <w:szCs w:val="28"/>
          <w:lang w:eastAsia="ru-RU"/>
        </w:rPr>
        <w:t xml:space="preserve"> </w:t>
      </w:r>
      <w:r w:rsidR="00233CFF">
        <w:rPr>
          <w:rFonts w:ascii="Times New Roman" w:eastAsia="Times New Roman" w:hAnsi="Times New Roman" w:cs="Times New Roman"/>
          <w:sz w:val="28"/>
          <w:szCs w:val="28"/>
          <w:lang w:val="kk-KZ" w:eastAsia="ru-RU"/>
        </w:rPr>
        <w:t xml:space="preserve">B. </w:t>
      </w:r>
      <w:r w:rsidR="00233CFF" w:rsidRPr="00233CFF">
        <w:rPr>
          <w:rFonts w:ascii="Times New Roman" w:eastAsia="Times New Roman" w:hAnsi="Times New Roman" w:cs="Times New Roman"/>
          <w:sz w:val="28"/>
          <w:szCs w:val="28"/>
          <w:lang w:val="kk-KZ" w:eastAsia="ru-RU"/>
        </w:rPr>
        <w:t>Huy Nhuong</w:t>
      </w:r>
      <w:r w:rsidR="00233CFF">
        <w:rPr>
          <w:rFonts w:ascii="Times New Roman" w:eastAsia="Times New Roman" w:hAnsi="Times New Roman" w:cs="Times New Roman"/>
          <w:sz w:val="28"/>
          <w:szCs w:val="28"/>
          <w:lang w:val="kk-KZ" w:eastAsia="ru-RU"/>
        </w:rPr>
        <w:t xml:space="preserve"> и </w:t>
      </w:r>
      <w:r w:rsidR="00233CFF" w:rsidRPr="00233CFF">
        <w:rPr>
          <w:rFonts w:ascii="Times New Roman" w:eastAsia="Times New Roman" w:hAnsi="Times New Roman" w:cs="Times New Roman"/>
          <w:sz w:val="28"/>
          <w:szCs w:val="28"/>
          <w:lang w:val="kk-KZ" w:eastAsia="ru-RU"/>
        </w:rPr>
        <w:t>N</w:t>
      </w:r>
      <w:r w:rsidR="00233CFF">
        <w:rPr>
          <w:rFonts w:ascii="Times New Roman" w:eastAsia="Times New Roman" w:hAnsi="Times New Roman" w:cs="Times New Roman"/>
          <w:sz w:val="28"/>
          <w:szCs w:val="28"/>
          <w:lang w:val="kk-KZ" w:eastAsia="ru-RU"/>
        </w:rPr>
        <w:t xml:space="preserve">. </w:t>
      </w:r>
      <w:r w:rsidR="00233CFF" w:rsidRPr="00233CFF">
        <w:rPr>
          <w:rFonts w:ascii="Times New Roman" w:eastAsia="Times New Roman" w:hAnsi="Times New Roman" w:cs="Times New Roman"/>
          <w:sz w:val="28"/>
          <w:szCs w:val="28"/>
          <w:lang w:val="kk-KZ" w:eastAsia="ru-RU"/>
        </w:rPr>
        <w:t>Minh Ngoc</w:t>
      </w:r>
      <w:r w:rsidR="00233CFF">
        <w:rPr>
          <w:rFonts w:ascii="Times New Roman" w:eastAsia="Times New Roman" w:hAnsi="Times New Roman" w:cs="Times New Roman"/>
          <w:sz w:val="28"/>
          <w:szCs w:val="28"/>
          <w:lang w:val="kk-KZ" w:eastAsia="ru-RU"/>
        </w:rPr>
        <w:t xml:space="preserve"> </w:t>
      </w:r>
      <w:r w:rsidR="00233CFF">
        <w:rPr>
          <w:rFonts w:ascii="Times New Roman" w:eastAsia="Times New Roman" w:hAnsi="Times New Roman" w:cs="Times New Roman"/>
          <w:sz w:val="28"/>
          <w:szCs w:val="28"/>
          <w:lang w:val="kk-KZ" w:eastAsia="ru-RU"/>
        </w:rPr>
        <w:fldChar w:fldCharType="begin"/>
      </w:r>
      <w:r w:rsidR="00CD052D">
        <w:rPr>
          <w:rFonts w:ascii="Times New Roman" w:eastAsia="Times New Roman" w:hAnsi="Times New Roman" w:cs="Times New Roman"/>
          <w:sz w:val="28"/>
          <w:szCs w:val="28"/>
          <w:lang w:val="kk-KZ" w:eastAsia="ru-RU"/>
        </w:rPr>
        <w:instrText xml:space="preserve"> ADDIN ZOTERO_ITEM CSL_CITATION {"citationID":"a2642l48grv","properties":{"formattedCitation":"[142]","plainCitation":"[142]","noteIndex":0},"citationItems":[{"id":205,"uris":["http://zotero.org/users/16887523/items/YDZIE982"],"itemData":{"id":205,"type":"article-journal","abstract":"This article proposes a multi-actor connectivity model for organizations involved in knowledge creation, management, and transfer (including research and development, technology transfer, intellectual property, and innovation organizations) within Vietnam’s innovation startup ecosystem. The model is grounded in open ecosystem theory and built upon surveys at over 20 organizations, three national workshops organized by the research team (2023-2024), and international experience. Structured across three levels-institutions, connection platforms, and implementation tools, it aims to address fragmentation and foster an integrated, sustainable, and globally connected ecosystem.","container-title":"VNU Journal of Science: Policy and Management Studies","DOI":"10.25073/2588-1116/vnupam.4571","ISSN":"2588-1116, 2615-9295","issue":"3","journalAbbreviation":"PaM","source":"DOI.org (Crossref)","title":"Connecting Knowledge Creation, Management, and Transfer Organizations into the Innovation Startup Ecosystem: Models and Policies","title-short":"Connecting Knowledge Creation, Management, and Transfer Organizations into the Innovation Startup Ecosystem","URL":"https://js.vnu.edu.vn/PaM/article/view/4571","volume":"41","author":[{"family":"Huy Nhuong","given":"Bui"},{"family":"Minh Ngoc","given":"Nguyen"}],"accessed":{"date-parts":[["2025",11,23]]},"issued":{"date-parts":[["2025",9,27]]}}}],"schema":"https://github.com/citation-style-language/schema/raw/master/csl-citation.json"} </w:instrText>
      </w:r>
      <w:r w:rsidR="00233CFF">
        <w:rPr>
          <w:rFonts w:ascii="Times New Roman" w:eastAsia="Times New Roman" w:hAnsi="Times New Roman" w:cs="Times New Roman"/>
          <w:sz w:val="28"/>
          <w:szCs w:val="28"/>
          <w:lang w:val="kk-KZ" w:eastAsia="ru-RU"/>
        </w:rPr>
        <w:fldChar w:fldCharType="separate"/>
      </w:r>
      <w:r w:rsidR="009C6DCA" w:rsidRPr="009C6DCA">
        <w:rPr>
          <w:rFonts w:ascii="Times New Roman" w:hAnsi="Times New Roman" w:cs="Times New Roman"/>
          <w:sz w:val="28"/>
        </w:rPr>
        <w:t>[142]</w:t>
      </w:r>
      <w:r w:rsidR="00233CFF">
        <w:rPr>
          <w:rFonts w:ascii="Times New Roman" w:eastAsia="Times New Roman" w:hAnsi="Times New Roman" w:cs="Times New Roman"/>
          <w:sz w:val="28"/>
          <w:szCs w:val="28"/>
          <w:lang w:val="kk-KZ" w:eastAsia="ru-RU"/>
        </w:rPr>
        <w:fldChar w:fldCharType="end"/>
      </w:r>
      <w:r w:rsidR="00233CFF">
        <w:rPr>
          <w:rFonts w:ascii="Times New Roman" w:eastAsia="Times New Roman" w:hAnsi="Times New Roman" w:cs="Times New Roman"/>
          <w:sz w:val="28"/>
          <w:szCs w:val="28"/>
          <w:lang w:val="kk-KZ" w:eastAsia="ru-RU"/>
        </w:rPr>
        <w:t xml:space="preserve"> </w:t>
      </w:r>
      <w:r w:rsidR="00233CFF" w:rsidRPr="00233CFF">
        <w:rPr>
          <w:rFonts w:ascii="Times New Roman" w:eastAsia="Times New Roman" w:hAnsi="Times New Roman" w:cs="Times New Roman"/>
          <w:sz w:val="28"/>
          <w:szCs w:val="28"/>
          <w:lang w:eastAsia="ru-RU"/>
        </w:rPr>
        <w:t>дополнили этот подход через систему многомерных индикаторов, основанную на анализе потоков технологических знаний и институционального взаимодействия.</w:t>
      </w:r>
      <w:r w:rsidRPr="008252E9">
        <w:rPr>
          <w:rFonts w:ascii="Times New Roman" w:eastAsia="Times New Roman" w:hAnsi="Times New Roman" w:cs="Times New Roman"/>
          <w:sz w:val="28"/>
          <w:szCs w:val="28"/>
          <w:lang w:eastAsia="ru-RU"/>
        </w:rPr>
        <w:t xml:space="preserve"> В европейских исследованиях </w:t>
      </w:r>
      <w:r w:rsidR="00233CFF">
        <w:rPr>
          <w:rFonts w:ascii="Times New Roman" w:eastAsia="Times New Roman" w:hAnsi="Times New Roman" w:cs="Times New Roman"/>
          <w:sz w:val="28"/>
          <w:szCs w:val="28"/>
          <w:lang w:val="kk-KZ" w:eastAsia="ru-RU"/>
        </w:rPr>
        <w:t xml:space="preserve">С. </w:t>
      </w:r>
      <w:r w:rsidR="00233CFF" w:rsidRPr="00D14780">
        <w:rPr>
          <w:rFonts w:ascii="Times New Roman" w:eastAsia="Times New Roman" w:hAnsi="Times New Roman" w:cs="Times New Roman"/>
          <w:sz w:val="28"/>
          <w:szCs w:val="28"/>
          <w:lang w:val="kk-KZ" w:eastAsia="ru-RU"/>
        </w:rPr>
        <w:t>Повна</w:t>
      </w:r>
      <w:r w:rsidR="00233CFF">
        <w:rPr>
          <w:rFonts w:ascii="Times New Roman" w:eastAsia="Times New Roman" w:hAnsi="Times New Roman" w:cs="Times New Roman"/>
          <w:sz w:val="28"/>
          <w:szCs w:val="28"/>
          <w:lang w:val="kk-KZ" w:eastAsia="ru-RU"/>
        </w:rPr>
        <w:t xml:space="preserve"> </w:t>
      </w:r>
      <w:r w:rsidR="00233CFF">
        <w:rPr>
          <w:rFonts w:ascii="Times New Roman" w:eastAsia="Times New Roman" w:hAnsi="Times New Roman" w:cs="Times New Roman"/>
          <w:sz w:val="28"/>
          <w:szCs w:val="28"/>
          <w:lang w:val="kk-KZ" w:eastAsia="ru-RU"/>
        </w:rPr>
        <w:fldChar w:fldCharType="begin"/>
      </w:r>
      <w:r w:rsidR="009C6DCA">
        <w:rPr>
          <w:rFonts w:ascii="Times New Roman" w:eastAsia="Times New Roman" w:hAnsi="Times New Roman" w:cs="Times New Roman"/>
          <w:sz w:val="28"/>
          <w:szCs w:val="28"/>
          <w:lang w:val="kk-KZ" w:eastAsia="ru-RU"/>
        </w:rPr>
        <w:instrText xml:space="preserve"> ADDIN ZOTERO_ITEM CSL_CITATION {"citationID":"aj4oo1o4rc","properties":{"formattedCitation":"[82]","plainCitation":"[82]","noteIndex":0},"citationItems":[{"id":131,"uris":["http://zotero.org/users/16887523/items/VQR2MQQG"],"itemData":{"id":131,"type":"article-journal","abstract":"The article defines the concept of digital innovation as a type of innovation based on the implementation and use of digital technologies that change products, services, business processes and interaction models inside and outside the organization. Significant differences between digital innovations and traditional innovations are: they are based not on material technologies, but on digital ones; the result is software solutions, platforms, services; the speed of dissemination is much higher than traditional innovations due to the use of flexible management methodologies; the sources of created value are data and their analysis, interaction, user experience; the type of effective interaction is a network ecosystem, a digital platform; high scalability when using platforms and network ecosystems. \nA model of the digital innovation management system of industrial enterprises has been developed. It consists of interacting subsystems of digital management (control subsystem) and digital technologies (managed subsystem). In turn, the digital management subsystem is a complex set of digital culture, digital strategy, digital interaction, flexible management methods, as well as changes in the business model and organizational structure. \nAn analysis of digital innovation management indicators in Ukraine was conducted, which indicate contradictory trends: on the one hand, Ukraine is an exporter of digital technology development services, which implies at least the presence of qualified personnel who are able to create appropriate software and have a digital culture. On the other hand, the penetration of digital technologies into national industrial enterprises has extremely low indicators, which is determined by the low level of development of industrial enterprises themselves. Such trends are explained by the predominance of short-term financial interests over long-term economic interests and cannot ensure sustainable long-term development of the national economy, which implies the need to change priorities in favor of the innovative and investment development of national industrial enterprises.","container-title":"Науковий вісник Полісся","DOI":"10.25140/2410-9576-2025-1(30)-401-412","ISSN":"2412-2394, 2410-9576","issue":"1","journalAbbreviation":"SBP","page":"401-412","source":"DOI.org (Crossref)","title":"УПРАВЛІННЯ ЦИФРОВИМИ ІННОВАЦІЯМИ НА ПРОМИСЛОВИХ ПІДПРИЄМСТВАХ: АНАЛІЗ МІЖНАРОДНОГО І НАЦІОНАЛЬНОГО ДОСВІДУ","title-short":"Digital innovation management in industrial enterprises","URL":"http://nvp.stu.cn.ua/article/view/340003","volume":"30","author":[{"family":"Повна","given":"С.В."}],"accessed":{"date-parts":[["2025",11,22]]},"issued":{"date-parts":[["2025"]]}}}],"schema":"https://github.com/citation-style-language/schema/raw/master/csl-citation.json"} </w:instrText>
      </w:r>
      <w:r w:rsidR="00233CFF">
        <w:rPr>
          <w:rFonts w:ascii="Times New Roman" w:eastAsia="Times New Roman" w:hAnsi="Times New Roman" w:cs="Times New Roman"/>
          <w:sz w:val="28"/>
          <w:szCs w:val="28"/>
          <w:lang w:val="kk-KZ" w:eastAsia="ru-RU"/>
        </w:rPr>
        <w:fldChar w:fldCharType="separate"/>
      </w:r>
      <w:r w:rsidR="009C6DCA" w:rsidRPr="009C6DCA">
        <w:rPr>
          <w:rFonts w:ascii="Times New Roman" w:hAnsi="Times New Roman" w:cs="Times New Roman"/>
          <w:sz w:val="28"/>
        </w:rPr>
        <w:t>[82]</w:t>
      </w:r>
      <w:r w:rsidR="00233CFF">
        <w:rPr>
          <w:rFonts w:ascii="Times New Roman" w:eastAsia="Times New Roman" w:hAnsi="Times New Roman" w:cs="Times New Roman"/>
          <w:sz w:val="28"/>
          <w:szCs w:val="28"/>
          <w:lang w:val="kk-KZ" w:eastAsia="ru-RU"/>
        </w:rPr>
        <w:fldChar w:fldCharType="end"/>
      </w:r>
      <w:r w:rsidRPr="008252E9">
        <w:rPr>
          <w:rFonts w:ascii="Times New Roman" w:eastAsia="Times New Roman" w:hAnsi="Times New Roman" w:cs="Times New Roman"/>
          <w:sz w:val="28"/>
          <w:szCs w:val="28"/>
          <w:lang w:eastAsia="ru-RU"/>
        </w:rPr>
        <w:t xml:space="preserve"> </w:t>
      </w:r>
      <w:r w:rsidR="00233CFF" w:rsidRPr="00233CFF">
        <w:rPr>
          <w:rFonts w:ascii="Times New Roman" w:eastAsia="Times New Roman" w:hAnsi="Times New Roman" w:cs="Times New Roman"/>
          <w:sz w:val="28"/>
          <w:szCs w:val="28"/>
          <w:lang w:eastAsia="ru-RU"/>
        </w:rPr>
        <w:t>наметилась тенденция перехода от классических индексов, таких как Глобальный инновационный индекс и Европейское табло инноваций, к адаптивным системам, интегрирующим цифровые данные и отражающим контекстную зрелость предприятий.</w:t>
      </w:r>
    </w:p>
    <w:p w14:paraId="5C4F1559" w14:textId="77777777" w:rsidR="008252E9" w:rsidRPr="008252E9" w:rsidRDefault="008252E9" w:rsidP="002F33D0">
      <w:pPr>
        <w:spacing w:after="0" w:line="240" w:lineRule="auto"/>
        <w:ind w:firstLine="567"/>
        <w:jc w:val="both"/>
        <w:rPr>
          <w:rFonts w:ascii="Times New Roman" w:eastAsia="Times New Roman" w:hAnsi="Times New Roman" w:cs="Times New Roman"/>
          <w:sz w:val="28"/>
          <w:szCs w:val="28"/>
          <w:lang w:eastAsia="ru-RU"/>
        </w:rPr>
      </w:pPr>
      <w:r w:rsidRPr="008252E9">
        <w:rPr>
          <w:rFonts w:ascii="Times New Roman" w:eastAsia="Times New Roman" w:hAnsi="Times New Roman" w:cs="Times New Roman"/>
          <w:sz w:val="28"/>
          <w:szCs w:val="28"/>
          <w:lang w:eastAsia="ru-RU"/>
        </w:rPr>
        <w:t>Таким образом, современная методология оценки инновационного потенциала эволюционирует от ресурсно-ориентированных моделей к интегрированным цифровым системам, объединяющим экономические, технологические и управленческие факторы. В то же время большинство существующих подходов всё ещё фиксируют состояние, а не процессы формирования инновационного потенциала, что снижает их практическую применимость в условиях высокой динамики цифровой среды.</w:t>
      </w:r>
    </w:p>
    <w:p w14:paraId="60F2D1FE" w14:textId="7741B691" w:rsidR="008252E9" w:rsidRPr="008252E9" w:rsidRDefault="008252E9" w:rsidP="002F33D0">
      <w:pPr>
        <w:spacing w:after="0" w:line="240" w:lineRule="auto"/>
        <w:ind w:firstLine="567"/>
        <w:jc w:val="both"/>
        <w:rPr>
          <w:rFonts w:ascii="Times New Roman" w:eastAsia="Times New Roman" w:hAnsi="Times New Roman" w:cs="Times New Roman"/>
          <w:sz w:val="28"/>
          <w:szCs w:val="28"/>
          <w:lang w:eastAsia="ru-RU"/>
        </w:rPr>
      </w:pPr>
      <w:r w:rsidRPr="008252E9">
        <w:rPr>
          <w:rFonts w:ascii="Times New Roman" w:eastAsia="Times New Roman" w:hAnsi="Times New Roman" w:cs="Times New Roman"/>
          <w:sz w:val="28"/>
          <w:szCs w:val="28"/>
          <w:lang w:eastAsia="ru-RU"/>
        </w:rPr>
        <w:t xml:space="preserve">В странах с переходной экономикой универсальные методики оценки часто сталкиваются с институциональными и инфраструктурными ограничениями. Казахстан не является исключением: здесь наблюдается неравномерность цифровизации по регионам, различия в ресурсной обеспеченности предприятий и ограниченность </w:t>
      </w:r>
      <w:r w:rsidR="00B969ED">
        <w:rPr>
          <w:rFonts w:ascii="Times New Roman" w:eastAsia="Times New Roman" w:hAnsi="Times New Roman" w:cs="Times New Roman"/>
          <w:sz w:val="28"/>
          <w:szCs w:val="28"/>
          <w:lang w:eastAsia="ru-RU"/>
        </w:rPr>
        <w:t>достоверной статистической базы</w:t>
      </w:r>
      <w:r w:rsidR="00B969ED">
        <w:rPr>
          <w:rFonts w:ascii="Times New Roman" w:eastAsia="Times New Roman" w:hAnsi="Times New Roman" w:cs="Times New Roman"/>
          <w:sz w:val="28"/>
          <w:szCs w:val="28"/>
          <w:lang w:val="kk-KZ" w:eastAsia="ru-RU"/>
        </w:rPr>
        <w:t xml:space="preserve"> </w:t>
      </w:r>
      <w:r w:rsidR="00B969ED">
        <w:rPr>
          <w:rFonts w:ascii="Times New Roman" w:eastAsia="Times New Roman" w:hAnsi="Times New Roman" w:cs="Times New Roman"/>
          <w:sz w:val="28"/>
          <w:szCs w:val="28"/>
          <w:lang w:val="kk-KZ" w:eastAsia="ru-RU"/>
        </w:rPr>
        <w:fldChar w:fldCharType="begin"/>
      </w:r>
      <w:r w:rsidR="009C6DCA">
        <w:rPr>
          <w:rFonts w:ascii="Times New Roman" w:eastAsia="Times New Roman" w:hAnsi="Times New Roman" w:cs="Times New Roman"/>
          <w:sz w:val="28"/>
          <w:szCs w:val="28"/>
          <w:lang w:val="kk-KZ" w:eastAsia="ru-RU"/>
        </w:rPr>
        <w:instrText xml:space="preserve"> ADDIN ZOTERO_ITEM CSL_CITATION {"citationID":"a2hg8p3t4lb","properties":{"formattedCitation":"[120,143]","plainCitation":"[120,143]","noteIndex":0},"citationItems":[{"id":177,"uris":["http://zotero.org/users/16887523/items/WXX63IXV"],"itemData":{"id":177,"type":"article-journal","abstract":"The article defines the concept of digital innovation as a type of innovation based on the implementation and use of digital technologies that change products, services, business processes and interaction models inside and outside the organization. Significant differences between digital innovations and traditional innovations are: they are based not on material technologies, but on digital ones; the result is software solutions, platforms, services; the speed of dissemination is much higher than traditional innovations due to the use of flexible management methodologies; the sources of created value are data and their analysis, interaction, user experience; the type of effective interaction is a network ecosystem, a digital platform; high scalability when using platforms and network ecosystems. \nA model of the digital innovation management system of industrial enterprises has been developed. It consists of interacting subsystems of digital management (control subsystem) and digital technologies (managed subsystem). In turn, the digital management subsystem is a complex set of digital culture, digital strategy, digital interaction, flexible management methods, as well as changes in the business model and organizational structure. \nAn analysis of digital innovation management indicators in Ukraine was conducted, which indicate contradictory trends: on the one hand, Ukraine is an exporter of digital technology development services, which implies at least the presence of qualified personnel who are able to create appropriate software and have a digital culture. On the other hand, the penetration of digital technologies into national industrial enterprises has extremely low indicators, which is determined by the low level of development of industrial enterprises themselves. Such trends are explained by the predominance of short-term financial interests over long-term economic interests and cannot ensure sustainable long-term development of the national economy, which implies the need to change priorities in favor of the innovative and investment development of national industrial enterprises.","container-title":"Науковий вісник Полісся","DOI":"10.25140/2410-9576-2025-1(30)-401-412","ISSN":"2412-2394, 2410-9576","issue":"30","journalAbbreviation":"SBP","page":"401-412","source":"DOI.org (Crossref)","title":"Управління цифровими інноваціями на промислових підприємствах: аналіз міжнародного і національного досвіду","title-short":"Digital innovation management in industrial enterprises","URL":"http://nvp.stu.cn.ua/article/view/340003","volume":"1","author":[{"family":"Повна","given":"С."}],"accessed":{"date-parts":[["2025",11,22]]},"issued":{"date-parts":[["2025"]]}}},{"id":206,"uris":["http://zotero.org/users/16887523/items/NBZLDG8S"],"itemData":{"id":206,"type":"article-journal","abstract":"The purpose of this study is to systematize the categories of the digital economy (digitalization, digital transformation, digital maturity, and digital potential) through the classification and aggregation of research approaches to their study, as well as to apply these categories to the characterization of social development in specific territories. The research employed scientific methods such as comparative and systems analysis, synthesis, formalization and analogy, inductive reasoning, interpretation, and theoretical modeling. The information base consisted of more than 100 scholarly publications indexed in the Russian Science Citation Index (RSCI) and in international scientometric databases, which ensured the comprehensiveness of the study. The results include the identification of classification groups of authors’ approaches to defining the terms “digital economy”, “digitalization”, “digital transformation”, and “digital maturity”; the specification of their key characteristics; and the development of integrated or combined definitions of these concepts in relation to the socio-economic development of regions. The study also systematizes these terms in relation to one another and to the digital economy as a whole. As initial conditions for digitalization and digital transformation of a socio-economic system, the research considers the digital profile of a territory, along with the specific nature of its digital needs and resources. The findings can be used for managerial purposes (in the field of digital development of the economy and the social sphere), as well as for shaping and structuring the conceptual foundations of the digital economy.","container-title":"Управленческие науки. Management Sciences","DOI":"10.26794/2304-022X-2025-15-3-49-68","ISSN":"2618-9941, 2304-022X","issue":"3","journalAbbreviation":"Upravlencheskie nauki","license":"https://managementscience.fa.ru/jour/about/editorialPolicies#openAccessPolicy","page":"49-68","source":"DOI.org (Crossref)","title":"Система категорий цифровой экономики: эволюция подходов","title-short":"The System of Categories in the Digital Economy","URL":"https://managementscience.fa.ru/jour/article/view/704","volume":"15","author":[{"family":"Мухачёва","given":"A. В."}],"accessed":{"date-parts":[["2025",11,23]]},"issued":{"date-parts":[["2025"]]}}}],"schema":"https://github.com/citation-style-language/schema/raw/master/csl-citation.json"} </w:instrText>
      </w:r>
      <w:r w:rsidR="00B969ED">
        <w:rPr>
          <w:rFonts w:ascii="Times New Roman" w:eastAsia="Times New Roman" w:hAnsi="Times New Roman" w:cs="Times New Roman"/>
          <w:sz w:val="28"/>
          <w:szCs w:val="28"/>
          <w:lang w:val="kk-KZ" w:eastAsia="ru-RU"/>
        </w:rPr>
        <w:fldChar w:fldCharType="separate"/>
      </w:r>
      <w:r w:rsidR="009C6DCA" w:rsidRPr="009C6DCA">
        <w:rPr>
          <w:rFonts w:ascii="Times New Roman" w:hAnsi="Times New Roman" w:cs="Times New Roman"/>
          <w:sz w:val="28"/>
        </w:rPr>
        <w:t>[120,143]</w:t>
      </w:r>
      <w:r w:rsidR="00B969ED">
        <w:rPr>
          <w:rFonts w:ascii="Times New Roman" w:eastAsia="Times New Roman" w:hAnsi="Times New Roman" w:cs="Times New Roman"/>
          <w:sz w:val="28"/>
          <w:szCs w:val="28"/>
          <w:lang w:val="kk-KZ" w:eastAsia="ru-RU"/>
        </w:rPr>
        <w:fldChar w:fldCharType="end"/>
      </w:r>
      <w:r w:rsidRPr="008252E9">
        <w:rPr>
          <w:rFonts w:ascii="Times New Roman" w:eastAsia="Times New Roman" w:hAnsi="Times New Roman" w:cs="Times New Roman"/>
          <w:sz w:val="28"/>
          <w:szCs w:val="28"/>
          <w:lang w:eastAsia="ru-RU"/>
        </w:rPr>
        <w:t>. В связи с этим особое значение приобретает адаптация международных методик к национальному контексту, интеграция глобальных индексов с отечественными системами показателей и учёт специфики человеческого капитала, формирующего основу инновационной экономики страны.</w:t>
      </w:r>
    </w:p>
    <w:p w14:paraId="5E6EF53B" w14:textId="48901A7F" w:rsidR="008252E9" w:rsidRPr="008252E9" w:rsidRDefault="008252E9" w:rsidP="002F33D0">
      <w:pPr>
        <w:spacing w:after="0" w:line="240" w:lineRule="auto"/>
        <w:ind w:firstLine="567"/>
        <w:jc w:val="both"/>
        <w:rPr>
          <w:rFonts w:ascii="Times New Roman" w:eastAsia="Times New Roman" w:hAnsi="Times New Roman" w:cs="Times New Roman"/>
          <w:sz w:val="28"/>
          <w:szCs w:val="28"/>
          <w:lang w:eastAsia="ru-RU"/>
        </w:rPr>
      </w:pPr>
      <w:r w:rsidRPr="008252E9">
        <w:rPr>
          <w:rFonts w:ascii="Times New Roman" w:eastAsia="Times New Roman" w:hAnsi="Times New Roman" w:cs="Times New Roman"/>
          <w:sz w:val="28"/>
          <w:szCs w:val="28"/>
          <w:lang w:eastAsia="ru-RU"/>
        </w:rPr>
        <w:t xml:space="preserve">Для диагностики инновационного потенциала Казахстан использует международные индексы </w:t>
      </w:r>
      <w:r w:rsidR="009D20AE">
        <w:rPr>
          <w:rFonts w:ascii="Times New Roman" w:eastAsia="Times New Roman" w:hAnsi="Times New Roman" w:cs="Times New Roman"/>
          <w:sz w:val="28"/>
          <w:szCs w:val="28"/>
          <w:lang w:eastAsia="ru-RU"/>
        </w:rPr>
        <w:t>–</w:t>
      </w:r>
      <w:r w:rsidRPr="008252E9">
        <w:rPr>
          <w:rFonts w:ascii="Times New Roman" w:eastAsia="Times New Roman" w:hAnsi="Times New Roman" w:cs="Times New Roman"/>
          <w:sz w:val="28"/>
          <w:szCs w:val="28"/>
          <w:lang w:eastAsia="ru-RU"/>
        </w:rPr>
        <w:t xml:space="preserve"> Global Innovation Index (GII) и Global Competitiveness Index (GCI), </w:t>
      </w:r>
      <w:r w:rsidR="009D20AE">
        <w:rPr>
          <w:rFonts w:ascii="Times New Roman" w:eastAsia="Times New Roman" w:hAnsi="Times New Roman" w:cs="Times New Roman"/>
          <w:sz w:val="28"/>
          <w:szCs w:val="28"/>
          <w:lang w:eastAsia="ru-RU"/>
        </w:rPr>
        <w:t>–</w:t>
      </w:r>
      <w:r w:rsidRPr="008252E9">
        <w:rPr>
          <w:rFonts w:ascii="Times New Roman" w:eastAsia="Times New Roman" w:hAnsi="Times New Roman" w:cs="Times New Roman"/>
          <w:sz w:val="28"/>
          <w:szCs w:val="28"/>
          <w:lang w:eastAsia="ru-RU"/>
        </w:rPr>
        <w:t xml:space="preserve"> которые позволяют сопоставлять инновационную активность с мировыми аналогами </w:t>
      </w:r>
      <w:r w:rsidR="00CE3AD5">
        <w:rPr>
          <w:rFonts w:ascii="Times New Roman" w:eastAsia="Times New Roman" w:hAnsi="Times New Roman" w:cs="Times New Roman"/>
          <w:sz w:val="28"/>
          <w:szCs w:val="28"/>
          <w:lang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{"citationID":"a1sbs57cdtm","properties":{"formattedCitation":"[144]","plainCitation":"[144]","noteIndex":0},"citationItems":[{"id":208,"uris":["http://zotero.org/users/16887523/items/DDC2C9ZY"],"itemData":{"id":208,"type":"article-journal","container-title":"Montenegrin Journal of Economics","DOI":"10.14254/1800-5845/2022.18-3.1","ISSN":"18005845, 18006698","issue":"3","journalAbbreviation":"MNJE","language":"en","page":"7-22","source":"DOI.org (Crossref)","title":"Medium and High-Tech Enterprises of Kazakhstan: Factors of Organization and Development of Innovation","title-short":"Medium and High-Tech Enterprises of Kazakhstan","URL":"https://mnje.com/sites/mnje.com/files/v18n3/007-022%20-%20Kurmanov%20et%20al.pdf","volume":"18","author":[{"family":"Kurmanov","given":"Nurlan"}],"accessed":{"date-parts":[["2025",11,23]]},"issued":{"date-parts":[["2022",7,1]]}}}],"schema":"https://github.com/citation-style-language/schema/raw/master/csl-citation.json"} </w:instrText>
      </w:r>
      <w:r w:rsidR="00CE3AD5">
        <w:rPr>
          <w:rFonts w:ascii="Times New Roman" w:eastAsia="Times New Roman" w:hAnsi="Times New Roman" w:cs="Times New Roman"/>
          <w:sz w:val="28"/>
          <w:szCs w:val="28"/>
          <w:lang w:eastAsia="ru-RU"/>
        </w:rPr>
        <w:fldChar w:fldCharType="separate"/>
      </w:r>
      <w:r w:rsidR="009C6DCA" w:rsidRPr="009C6DCA">
        <w:rPr>
          <w:rFonts w:ascii="Times New Roman" w:hAnsi="Times New Roman" w:cs="Times New Roman"/>
          <w:sz w:val="28"/>
        </w:rPr>
        <w:t>[144]</w:t>
      </w:r>
      <w:r w:rsidR="00CE3AD5">
        <w:rPr>
          <w:rFonts w:ascii="Times New Roman" w:eastAsia="Times New Roman" w:hAnsi="Times New Roman" w:cs="Times New Roman"/>
          <w:sz w:val="28"/>
          <w:szCs w:val="28"/>
          <w:lang w:eastAsia="ru-RU"/>
        </w:rPr>
        <w:fldChar w:fldCharType="end"/>
      </w:r>
      <w:r w:rsidRPr="008252E9">
        <w:rPr>
          <w:rFonts w:ascii="Times New Roman" w:eastAsia="Times New Roman" w:hAnsi="Times New Roman" w:cs="Times New Roman"/>
          <w:sz w:val="28"/>
          <w:szCs w:val="28"/>
          <w:lang w:eastAsia="ru-RU"/>
        </w:rPr>
        <w:t xml:space="preserve">. Однако их показатели не всегда отражают внутренние институциональные и цифровые различия, поэтому учёные предложили национальную методику </w:t>
      </w:r>
      <w:r w:rsidR="009D20AE">
        <w:rPr>
          <w:rFonts w:ascii="Times New Roman" w:eastAsia="Times New Roman" w:hAnsi="Times New Roman" w:cs="Times New Roman"/>
          <w:sz w:val="28"/>
          <w:szCs w:val="28"/>
          <w:lang w:eastAsia="ru-RU"/>
        </w:rPr>
        <w:t>–</w:t>
      </w:r>
      <w:r w:rsidRPr="008252E9">
        <w:rPr>
          <w:rFonts w:ascii="Times New Roman" w:eastAsia="Times New Roman" w:hAnsi="Times New Roman" w:cs="Times New Roman"/>
          <w:sz w:val="28"/>
          <w:szCs w:val="28"/>
          <w:lang w:eastAsia="ru-RU"/>
        </w:rPr>
        <w:t xml:space="preserve"> Индекс развития цифровой экономики </w:t>
      </w:r>
      <w:r w:rsidRPr="008252E9">
        <w:rPr>
          <w:rFonts w:ascii="Times New Roman" w:eastAsia="Times New Roman" w:hAnsi="Times New Roman" w:cs="Times New Roman"/>
          <w:sz w:val="28"/>
          <w:szCs w:val="28"/>
          <w:lang w:eastAsia="ru-RU"/>
        </w:rPr>
        <w:lastRenderedPageBreak/>
        <w:t xml:space="preserve">(IDED) </w:t>
      </w:r>
      <w:r w:rsidR="00CE3AD5">
        <w:rPr>
          <w:rFonts w:ascii="Times New Roman" w:eastAsia="Times New Roman" w:hAnsi="Times New Roman" w:cs="Times New Roman"/>
          <w:sz w:val="28"/>
          <w:szCs w:val="28"/>
          <w:lang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{"citationID":"a27nu4fkq98","properties":{"formattedCitation":"[145]","plainCitation":"[145]","noteIndex":0},"citationItems":[{"id":210,"uris":["http://zotero.org/users/16887523/items/SSQWTKQD"],"itemData":{"id":210,"type":"article-journal","abstract":"Engineering education is undergoing a profound transformation driven\nby rapid technological advancement, industrial digitalization, and the\nglobal transition to Industry 4.0. In Kazakhstan, as in many post-Soviet\neconomies, engineering programs face mounting pressure to align with\nlabor market demands and contribute to regional development. Yet a\npersistent gap remains between graduate competencies and employer\nexpectations in the real sector. This study investigates the key factors\nshaping engineering education in the East Kazakhstan Region, with a\nfocus on aligning educational outcomes with labor market needs.\nUniversities and industrial enterprises are considered core stakeholders.\nThe research aims to identify the root causes of competency mismatches,\nassess the adaptability of higher education to industrial transformation,\nand offer practical recommendations for improvement. A mixedmethods design was employed, combining a structured stakeholder\nsurvey (n = 146), expert validation, policy analysis, and a review of\nsecondary data. Internal consistency was confirmed using Cronbach’s\nAlpha (α = 0.91), and exploratory factor analysis (EFA) in Jamovi\nidentified two principal components accounting for over 70% of the\nvariance. Key findings point to limited university–industry\ncollaboration, outdated curricula, and inadequate career guidance\nsystems as the main barriers. The study concludes with strategic\nrecommendations to strengthen the capacity of regional universities to\nproduce graduates who are better equipped for Industry 4.0.","container-title":"Journal of Mechanical Engineering","DOI":"10.24191/jmeche.v22i3.5680","ISSN":"18235514, 2550164X","issue":"3","journalAbbreviation":"JMechE","language":"en","page":"95-110","source":"DOI.org (Crossref)","title":"Factors Determining the Development of Engineering Education in the Labor Market and the Real Sector of the Economy of the East Kazakhstan Region","URL":"https://ir.uitm.edu.my/id/eprint/122914/1/122914.pdf","volume":"22","author":[{"family":"Denissova","given":"Oxana"},{"family":"Suieubayeva","given":"Saltanat"},{"family":"Zakimova","given":"Аlfiya"},{"family":"Mashekenova","given":"Assiya"},{"family":"Thinakaran","given":"Rajermani"},{"family":"Roseley","given":"Roselina"}],"accessed":{"date-parts":[["2025",11,23]]},"issued":{"date-parts":[["2025",9,15]]}}}],"schema":"https://github.com/citation-style-language/schema/raw/master/csl-citation.json"} </w:instrText>
      </w:r>
      <w:r w:rsidR="00CE3AD5">
        <w:rPr>
          <w:rFonts w:ascii="Times New Roman" w:eastAsia="Times New Roman" w:hAnsi="Times New Roman" w:cs="Times New Roman"/>
          <w:sz w:val="28"/>
          <w:szCs w:val="28"/>
          <w:lang w:eastAsia="ru-RU"/>
        </w:rPr>
        <w:fldChar w:fldCharType="separate"/>
      </w:r>
      <w:r w:rsidR="009C6DCA" w:rsidRPr="009C6DCA">
        <w:rPr>
          <w:rFonts w:ascii="Times New Roman" w:hAnsi="Times New Roman" w:cs="Times New Roman"/>
          <w:sz w:val="28"/>
        </w:rPr>
        <w:t>[145]</w:t>
      </w:r>
      <w:r w:rsidR="00CE3AD5">
        <w:rPr>
          <w:rFonts w:ascii="Times New Roman" w:eastAsia="Times New Roman" w:hAnsi="Times New Roman" w:cs="Times New Roman"/>
          <w:sz w:val="28"/>
          <w:szCs w:val="28"/>
          <w:lang w:eastAsia="ru-RU"/>
        </w:rPr>
        <w:fldChar w:fldCharType="end"/>
      </w:r>
      <w:r w:rsidRPr="008252E9">
        <w:rPr>
          <w:rFonts w:ascii="Times New Roman" w:eastAsia="Times New Roman" w:hAnsi="Times New Roman" w:cs="Times New Roman"/>
          <w:sz w:val="28"/>
          <w:szCs w:val="28"/>
          <w:lang w:eastAsia="ru-RU"/>
        </w:rPr>
        <w:t>. Данный индекс объединяет инфраструктурные, человеческие, институциональные и экономические параметры цифровизации и служит комплексным инструментом оценки цифровой готовности страны и её регионов.</w:t>
      </w:r>
    </w:p>
    <w:p w14:paraId="61C2D137" w14:textId="467B077F" w:rsidR="008252E9" w:rsidRPr="008252E9" w:rsidRDefault="008252E9" w:rsidP="002F33D0">
      <w:pPr>
        <w:spacing w:after="0" w:line="240" w:lineRule="auto"/>
        <w:ind w:firstLine="567"/>
        <w:jc w:val="both"/>
        <w:rPr>
          <w:rFonts w:ascii="Times New Roman" w:eastAsia="Times New Roman" w:hAnsi="Times New Roman" w:cs="Times New Roman"/>
          <w:sz w:val="28"/>
          <w:szCs w:val="28"/>
          <w:lang w:eastAsia="ru-RU"/>
        </w:rPr>
      </w:pPr>
      <w:r w:rsidRPr="008252E9">
        <w:rPr>
          <w:rFonts w:ascii="Times New Roman" w:eastAsia="Times New Roman" w:hAnsi="Times New Roman" w:cs="Times New Roman"/>
          <w:sz w:val="28"/>
          <w:szCs w:val="28"/>
          <w:lang w:eastAsia="ru-RU"/>
        </w:rPr>
        <w:t xml:space="preserve">Наряду с макроуровневыми показателями активно развиваются отраслевые модели, применяемые в сфере образования, сельского хозяйства и промышленности. Так, </w:t>
      </w:r>
      <w:r w:rsidR="00CE3AD5">
        <w:rPr>
          <w:rFonts w:ascii="Times New Roman" w:eastAsia="Times New Roman" w:hAnsi="Times New Roman" w:cs="Times New Roman"/>
          <w:sz w:val="28"/>
          <w:szCs w:val="28"/>
          <w:lang w:val="kk-KZ" w:eastAsia="ru-RU"/>
        </w:rPr>
        <w:t xml:space="preserve">А. </w:t>
      </w:r>
      <w:r w:rsidR="00CE3AD5" w:rsidRPr="00CE3AD5">
        <w:rPr>
          <w:rFonts w:ascii="Times New Roman" w:eastAsia="Times New Roman" w:hAnsi="Times New Roman" w:cs="Times New Roman"/>
          <w:sz w:val="28"/>
          <w:szCs w:val="28"/>
          <w:lang w:eastAsia="ru-RU"/>
        </w:rPr>
        <w:t>Abaidilda</w:t>
      </w:r>
      <w:r w:rsidR="00CE3AD5">
        <w:rPr>
          <w:rFonts w:ascii="Times New Roman" w:eastAsia="Times New Roman" w:hAnsi="Times New Roman" w:cs="Times New Roman"/>
          <w:sz w:val="28"/>
          <w:szCs w:val="28"/>
          <w:lang w:val="kk-KZ" w:eastAsia="ru-RU"/>
        </w:rPr>
        <w:t xml:space="preserve"> </w:t>
      </w:r>
      <w:r w:rsidRPr="008252E9">
        <w:rPr>
          <w:rFonts w:ascii="Times New Roman" w:eastAsia="Times New Roman" w:hAnsi="Times New Roman" w:cs="Times New Roman"/>
          <w:sz w:val="28"/>
          <w:szCs w:val="28"/>
          <w:lang w:eastAsia="ru-RU"/>
        </w:rPr>
        <w:t xml:space="preserve">и </w:t>
      </w:r>
      <w:r w:rsidR="00CE3AD5">
        <w:rPr>
          <w:rFonts w:ascii="Times New Roman" w:eastAsia="Times New Roman" w:hAnsi="Times New Roman" w:cs="Times New Roman"/>
          <w:sz w:val="28"/>
          <w:szCs w:val="28"/>
          <w:lang w:val="kk-KZ" w:eastAsia="ru-RU"/>
        </w:rPr>
        <w:t>др.</w:t>
      </w:r>
      <w:r w:rsidR="00CE3AD5" w:rsidRPr="00CE3AD5">
        <w:rPr>
          <w:rFonts w:ascii="Times New Roman" w:eastAsia="Times New Roman" w:hAnsi="Times New Roman" w:cs="Times New Roman"/>
          <w:sz w:val="28"/>
          <w:szCs w:val="28"/>
          <w:lang w:eastAsia="ru-RU"/>
        </w:rPr>
        <w:t xml:space="preserve"> </w:t>
      </w:r>
      <w:r w:rsidR="00CE3AD5">
        <w:rPr>
          <w:rFonts w:ascii="Times New Roman" w:eastAsia="Times New Roman" w:hAnsi="Times New Roman" w:cs="Times New Roman"/>
          <w:sz w:val="28"/>
          <w:szCs w:val="28"/>
          <w:lang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{"citationID":"a2466shvdr8","properties":{"formattedCitation":"[146]","plainCitation":"[146]","noteIndex":0},"citationItems":[{"id":211,"uris":["http://zotero.org/users/16887523/items/7W5V8TWD"],"itemData":{"id":211,"type":"article-journal","abstract":"The article discusses the current problems and prospects for the development of the innovative capability of universities in the Republic of Kazakhstan. The need to develop the innovative capability of a higher education organization is associated with trends and challenges of the last decade related to education as a socially significant part of the national economy. Today, Kazakhstani universities require measures to become centers of innovation activity and a driving force for innovative development in the regional and Kazakhstan economy. The methodological basis of the article includes an expert survey method to identify barriers to increasing the innovation capability of universities. Experts from 11 national universities participated in the survey, which included the first heads of universities and heads of departments for the development of science and innovation. The results of the survey analysis showed that the largest number of respondents noted insufficient funding, limited collaboration with the industry, as well as bureaucratic obstacles. The materials of the article can be used for further development of measures to enhance innovation activity in higher education and increase its competitiveness.","container-title":"ECONOMIC Series of the Bulletin of the L.N.Gumilyov ENU","DOI":"10.32523/2789-4320-2025-3-179-189","ISSN":"27894320, 27894339","issue":"3","journalAbbreviation":"bulecon","page":"179-189","source":"DOI.org (Crossref)","title":"Contemporary Issues in Enhancing the Innovation Capability of Universities in Kazakhstan","URL":"https://bulecon.enu.kz/index.php/main/article/view/1160","author":[{"family":"Abaidilda","given":"A."},{"family":"Turmakhanbetova","given":"Sh."},{"family":"Pranevich","given":"A."}],"accessed":{"date-parts":[["2025",11,23]]},"issued":{"date-parts":[["2025",9,30]]}}}],"schema":"https://github.com/citation-style-language/schema/raw/master/csl-citation.json"} </w:instrText>
      </w:r>
      <w:r w:rsidR="00CE3AD5">
        <w:rPr>
          <w:rFonts w:ascii="Times New Roman" w:eastAsia="Times New Roman" w:hAnsi="Times New Roman" w:cs="Times New Roman"/>
          <w:sz w:val="28"/>
          <w:szCs w:val="28"/>
          <w:lang w:eastAsia="ru-RU"/>
        </w:rPr>
        <w:fldChar w:fldCharType="separate"/>
      </w:r>
      <w:r w:rsidR="009C6DCA" w:rsidRPr="009C6DCA">
        <w:rPr>
          <w:rFonts w:ascii="Times New Roman" w:hAnsi="Times New Roman" w:cs="Times New Roman"/>
          <w:sz w:val="28"/>
        </w:rPr>
        <w:t>[146]</w:t>
      </w:r>
      <w:r w:rsidR="00CE3AD5">
        <w:rPr>
          <w:rFonts w:ascii="Times New Roman" w:eastAsia="Times New Roman" w:hAnsi="Times New Roman" w:cs="Times New Roman"/>
          <w:sz w:val="28"/>
          <w:szCs w:val="28"/>
          <w:lang w:eastAsia="ru-RU"/>
        </w:rPr>
        <w:fldChar w:fldCharType="end"/>
      </w:r>
      <w:r w:rsidRPr="008252E9">
        <w:rPr>
          <w:rFonts w:ascii="Times New Roman" w:eastAsia="Times New Roman" w:hAnsi="Times New Roman" w:cs="Times New Roman"/>
          <w:sz w:val="28"/>
          <w:szCs w:val="28"/>
          <w:lang w:eastAsia="ru-RU"/>
        </w:rPr>
        <w:t xml:space="preserve"> предложили семиблочную модель оценки инновационного потенциала университетов, включающую компоненты образования, исследований, управления, кадрового обеспечения, инфраструктуры, финансирования и интернационализации. В аграрном секторе реализуется концепция «умной» стратегии, основанной на цифровизации и непрерывном мониторинге инновационной активности </w:t>
      </w:r>
      <w:r w:rsidR="00CE3AD5">
        <w:rPr>
          <w:rFonts w:ascii="Times New Roman" w:eastAsia="Times New Roman" w:hAnsi="Times New Roman" w:cs="Times New Roman"/>
          <w:sz w:val="28"/>
          <w:szCs w:val="28"/>
          <w:lang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{"citationID":"a21ms2rq755","properties":{"formattedCitation":"[144]","plainCitation":"[144]","noteIndex":0},"citationItems":[{"id":208,"uris":["http://zotero.org/users/16887523/items/DDC2C9ZY"],"itemData":{"id":208,"type":"article-journal","container-title":"Montenegrin Journal of Economics","DOI":"10.14254/1800-5845/2022.18-3.1","ISSN":"18005845, 18006698","issue":"3","journalAbbreviation":"MNJE","language":"en","page":"7-22","source":"DOI.org (Crossref)","title":"Medium and High-Tech Enterprises of Kazakhstan: Factors of Organization and Development of Innovation","title-short":"Medium and High-Tech Enterprises of Kazakhstan","URL":"https://mnje.com/sites/mnje.com/files/v18n3/007-022%20-%20Kurmanov%20et%20al.pdf","volume":"18","author":[{"family":"Kurmanov","given":"Nurlan"}],"accessed":{"date-parts":[["2025",11,23]]},"issued":{"date-parts":[["2022",7,1]]}}}],"schema":"https://github.com/citation-style-language/schema/raw/master/csl-citation.json"} </w:instrText>
      </w:r>
      <w:r w:rsidR="00CE3AD5">
        <w:rPr>
          <w:rFonts w:ascii="Times New Roman" w:eastAsia="Times New Roman" w:hAnsi="Times New Roman" w:cs="Times New Roman"/>
          <w:sz w:val="28"/>
          <w:szCs w:val="28"/>
          <w:lang w:eastAsia="ru-RU"/>
        </w:rPr>
        <w:fldChar w:fldCharType="separate"/>
      </w:r>
      <w:r w:rsidR="009C6DCA" w:rsidRPr="009C6DCA">
        <w:rPr>
          <w:rFonts w:ascii="Times New Roman" w:hAnsi="Times New Roman" w:cs="Times New Roman"/>
          <w:sz w:val="28"/>
        </w:rPr>
        <w:t>[144]</w:t>
      </w:r>
      <w:r w:rsidR="00CE3AD5">
        <w:rPr>
          <w:rFonts w:ascii="Times New Roman" w:eastAsia="Times New Roman" w:hAnsi="Times New Roman" w:cs="Times New Roman"/>
          <w:sz w:val="28"/>
          <w:szCs w:val="28"/>
          <w:lang w:eastAsia="ru-RU"/>
        </w:rPr>
        <w:fldChar w:fldCharType="end"/>
      </w:r>
      <w:r w:rsidRPr="008252E9">
        <w:rPr>
          <w:rFonts w:ascii="Times New Roman" w:eastAsia="Times New Roman" w:hAnsi="Times New Roman" w:cs="Times New Roman"/>
          <w:sz w:val="28"/>
          <w:szCs w:val="28"/>
          <w:lang w:eastAsia="ru-RU"/>
        </w:rPr>
        <w:t xml:space="preserve">. </w:t>
      </w:r>
    </w:p>
    <w:p w14:paraId="09E123B2" w14:textId="2F11E523" w:rsidR="008252E9" w:rsidRPr="008252E9" w:rsidRDefault="008252E9" w:rsidP="002F33D0">
      <w:pPr>
        <w:spacing w:after="0" w:line="240" w:lineRule="auto"/>
        <w:ind w:firstLine="567"/>
        <w:jc w:val="both"/>
        <w:rPr>
          <w:rFonts w:ascii="Times New Roman" w:eastAsia="Times New Roman" w:hAnsi="Times New Roman" w:cs="Times New Roman"/>
          <w:sz w:val="28"/>
          <w:szCs w:val="28"/>
          <w:lang w:eastAsia="ru-RU"/>
        </w:rPr>
      </w:pPr>
      <w:r w:rsidRPr="008252E9">
        <w:rPr>
          <w:rFonts w:ascii="Times New Roman" w:eastAsia="Times New Roman" w:hAnsi="Times New Roman" w:cs="Times New Roman"/>
          <w:sz w:val="28"/>
          <w:szCs w:val="28"/>
          <w:lang w:eastAsia="ru-RU"/>
        </w:rPr>
        <w:t xml:space="preserve">Развитие государственно-частного партнёрства (ГЧП) стало важным направлением государственной политики. По данным </w:t>
      </w:r>
      <w:r w:rsidR="00C20F37" w:rsidRPr="00C20F37">
        <w:rPr>
          <w:rFonts w:ascii="Times New Roman" w:eastAsia="Times New Roman" w:hAnsi="Times New Roman" w:cs="Times New Roman"/>
          <w:sz w:val="28"/>
          <w:szCs w:val="28"/>
          <w:lang w:eastAsia="ru-RU"/>
        </w:rPr>
        <w:t>L</w:t>
      </w:r>
      <w:r w:rsidR="00C20F37">
        <w:rPr>
          <w:rFonts w:ascii="Times New Roman" w:eastAsia="Times New Roman" w:hAnsi="Times New Roman" w:cs="Times New Roman"/>
          <w:sz w:val="28"/>
          <w:szCs w:val="28"/>
          <w:lang w:val="kk-KZ" w:eastAsia="ru-RU"/>
        </w:rPr>
        <w:t>.</w:t>
      </w:r>
      <w:r w:rsidR="00C20F37" w:rsidRPr="00C20F37">
        <w:rPr>
          <w:rFonts w:ascii="Times New Roman" w:eastAsia="Times New Roman" w:hAnsi="Times New Roman" w:cs="Times New Roman"/>
          <w:sz w:val="28"/>
          <w:szCs w:val="28"/>
          <w:lang w:val="kk-KZ" w:eastAsia="ru-RU"/>
        </w:rPr>
        <w:t>S</w:t>
      </w:r>
      <w:r w:rsidR="00C20F37">
        <w:rPr>
          <w:rFonts w:ascii="Times New Roman" w:eastAsia="Times New Roman" w:hAnsi="Times New Roman" w:cs="Times New Roman"/>
          <w:sz w:val="28"/>
          <w:szCs w:val="28"/>
          <w:lang w:val="kk-KZ" w:eastAsia="ru-RU"/>
        </w:rPr>
        <w:t xml:space="preserve">. </w:t>
      </w:r>
      <w:r w:rsidR="00C20F37" w:rsidRPr="00C20F37">
        <w:rPr>
          <w:rFonts w:ascii="Times New Roman" w:eastAsia="Times New Roman" w:hAnsi="Times New Roman" w:cs="Times New Roman"/>
          <w:sz w:val="28"/>
          <w:szCs w:val="28"/>
          <w:lang w:eastAsia="ru-RU"/>
        </w:rPr>
        <w:t>Kasimova</w:t>
      </w:r>
      <w:r w:rsidRPr="008252E9">
        <w:rPr>
          <w:rFonts w:ascii="Times New Roman" w:eastAsia="Times New Roman" w:hAnsi="Times New Roman" w:cs="Times New Roman"/>
          <w:sz w:val="28"/>
          <w:szCs w:val="28"/>
          <w:lang w:eastAsia="ru-RU"/>
        </w:rPr>
        <w:t xml:space="preserve"> </w:t>
      </w:r>
      <w:r w:rsidR="00C20F37">
        <w:rPr>
          <w:rFonts w:ascii="Times New Roman" w:eastAsia="Times New Roman" w:hAnsi="Times New Roman" w:cs="Times New Roman"/>
          <w:sz w:val="28"/>
          <w:szCs w:val="28"/>
          <w:lang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{"citationID":"aio3mtp1j6","properties":{"formattedCitation":"[147]","plainCitation":"[147]","noteIndex":0},"citationItems":[{"id":214,"uris":["http://zotero.org/users/16887523/items/LUI4DP7N"],"itemData":{"id":214,"type":"article-journal","abstract":"This article explores ways to enhance financing of investment projects in the real sector through capital market development, interest rate subsidies, special conditions for strategic projects, improved consulting and infrastructure support, balanced use of debt and equity, reduced dollarization of bank portfolios, and diversification of credit products.","container-title":"International Journal of Science and Research Archive","DOI":"10.30574/ijsra.2025.16.3.2685","ISSN":"25828185","issue":"3","journalAbbreviation":"Int. J. Sci. Res. Arch.","page":"1089-1095","source":"DOI.org (Crossref)","title":"Improving financing of investment projects in the real sector of the economy","URL":"https://journalijsra.com/node/1963","volume":"16","author":[{"family":"Kasimova","given":"Lola"}],"accessed":{"date-parts":[["2025",11,23]]},"issued":{"date-parts":[["2025",9,30]]}}}],"schema":"https://github.com/citation-style-language/schema/raw/master/csl-citation.json"} </w:instrText>
      </w:r>
      <w:r w:rsidR="00C20F37">
        <w:rPr>
          <w:rFonts w:ascii="Times New Roman" w:eastAsia="Times New Roman" w:hAnsi="Times New Roman" w:cs="Times New Roman"/>
          <w:sz w:val="28"/>
          <w:szCs w:val="28"/>
          <w:lang w:eastAsia="ru-RU"/>
        </w:rPr>
        <w:fldChar w:fldCharType="separate"/>
      </w:r>
      <w:r w:rsidR="009C6DCA" w:rsidRPr="009C6DCA">
        <w:rPr>
          <w:rFonts w:ascii="Times New Roman" w:hAnsi="Times New Roman" w:cs="Times New Roman"/>
          <w:sz w:val="28"/>
        </w:rPr>
        <w:t>[147]</w:t>
      </w:r>
      <w:r w:rsidR="00C20F37">
        <w:rPr>
          <w:rFonts w:ascii="Times New Roman" w:eastAsia="Times New Roman" w:hAnsi="Times New Roman" w:cs="Times New Roman"/>
          <w:sz w:val="28"/>
          <w:szCs w:val="28"/>
          <w:lang w:eastAsia="ru-RU"/>
        </w:rPr>
        <w:fldChar w:fldCharType="end"/>
      </w:r>
      <w:r w:rsidRPr="008252E9">
        <w:rPr>
          <w:rFonts w:ascii="Times New Roman" w:eastAsia="Times New Roman" w:hAnsi="Times New Roman" w:cs="Times New Roman"/>
          <w:sz w:val="28"/>
          <w:szCs w:val="28"/>
          <w:lang w:eastAsia="ru-RU"/>
        </w:rPr>
        <w:t xml:space="preserve">, эффективное взаимодействие государства и бизнеса способствует кластеризации высокотехнологичных компаний и распространению цифровых решений в традиционных отраслях. Примером успешной цифровой трансформации корпоративного сектора является Kazakhtelecom, где цифровизация управления и внедрение agile-подходов стали инструментами повышения инновационной активности </w:t>
      </w:r>
      <w:r w:rsidR="00CE3AD5">
        <w:rPr>
          <w:rFonts w:ascii="Times New Roman" w:eastAsia="Times New Roman" w:hAnsi="Times New Roman" w:cs="Times New Roman"/>
          <w:sz w:val="28"/>
          <w:szCs w:val="28"/>
          <w:lang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{"citationID":"a2ebfcet1oa","properties":{"formattedCitation":"[148]","plainCitation":"[148]","noteIndex":0},"citationItems":[{"id":212,"uris":["http://zotero.org/users/16887523/items/CY5FCSF8"],"itemData":{"id":212,"type":"article-journal","abstract":"Purpose of the research\n              is to study changes in management processes under the influence of the digital economy in order to effectively carry out the digital transformation of a company and adapt management to new conditions.\n              Methodology\n              . The methodology and research methodology is based on the use of a monographic method of studying literature and sources, systemic and comparative analysis using observations and analysis of statistical materials.The theory was developed and validated using scientific evidence derived from the data following a literature analysis.\n              Originality / value of the research\n              .The article analyzes the literature on this topic, which showed that the problem is poorly researched. A diagram of the interaction of the digital economy and management processes was built, which made it possible to identify the composition of changes in the management of the company. The content of the transforming impact of the digital economy on the enterprise is highlighted, for which a scheme of the impact of the digital economy on the management of the company is proposed. Analysis of the digital transformation of business in the largest Kazakhstani telecommunications company Kazakhtelecom revealed changes that should be made in the field of personnel management, the formation of corporate culture, the system of working with clients and the organizational structure of management. Particular attention is paid to the digitalization of the company's business processes, on which the digital model of the company depends, which determines the design of the entire company management system.\n              Findings\n              . The results obtained: some provisions on the methodology of the influence of the digital economy on management processes were systematized and developed, an analysis of the digital transformation of business and management of the Kazakhtelecom telecommunications company was carried out, from which recommendations for adapting management processes to digital changes follow.","container-title":"Central Asian Economic Review","DOI":"10.52821/2789-4401-2022-6-152-163","ISSN":"2789-4401, 2789-4398","issue":"6","journalAbbreviation":"jour","license":"https://caer.narxoz.kz/jour/about/editorialPolicies#openAccessPolicy","page":"152-163","source":"DOI.org (Crossref)","title":"THE IMPACT OF THE DIGITAL ECONOMY ON MANAGEMENT PROCESSES","URL":"https://caer.narxoz.kz/jour/article/view/772","author":[{"family":"Yerdavletova","given":"F."},{"family":"Zhunissova","given":"G."},{"family":"Zhadigerova","given":"O. Zh."}],"accessed":{"date-parts":[["2025",11,23]]},"issued":{"date-parts":[["2023",5,4]]}}}],"schema":"https://github.com/citation-style-language/schema/raw/master/csl-citation.json"} </w:instrText>
      </w:r>
      <w:r w:rsidR="00CE3AD5">
        <w:rPr>
          <w:rFonts w:ascii="Times New Roman" w:eastAsia="Times New Roman" w:hAnsi="Times New Roman" w:cs="Times New Roman"/>
          <w:sz w:val="28"/>
          <w:szCs w:val="28"/>
          <w:lang w:eastAsia="ru-RU"/>
        </w:rPr>
        <w:fldChar w:fldCharType="separate"/>
      </w:r>
      <w:r w:rsidR="009C6DCA" w:rsidRPr="009C6DCA">
        <w:rPr>
          <w:rFonts w:ascii="Times New Roman" w:hAnsi="Times New Roman" w:cs="Times New Roman"/>
          <w:sz w:val="28"/>
        </w:rPr>
        <w:t>[148]</w:t>
      </w:r>
      <w:r w:rsidR="00CE3AD5">
        <w:rPr>
          <w:rFonts w:ascii="Times New Roman" w:eastAsia="Times New Roman" w:hAnsi="Times New Roman" w:cs="Times New Roman"/>
          <w:sz w:val="28"/>
          <w:szCs w:val="28"/>
          <w:lang w:eastAsia="ru-RU"/>
        </w:rPr>
        <w:fldChar w:fldCharType="end"/>
      </w:r>
      <w:r w:rsidRPr="008252E9">
        <w:rPr>
          <w:rFonts w:ascii="Times New Roman" w:eastAsia="Times New Roman" w:hAnsi="Times New Roman" w:cs="Times New Roman"/>
          <w:sz w:val="28"/>
          <w:szCs w:val="28"/>
          <w:lang w:eastAsia="ru-RU"/>
        </w:rPr>
        <w:t>.</w:t>
      </w:r>
    </w:p>
    <w:p w14:paraId="1D2308AE" w14:textId="42C25281" w:rsidR="008252E9" w:rsidRPr="008252E9" w:rsidRDefault="008252E9" w:rsidP="002F33D0">
      <w:pPr>
        <w:spacing w:after="0" w:line="240" w:lineRule="auto"/>
        <w:ind w:firstLine="567"/>
        <w:jc w:val="both"/>
        <w:rPr>
          <w:rFonts w:ascii="Times New Roman" w:eastAsia="Times New Roman" w:hAnsi="Times New Roman" w:cs="Times New Roman"/>
          <w:sz w:val="28"/>
          <w:szCs w:val="28"/>
          <w:lang w:eastAsia="ru-RU"/>
        </w:rPr>
      </w:pPr>
      <w:r w:rsidRPr="008252E9">
        <w:rPr>
          <w:rFonts w:ascii="Times New Roman" w:eastAsia="Times New Roman" w:hAnsi="Times New Roman" w:cs="Times New Roman"/>
          <w:sz w:val="28"/>
          <w:szCs w:val="28"/>
          <w:lang w:eastAsia="ru-RU"/>
        </w:rPr>
        <w:t xml:space="preserve">Несмотря на достижения, казахстанская практика остаётся фрагментарной: отсутствует единая система мониторинга, наблюдается цифровая асимметрия между крупными предприятиями и МСП, а дефицит компетенций в области инновационного менеджмента снижает качество аналитики </w:t>
      </w:r>
      <w:r w:rsidR="00C20F37">
        <w:rPr>
          <w:rFonts w:ascii="Times New Roman" w:eastAsia="Times New Roman" w:hAnsi="Times New Roman" w:cs="Times New Roman"/>
          <w:sz w:val="28"/>
          <w:szCs w:val="28"/>
          <w:lang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{"citationID":"a2fmbvkuds1","properties":{"formattedCitation":"[145]","plainCitation":"[145]","noteIndex":0},"citationItems":[{"id":210,"uris":["http://zotero.org/users/16887523/items/SSQWTKQD"],"itemData":{"id":210,"type":"article-journal","abstract":"Engineering education is undergoing a profound transformation driven\nby rapid technological advancement, industrial digitalization, and the\nglobal transition to Industry 4.0. In Kazakhstan, as in many post-Soviet\neconomies, engineering programs face mounting pressure to align with\nlabor market demands and contribute to regional development. Yet a\npersistent gap remains between graduate competencies and employer\nexpectations in the real sector. This study investigates the key factors\nshaping engineering education in the East Kazakhstan Region, with a\nfocus on aligning educational outcomes with labor market needs.\nUniversities and industrial enterprises are considered core stakeholders.\nThe research aims to identify the root causes of competency mismatches,\nassess the adaptability of higher education to industrial transformation,\nand offer practical recommendations for improvement. A mixedmethods design was employed, combining a structured stakeholder\nsurvey (n = 146), expert validation, policy analysis, and a review of\nsecondary data. Internal consistency was confirmed using Cronbach’s\nAlpha (α = 0.91), and exploratory factor analysis (EFA) in Jamovi\nidentified two principal components accounting for over 70% of the\nvariance. Key findings point to limited university–industry\ncollaboration, outdated curricula, and inadequate career guidance\nsystems as the main barriers. The study concludes with strategic\nrecommendations to strengthen the capacity of regional universities to\nproduce graduates who are better equipped for Industry 4.0.","container-title":"Journal of Mechanical Engineering","DOI":"10.24191/jmeche.v22i3.5680","ISSN":"18235514, 2550164X","issue":"3","journalAbbreviation":"JMechE","language":"en","page":"95-110","source":"DOI.org (Crossref)","title":"Factors Determining the Development of Engineering Education in the Labor Market and the Real Sector of the Economy of the East Kazakhstan Region","URL":"https://ir.uitm.edu.my/id/eprint/122914/1/122914.pdf","volume":"22","author":[{"family":"Denissova","given":"Oxana"},{"family":"Suieubayeva","given":"Saltanat"},{"family":"Zakimova","given":"Аlfiya"},{"family":"Mashekenova","given":"Assiya"},{"family":"Thinakaran","given":"Rajermani"},{"family":"Roseley","given":"Roselina"}],"accessed":{"date-parts":[["2025",11,23]]},"issued":{"date-parts":[["2025",9,15]]}}}],"schema":"https://github.com/citation-style-language/schema/raw/master/csl-citation.json"} </w:instrText>
      </w:r>
      <w:r w:rsidR="00C20F37">
        <w:rPr>
          <w:rFonts w:ascii="Times New Roman" w:eastAsia="Times New Roman" w:hAnsi="Times New Roman" w:cs="Times New Roman"/>
          <w:sz w:val="28"/>
          <w:szCs w:val="28"/>
          <w:lang w:eastAsia="ru-RU"/>
        </w:rPr>
        <w:fldChar w:fldCharType="separate"/>
      </w:r>
      <w:r w:rsidR="009C6DCA" w:rsidRPr="009C6DCA">
        <w:rPr>
          <w:rFonts w:ascii="Times New Roman" w:hAnsi="Times New Roman" w:cs="Times New Roman"/>
          <w:sz w:val="28"/>
        </w:rPr>
        <w:t>[145]</w:t>
      </w:r>
      <w:r w:rsidR="00C20F37">
        <w:rPr>
          <w:rFonts w:ascii="Times New Roman" w:eastAsia="Times New Roman" w:hAnsi="Times New Roman" w:cs="Times New Roman"/>
          <w:sz w:val="28"/>
          <w:szCs w:val="28"/>
          <w:lang w:eastAsia="ru-RU"/>
        </w:rPr>
        <w:fldChar w:fldCharType="end"/>
      </w:r>
      <w:r w:rsidRPr="008252E9">
        <w:rPr>
          <w:rFonts w:ascii="Times New Roman" w:eastAsia="Times New Roman" w:hAnsi="Times New Roman" w:cs="Times New Roman"/>
          <w:sz w:val="28"/>
          <w:szCs w:val="28"/>
          <w:lang w:eastAsia="ru-RU"/>
        </w:rPr>
        <w:t>. В то же время развитие цифровых инструм</w:t>
      </w:r>
      <w:r w:rsidR="00C808CB">
        <w:rPr>
          <w:rFonts w:ascii="Times New Roman" w:eastAsia="Times New Roman" w:hAnsi="Times New Roman" w:cs="Times New Roman"/>
          <w:sz w:val="28"/>
          <w:szCs w:val="28"/>
          <w:lang w:eastAsia="ru-RU"/>
        </w:rPr>
        <w:t xml:space="preserve">ентов мониторинга и интеграция </w:t>
      </w:r>
      <w:r w:rsidR="00C808CB">
        <w:rPr>
          <w:rFonts w:ascii="Times New Roman" w:eastAsia="Times New Roman" w:hAnsi="Times New Roman" w:cs="Times New Roman"/>
          <w:sz w:val="28"/>
          <w:szCs w:val="28"/>
          <w:lang w:val="kk-KZ" w:eastAsia="ru-RU"/>
        </w:rPr>
        <w:t>И</w:t>
      </w:r>
      <w:r w:rsidRPr="008252E9">
        <w:rPr>
          <w:rFonts w:ascii="Times New Roman" w:eastAsia="Times New Roman" w:hAnsi="Times New Roman" w:cs="Times New Roman"/>
          <w:sz w:val="28"/>
          <w:szCs w:val="28"/>
          <w:lang w:eastAsia="ru-RU"/>
        </w:rPr>
        <w:t>T-платформ открывают возможности перехода к системной модели оценки, основанной на принципах прозрачности и адаптивности.</w:t>
      </w:r>
    </w:p>
    <w:p w14:paraId="6410CAB5" w14:textId="77777777" w:rsidR="008252E9" w:rsidRPr="008252E9" w:rsidRDefault="008252E9" w:rsidP="002F33D0">
      <w:pPr>
        <w:spacing w:after="0" w:line="240" w:lineRule="auto"/>
        <w:ind w:firstLine="567"/>
        <w:jc w:val="both"/>
        <w:rPr>
          <w:rFonts w:ascii="Times New Roman" w:eastAsia="Times New Roman" w:hAnsi="Times New Roman" w:cs="Times New Roman"/>
          <w:sz w:val="28"/>
          <w:szCs w:val="28"/>
          <w:lang w:eastAsia="ru-RU"/>
        </w:rPr>
      </w:pPr>
      <w:r w:rsidRPr="008252E9">
        <w:rPr>
          <w:rFonts w:ascii="Times New Roman" w:eastAsia="Times New Roman" w:hAnsi="Times New Roman" w:cs="Times New Roman"/>
          <w:sz w:val="28"/>
          <w:szCs w:val="28"/>
          <w:lang w:eastAsia="ru-RU"/>
        </w:rPr>
        <w:t>Таким образом, отечественная практика демонстрирует переход от описательных индексов к адаптивным инструментам, ориентированным на динамику цифровой зрелости предприятий. Это создаёт предпосылки для разработки ресурсно-процессной методологии, отражающей специфику казахстанской экономики и обеспечивающей связь между ресурсами, процессами и результатами инновационной деятельности.</w:t>
      </w:r>
    </w:p>
    <w:p w14:paraId="733D773D" w14:textId="29600A91" w:rsidR="008252E9" w:rsidRPr="008252E9" w:rsidRDefault="008252E9" w:rsidP="002F33D0">
      <w:pPr>
        <w:spacing w:after="0" w:line="240" w:lineRule="auto"/>
        <w:ind w:firstLine="567"/>
        <w:jc w:val="both"/>
        <w:rPr>
          <w:rFonts w:ascii="Times New Roman" w:eastAsia="Times New Roman" w:hAnsi="Times New Roman" w:cs="Times New Roman"/>
          <w:sz w:val="28"/>
          <w:szCs w:val="28"/>
          <w:lang w:eastAsia="ru-RU"/>
        </w:rPr>
      </w:pPr>
      <w:r w:rsidRPr="008252E9">
        <w:rPr>
          <w:rFonts w:ascii="Times New Roman" w:eastAsia="Times New Roman" w:hAnsi="Times New Roman" w:cs="Times New Roman"/>
          <w:sz w:val="28"/>
          <w:szCs w:val="28"/>
          <w:lang w:eastAsia="ru-RU"/>
        </w:rPr>
        <w:t>Проведённый анализ мировой и казахстанской практики показывает, что большинство существующих методик ориентировано на статичное измерение ресурсов, фиксируя наличие потенциала, но не раск</w:t>
      </w:r>
      <w:r w:rsidR="003E5D26">
        <w:rPr>
          <w:rFonts w:ascii="Times New Roman" w:eastAsia="Times New Roman" w:hAnsi="Times New Roman" w:cs="Times New Roman"/>
          <w:sz w:val="28"/>
          <w:szCs w:val="28"/>
          <w:lang w:eastAsia="ru-RU"/>
        </w:rPr>
        <w:t>рывая механизмов его реализации</w:t>
      </w:r>
      <w:r w:rsidR="003E5D26">
        <w:rPr>
          <w:rFonts w:ascii="Times New Roman" w:eastAsia="Times New Roman" w:hAnsi="Times New Roman" w:cs="Times New Roman"/>
          <w:sz w:val="28"/>
          <w:szCs w:val="28"/>
          <w:lang w:val="kk-KZ" w:eastAsia="ru-RU"/>
        </w:rPr>
        <w:t>.</w:t>
      </w:r>
      <w:r w:rsidRPr="008252E9">
        <w:rPr>
          <w:rFonts w:ascii="Times New Roman" w:eastAsia="Times New Roman" w:hAnsi="Times New Roman" w:cs="Times New Roman"/>
          <w:sz w:val="28"/>
          <w:szCs w:val="28"/>
          <w:lang w:eastAsia="ru-RU"/>
        </w:rPr>
        <w:t xml:space="preserve"> В условиях цифровой экономики инновации представляют собой непрерывный процесс, включающий накопление, перераспределение и трансформацию ресурсов в инновационные результаты. Для адекватного измерения этих процессов необходим ресурсно-процессный подход, который сочетает количественную оценку ресурсной базы с анализом управленческих, организационных и цифровых механизмов их использования.</w:t>
      </w:r>
    </w:p>
    <w:p w14:paraId="1814582C" w14:textId="681D06F7" w:rsidR="008252E9" w:rsidRPr="008252E9" w:rsidRDefault="008252E9" w:rsidP="002F33D0">
      <w:pPr>
        <w:spacing w:after="0" w:line="240" w:lineRule="auto"/>
        <w:ind w:firstLine="567"/>
        <w:jc w:val="both"/>
        <w:rPr>
          <w:rFonts w:ascii="Times New Roman" w:eastAsia="Times New Roman" w:hAnsi="Times New Roman" w:cs="Times New Roman"/>
          <w:sz w:val="28"/>
          <w:szCs w:val="28"/>
          <w:lang w:eastAsia="ru-RU"/>
        </w:rPr>
      </w:pPr>
      <w:r w:rsidRPr="008252E9">
        <w:rPr>
          <w:rFonts w:ascii="Times New Roman" w:eastAsia="Times New Roman" w:hAnsi="Times New Roman" w:cs="Times New Roman"/>
          <w:sz w:val="28"/>
          <w:szCs w:val="28"/>
          <w:lang w:eastAsia="ru-RU"/>
        </w:rPr>
        <w:t xml:space="preserve">Данный подход опирается на идеи ресурсной теории фирмы </w:t>
      </w:r>
      <w:r w:rsidR="003E5D26">
        <w:rPr>
          <w:rFonts w:ascii="Times New Roman" w:eastAsia="Times New Roman" w:hAnsi="Times New Roman" w:cs="Times New Roman"/>
          <w:sz w:val="28"/>
          <w:szCs w:val="28"/>
          <w:lang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{"citationID":"a2i9o4me550","properties":{"formattedCitation":"[149]","plainCitation":"[149]","noteIndex":0},"citationItems":[{"id":215,"uris":["http://zotero.org/users/16887523/items/Z82NSAYW"],"itemData":{"id":215,"type":"article-journal","container-title":"Journal of Engineering and Technology Management","DOI":"10.1016/S0923-4748(97)00028-3","ISSN":"09234748","issue":"1","journalAbbreviation":"Journal of Engineering and Technology Management","language":"en","license":"https://www.elsevier.com/tdm/userlicense/1.0/","page":"25-54","source":"DOI.org (Crossref)","title":"The effect of the acquisition of technological innovations on organizational performance: A resource-based view","title-short":"The effect of the acquisition of technological innovations on organizational performance","URL":"https://linkinghub.elsevier.com/retrieve/pii/S0923474897000283","volume":"15","author":[{"family":"Irwin","given":"John G."},{"family":"Hoffman","given":"James J."},{"family":"Lamont","given":"Bruce T."}],"accessed":{"date-parts":[["2025",11,23]]},"issued":{"date-parts":[["1998",3]]}}}],"schema":"https://github.com/citation-style-language/schema/raw/master/csl-citation.json"} </w:instrText>
      </w:r>
      <w:r w:rsidR="003E5D26">
        <w:rPr>
          <w:rFonts w:ascii="Times New Roman" w:eastAsia="Times New Roman" w:hAnsi="Times New Roman" w:cs="Times New Roman"/>
          <w:sz w:val="28"/>
          <w:szCs w:val="28"/>
          <w:lang w:eastAsia="ru-RU"/>
        </w:rPr>
        <w:fldChar w:fldCharType="separate"/>
      </w:r>
      <w:r w:rsidR="009C6DCA" w:rsidRPr="009C6DCA">
        <w:rPr>
          <w:rFonts w:ascii="Times New Roman" w:hAnsi="Times New Roman" w:cs="Times New Roman"/>
          <w:sz w:val="28"/>
        </w:rPr>
        <w:t>[149]</w:t>
      </w:r>
      <w:r w:rsidR="003E5D26">
        <w:rPr>
          <w:rFonts w:ascii="Times New Roman" w:eastAsia="Times New Roman" w:hAnsi="Times New Roman" w:cs="Times New Roman"/>
          <w:sz w:val="28"/>
          <w:szCs w:val="28"/>
          <w:lang w:eastAsia="ru-RU"/>
        </w:rPr>
        <w:fldChar w:fldCharType="end"/>
      </w:r>
      <w:r w:rsidR="003E5D26">
        <w:rPr>
          <w:rFonts w:ascii="Times New Roman" w:eastAsia="Times New Roman" w:hAnsi="Times New Roman" w:cs="Times New Roman"/>
          <w:sz w:val="28"/>
          <w:szCs w:val="28"/>
          <w:lang w:val="kk-KZ" w:eastAsia="ru-RU"/>
        </w:rPr>
        <w:t xml:space="preserve"> </w:t>
      </w:r>
      <w:r w:rsidRPr="008252E9">
        <w:rPr>
          <w:rFonts w:ascii="Times New Roman" w:eastAsia="Times New Roman" w:hAnsi="Times New Roman" w:cs="Times New Roman"/>
          <w:sz w:val="28"/>
          <w:szCs w:val="28"/>
          <w:lang w:eastAsia="ru-RU"/>
        </w:rPr>
        <w:t xml:space="preserve">и процессного управления </w:t>
      </w:r>
      <w:r w:rsidR="003E5D26">
        <w:rPr>
          <w:rFonts w:ascii="Times New Roman" w:eastAsia="Times New Roman" w:hAnsi="Times New Roman" w:cs="Times New Roman"/>
          <w:sz w:val="28"/>
          <w:szCs w:val="28"/>
          <w:lang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{"citationID":"a2qfos0glgi","properties":{"formattedCitation":"[150]","plainCitation":"[150]","noteIndex":0},"citationItems":[{"id":216,"uris":["http://zotero.org/users/16887523/items/9D5Z6YSA"],"itemData":{"id":216,"type":"article-journal","container-title":"The Journal of Strategic Information Systems","DOI":"10.1016/j.jsis.2007.09.001","ISSN":"09638687","issue":"4","journalAbbreviation":"The Journal of Strategic Information Systems","language":"en","license":"https://www.elsevier.com/tdm/userlicense/1.0/","page":"353-392","source":"DOI.org (Crossref)","title":"Understanding the influence of information systems competencies on process innovation: A resource-based view","title-short":"Understanding the influence of information systems competencies on process innovation","URL":"https://linkinghub.elsevier.com/retrieve/pii/S0963868707000467","volume":"16","author":[{"family":"Tarafdar","given":"Monideepa"},{"family":"Gordon","given":"Steven R."}],"accessed":{"date-parts":[["2025",11,23]]},"issued":{"date-parts":[["2007",12]]}}}],"schema":"https://github.com/citation-style-language/schema/raw/master/csl-citation.json"} </w:instrText>
      </w:r>
      <w:r w:rsidR="003E5D26">
        <w:rPr>
          <w:rFonts w:ascii="Times New Roman" w:eastAsia="Times New Roman" w:hAnsi="Times New Roman" w:cs="Times New Roman"/>
          <w:sz w:val="28"/>
          <w:szCs w:val="28"/>
          <w:lang w:eastAsia="ru-RU"/>
        </w:rPr>
        <w:fldChar w:fldCharType="separate"/>
      </w:r>
      <w:r w:rsidR="009C6DCA" w:rsidRPr="009C6DCA">
        <w:rPr>
          <w:rFonts w:ascii="Times New Roman" w:hAnsi="Times New Roman" w:cs="Times New Roman"/>
          <w:sz w:val="28"/>
        </w:rPr>
        <w:t>[150]</w:t>
      </w:r>
      <w:r w:rsidR="003E5D26">
        <w:rPr>
          <w:rFonts w:ascii="Times New Roman" w:eastAsia="Times New Roman" w:hAnsi="Times New Roman" w:cs="Times New Roman"/>
          <w:sz w:val="28"/>
          <w:szCs w:val="28"/>
          <w:lang w:eastAsia="ru-RU"/>
        </w:rPr>
        <w:fldChar w:fldCharType="end"/>
      </w:r>
      <w:r w:rsidRPr="008252E9">
        <w:rPr>
          <w:rFonts w:ascii="Times New Roman" w:eastAsia="Times New Roman" w:hAnsi="Times New Roman" w:cs="Times New Roman"/>
          <w:sz w:val="28"/>
          <w:szCs w:val="28"/>
          <w:lang w:eastAsia="ru-RU"/>
        </w:rPr>
        <w:t xml:space="preserve">. Ресурсный аспект отражает наличие материальных, кадровых и нематериальных активов, необходимых для </w:t>
      </w:r>
      <w:r w:rsidRPr="008252E9">
        <w:rPr>
          <w:rFonts w:ascii="Times New Roman" w:eastAsia="Times New Roman" w:hAnsi="Times New Roman" w:cs="Times New Roman"/>
          <w:sz w:val="28"/>
          <w:szCs w:val="28"/>
          <w:lang w:eastAsia="ru-RU"/>
        </w:rPr>
        <w:lastRenderedPageBreak/>
        <w:t xml:space="preserve">инноваций, тогда как процессный аспект показывает, как эти активы используются для создания новых продуктов, знаний и технологий </w:t>
      </w:r>
      <w:r w:rsidR="003E5D26">
        <w:rPr>
          <w:rFonts w:ascii="Times New Roman" w:eastAsia="Times New Roman" w:hAnsi="Times New Roman" w:cs="Times New Roman"/>
          <w:sz w:val="28"/>
          <w:szCs w:val="28"/>
          <w:lang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{"citationID":"a1v77qk3bkj","properties":{"formattedCitation":"[151]","plainCitation":"[151]","noteIndex":0},"citationItems":[{"id":217,"uris":["http://zotero.org/users/16887523/items/HBJKM8AK"],"itemData":{"id":217,"type":"article-journal","container-title":"Emerging Markets Finance and Trade","DOI":"10.1080/1540496X.2025.2552882","ISSN":"1540-496X, 1558-0938","journalAbbreviation":"Emerging Markets Finance and Trade","language":"en","page":"1-17","source":"DOI.org (Crossref)","title":"Digital Transformation of Enterprises and Accounting Information Quality: A Resource Dependence Theory Perspective","title-short":"Digital Transformation of Enterprises and Accounting Information Quality","URL":"https://www.tandfonline.com/doi/full/10.1080/1540496X.2025.2552882","author":[{"family":"Song","given":"Haitao"},{"family":"Lu","given":"Yang"},{"family":"Yang","given":"Zhonghai"}],"accessed":{"date-parts":[["2025",11,23]]},"issued":{"date-parts":[["2025",9,24]]}}}],"schema":"https://github.com/citation-style-language/schema/raw/master/csl-citation.json"} </w:instrText>
      </w:r>
      <w:r w:rsidR="003E5D26">
        <w:rPr>
          <w:rFonts w:ascii="Times New Roman" w:eastAsia="Times New Roman" w:hAnsi="Times New Roman" w:cs="Times New Roman"/>
          <w:sz w:val="28"/>
          <w:szCs w:val="28"/>
          <w:lang w:eastAsia="ru-RU"/>
        </w:rPr>
        <w:fldChar w:fldCharType="separate"/>
      </w:r>
      <w:r w:rsidR="009C6DCA" w:rsidRPr="009C6DCA">
        <w:rPr>
          <w:rFonts w:ascii="Times New Roman" w:hAnsi="Times New Roman" w:cs="Times New Roman"/>
          <w:sz w:val="28"/>
        </w:rPr>
        <w:t>[151]</w:t>
      </w:r>
      <w:r w:rsidR="003E5D26">
        <w:rPr>
          <w:rFonts w:ascii="Times New Roman" w:eastAsia="Times New Roman" w:hAnsi="Times New Roman" w:cs="Times New Roman"/>
          <w:sz w:val="28"/>
          <w:szCs w:val="28"/>
          <w:lang w:eastAsia="ru-RU"/>
        </w:rPr>
        <w:fldChar w:fldCharType="end"/>
      </w:r>
      <w:r w:rsidRPr="008252E9">
        <w:rPr>
          <w:rFonts w:ascii="Times New Roman" w:eastAsia="Times New Roman" w:hAnsi="Times New Roman" w:cs="Times New Roman"/>
          <w:sz w:val="28"/>
          <w:szCs w:val="28"/>
          <w:lang w:eastAsia="ru-RU"/>
        </w:rPr>
        <w:t xml:space="preserve">. Такое сочетание особенно важно в цифровой среде, где конкурентоспособность определяется скоростью обработки данных, гибкостью бизнес-моделей и способностью к обучению и самообновлению </w:t>
      </w:r>
      <w:r w:rsidR="003E5D26">
        <w:rPr>
          <w:rFonts w:ascii="Times New Roman" w:eastAsia="Times New Roman" w:hAnsi="Times New Roman" w:cs="Times New Roman"/>
          <w:sz w:val="28"/>
          <w:szCs w:val="28"/>
          <w:lang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{"citationID":"athok2vcbd","properties":{"formattedCitation":"[152]","plainCitation":"[152]","noteIndex":0},"citationItems":[{"id":218,"uris":["http://zotero.org/users/16887523/items/XZPP3YPN"],"itemData":{"id":218,"type":"article-journal","container-title":"Technology in Society","DOI":"10.1016/j.techsoc.2019.101210","ISSN":"0160791X","journalAbbreviation":"Technology in Society","language":"en","page":"101210","source":"DOI.org (Crossref)","title":"The influence of technology innovation on SME performance through environmental sustainability practices in Kenya","URL":"https://linkinghub.elsevier.com/retrieve/pii/S0160791X19302428","volume":"60","author":[{"family":"Chege","given":"Samwel Macharia"},{"family":"Wang","given":"Daoping"}],"accessed":{"date-parts":[["2025",11,23]]},"issued":{"date-parts":[["2020",2]]}}}],"schema":"https://github.com/citation-style-language/schema/raw/master/csl-citation.json"} </w:instrText>
      </w:r>
      <w:r w:rsidR="003E5D26">
        <w:rPr>
          <w:rFonts w:ascii="Times New Roman" w:eastAsia="Times New Roman" w:hAnsi="Times New Roman" w:cs="Times New Roman"/>
          <w:sz w:val="28"/>
          <w:szCs w:val="28"/>
          <w:lang w:eastAsia="ru-RU"/>
        </w:rPr>
        <w:fldChar w:fldCharType="separate"/>
      </w:r>
      <w:r w:rsidR="009C6DCA" w:rsidRPr="009C6DCA">
        <w:rPr>
          <w:rFonts w:ascii="Times New Roman" w:hAnsi="Times New Roman" w:cs="Times New Roman"/>
          <w:sz w:val="28"/>
        </w:rPr>
        <w:t>[152]</w:t>
      </w:r>
      <w:r w:rsidR="003E5D26">
        <w:rPr>
          <w:rFonts w:ascii="Times New Roman" w:eastAsia="Times New Roman" w:hAnsi="Times New Roman" w:cs="Times New Roman"/>
          <w:sz w:val="28"/>
          <w:szCs w:val="28"/>
          <w:lang w:eastAsia="ru-RU"/>
        </w:rPr>
        <w:fldChar w:fldCharType="end"/>
      </w:r>
      <w:r w:rsidRPr="008252E9">
        <w:rPr>
          <w:rFonts w:ascii="Times New Roman" w:eastAsia="Times New Roman" w:hAnsi="Times New Roman" w:cs="Times New Roman"/>
          <w:sz w:val="28"/>
          <w:szCs w:val="28"/>
          <w:lang w:eastAsia="ru-RU"/>
        </w:rPr>
        <w:t>.</w:t>
      </w:r>
    </w:p>
    <w:p w14:paraId="5F8750F2" w14:textId="6BEB74BA" w:rsidR="008252E9" w:rsidRDefault="008252E9" w:rsidP="002F33D0">
      <w:pPr>
        <w:spacing w:after="0" w:line="240" w:lineRule="auto"/>
        <w:ind w:firstLine="567"/>
        <w:jc w:val="both"/>
        <w:rPr>
          <w:rFonts w:ascii="Times New Roman" w:eastAsia="Times New Roman" w:hAnsi="Times New Roman" w:cs="Times New Roman"/>
          <w:sz w:val="28"/>
          <w:szCs w:val="28"/>
          <w:lang w:eastAsia="ru-RU"/>
        </w:rPr>
      </w:pPr>
      <w:r w:rsidRPr="008252E9">
        <w:rPr>
          <w:rFonts w:ascii="Times New Roman" w:eastAsia="Times New Roman" w:hAnsi="Times New Roman" w:cs="Times New Roman"/>
          <w:sz w:val="28"/>
          <w:szCs w:val="28"/>
          <w:lang w:eastAsia="ru-RU"/>
        </w:rPr>
        <w:t>Для наглядного отображения логики развития методических подходов целесообразно представить схему</w:t>
      </w:r>
      <w:r w:rsidRPr="008252E9">
        <w:rPr>
          <w:rFonts w:ascii="Times New Roman" w:eastAsia="Times New Roman" w:hAnsi="Times New Roman" w:cs="Times New Roman"/>
          <w:sz w:val="28"/>
          <w:szCs w:val="28"/>
          <w:lang w:val="kk-KZ" w:eastAsia="ru-RU"/>
        </w:rPr>
        <w:t xml:space="preserve"> (рисунок </w:t>
      </w:r>
      <w:r w:rsidR="00660037">
        <w:rPr>
          <w:rFonts w:ascii="Times New Roman" w:eastAsia="Times New Roman" w:hAnsi="Times New Roman" w:cs="Times New Roman"/>
          <w:sz w:val="28"/>
          <w:szCs w:val="28"/>
          <w:lang w:val="kk-KZ" w:eastAsia="ru-RU"/>
        </w:rPr>
        <w:t>4</w:t>
      </w:r>
      <w:r w:rsidRPr="008252E9">
        <w:rPr>
          <w:rFonts w:ascii="Times New Roman" w:eastAsia="Times New Roman" w:hAnsi="Times New Roman" w:cs="Times New Roman"/>
          <w:sz w:val="28"/>
          <w:szCs w:val="28"/>
          <w:lang w:val="kk-KZ" w:eastAsia="ru-RU"/>
        </w:rPr>
        <w:t>)</w:t>
      </w:r>
      <w:r w:rsidRPr="008252E9">
        <w:rPr>
          <w:rFonts w:ascii="Times New Roman" w:eastAsia="Times New Roman" w:hAnsi="Times New Roman" w:cs="Times New Roman"/>
          <w:sz w:val="28"/>
          <w:szCs w:val="28"/>
          <w:lang w:eastAsia="ru-RU"/>
        </w:rPr>
        <w:t xml:space="preserve">, отражающую постепенный переход от традиционных количественных моделей к современным интегрированным и процессным системам оценки инновационного потенциала. Данная схема иллюстрирует, как менялись исследовательские акценты </w:t>
      </w:r>
      <w:r w:rsidR="009D20AE">
        <w:rPr>
          <w:rFonts w:ascii="Times New Roman" w:eastAsia="Times New Roman" w:hAnsi="Times New Roman" w:cs="Times New Roman"/>
          <w:sz w:val="28"/>
          <w:szCs w:val="28"/>
          <w:lang w:eastAsia="ru-RU"/>
        </w:rPr>
        <w:t>–</w:t>
      </w:r>
      <w:r w:rsidRPr="008252E9">
        <w:rPr>
          <w:rFonts w:ascii="Times New Roman" w:eastAsia="Times New Roman" w:hAnsi="Times New Roman" w:cs="Times New Roman"/>
          <w:sz w:val="28"/>
          <w:szCs w:val="28"/>
          <w:lang w:eastAsia="ru-RU"/>
        </w:rPr>
        <w:t xml:space="preserve"> от оценки ресурсов к анализу процессов, а затем к учёту цифровых факторов и динамики взаимодействия.</w:t>
      </w:r>
    </w:p>
    <w:p w14:paraId="1EF85879" w14:textId="660D262E" w:rsidR="008252E9" w:rsidRPr="00EA1CDB" w:rsidRDefault="008252E9" w:rsidP="002F33D0">
      <w:pPr>
        <w:spacing w:after="0" w:line="240" w:lineRule="auto"/>
        <w:ind w:firstLine="567"/>
        <w:jc w:val="both"/>
        <w:rPr>
          <w:rFonts w:ascii="Times New Roman" w:eastAsia="Times New Roman" w:hAnsi="Times New Roman" w:cs="Times New Roman"/>
          <w:sz w:val="28"/>
          <w:szCs w:val="28"/>
          <w:lang w:val="kk-KZ" w:eastAsia="ru-RU"/>
        </w:rPr>
      </w:pPr>
    </w:p>
    <w:p w14:paraId="65394042" w14:textId="77777777" w:rsidR="008252E9" w:rsidRPr="008252E9" w:rsidRDefault="008252E9" w:rsidP="00937878">
      <w:pPr>
        <w:spacing w:after="0" w:line="240" w:lineRule="auto"/>
        <w:jc w:val="center"/>
        <w:rPr>
          <w:rFonts w:ascii="Times New Roman" w:eastAsia="Times New Roman" w:hAnsi="Times New Roman" w:cs="Times New Roman"/>
          <w:sz w:val="28"/>
          <w:szCs w:val="28"/>
          <w:lang w:eastAsia="ru-RU"/>
        </w:rPr>
      </w:pPr>
      <w:r w:rsidRPr="008252E9">
        <w:rPr>
          <w:rFonts w:ascii="Times New Roman" w:eastAsia="Times New Roman" w:hAnsi="Times New Roman" w:cs="Times New Roman"/>
          <w:noProof/>
          <w:sz w:val="28"/>
          <w:szCs w:val="28"/>
          <w:lang w:eastAsia="ru-RU"/>
        </w:rPr>
        <w:drawing>
          <wp:inline distT="0" distB="0" distL="0" distR="0" wp14:anchorId="27B5F2D5" wp14:editId="2C14F82F">
            <wp:extent cx="5910943" cy="3200400"/>
            <wp:effectExtent l="0" t="19050" r="33020" b="38100"/>
            <wp:docPr id="27" name="Схема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6BECEFF" w14:textId="77777777" w:rsidR="008252E9" w:rsidRPr="00937878" w:rsidRDefault="008252E9" w:rsidP="002F33D0">
      <w:pPr>
        <w:spacing w:after="0" w:line="240" w:lineRule="auto"/>
        <w:jc w:val="center"/>
        <w:rPr>
          <w:rFonts w:ascii="Times New Roman" w:eastAsia="Times New Roman" w:hAnsi="Times New Roman" w:cs="Times New Roman"/>
          <w:sz w:val="20"/>
          <w:szCs w:val="28"/>
          <w:lang w:val="kk-KZ" w:eastAsia="ru-RU"/>
        </w:rPr>
      </w:pPr>
    </w:p>
    <w:p w14:paraId="606316D7" w14:textId="52C05556" w:rsidR="008252E9" w:rsidRPr="008252E9" w:rsidRDefault="008252E9" w:rsidP="002F33D0">
      <w:pPr>
        <w:spacing w:after="0" w:line="240" w:lineRule="auto"/>
        <w:jc w:val="center"/>
        <w:rPr>
          <w:rFonts w:ascii="Times New Roman" w:eastAsia="Times New Roman" w:hAnsi="Times New Roman" w:cs="Times New Roman"/>
          <w:sz w:val="28"/>
          <w:szCs w:val="28"/>
          <w:lang w:val="kk-KZ" w:eastAsia="ru-RU"/>
        </w:rPr>
      </w:pPr>
      <w:r w:rsidRPr="008252E9">
        <w:rPr>
          <w:rFonts w:ascii="Times New Roman" w:eastAsia="Times New Roman" w:hAnsi="Times New Roman" w:cs="Times New Roman"/>
          <w:sz w:val="28"/>
          <w:szCs w:val="28"/>
          <w:lang w:val="kk-KZ" w:eastAsia="ru-RU"/>
        </w:rPr>
        <w:t xml:space="preserve">Рисунок </w:t>
      </w:r>
      <w:r w:rsidR="00660037">
        <w:rPr>
          <w:rFonts w:ascii="Times New Roman" w:eastAsia="Times New Roman" w:hAnsi="Times New Roman" w:cs="Times New Roman"/>
          <w:sz w:val="28"/>
          <w:szCs w:val="28"/>
          <w:lang w:val="kk-KZ" w:eastAsia="ru-RU"/>
        </w:rPr>
        <w:t>4</w:t>
      </w:r>
      <w:r w:rsidRPr="008252E9">
        <w:rPr>
          <w:rFonts w:ascii="Times New Roman" w:eastAsia="Times New Roman" w:hAnsi="Times New Roman" w:cs="Times New Roman"/>
          <w:sz w:val="28"/>
          <w:szCs w:val="28"/>
          <w:lang w:val="kk-KZ" w:eastAsia="ru-RU"/>
        </w:rPr>
        <w:t xml:space="preserve"> – Эволюция подходов к оценке инновационного потенциала предприятий</w:t>
      </w:r>
    </w:p>
    <w:p w14:paraId="0A6F5633" w14:textId="77777777" w:rsidR="008252E9" w:rsidRPr="00937878" w:rsidRDefault="008252E9" w:rsidP="002F33D0">
      <w:pPr>
        <w:spacing w:after="0" w:line="240" w:lineRule="auto"/>
        <w:ind w:firstLine="567"/>
        <w:jc w:val="both"/>
        <w:rPr>
          <w:rFonts w:ascii="Times New Roman" w:eastAsia="Times New Roman" w:hAnsi="Times New Roman" w:cs="Times New Roman"/>
          <w:sz w:val="20"/>
          <w:szCs w:val="28"/>
          <w:lang w:val="kk-KZ" w:eastAsia="ru-RU"/>
        </w:rPr>
      </w:pPr>
    </w:p>
    <w:p w14:paraId="54702167" w14:textId="0F57D1DF" w:rsidR="008252E9" w:rsidRPr="00A12459" w:rsidRDefault="008252E9" w:rsidP="00660037">
      <w:pPr>
        <w:spacing w:after="0" w:line="240" w:lineRule="auto"/>
        <w:ind w:firstLine="567"/>
        <w:jc w:val="both"/>
        <w:rPr>
          <w:rFonts w:ascii="Times New Roman" w:eastAsia="Times New Roman" w:hAnsi="Times New Roman" w:cs="Times New Roman"/>
          <w:sz w:val="24"/>
          <w:szCs w:val="28"/>
          <w:lang w:val="kk-KZ" w:eastAsia="ru-RU"/>
        </w:rPr>
      </w:pPr>
      <w:r w:rsidRPr="00A12459">
        <w:rPr>
          <w:rFonts w:ascii="Times New Roman" w:eastAsia="Times New Roman" w:hAnsi="Times New Roman" w:cs="Times New Roman"/>
          <w:sz w:val="24"/>
          <w:szCs w:val="28"/>
          <w:lang w:val="kk-KZ" w:eastAsia="ru-RU"/>
        </w:rPr>
        <w:t xml:space="preserve">Примечание – </w:t>
      </w:r>
      <w:r w:rsidR="000F3C80">
        <w:rPr>
          <w:rFonts w:ascii="Times New Roman" w:eastAsia="Times New Roman" w:hAnsi="Times New Roman" w:cs="Times New Roman"/>
          <w:sz w:val="24"/>
          <w:szCs w:val="28"/>
          <w:lang w:val="kk-KZ" w:eastAsia="ru-RU"/>
        </w:rPr>
        <w:t>С</w:t>
      </w:r>
      <w:r w:rsidRPr="00A12459">
        <w:rPr>
          <w:rFonts w:ascii="Times New Roman" w:eastAsia="Times New Roman" w:hAnsi="Times New Roman" w:cs="Times New Roman"/>
          <w:sz w:val="24"/>
          <w:szCs w:val="28"/>
          <w:lang w:val="kk-KZ" w:eastAsia="ru-RU"/>
        </w:rPr>
        <w:t>оставлено автором</w:t>
      </w:r>
    </w:p>
    <w:p w14:paraId="4D79CD30" w14:textId="77777777" w:rsidR="008252E9" w:rsidRDefault="008252E9" w:rsidP="002F33D0">
      <w:pPr>
        <w:spacing w:after="0" w:line="240" w:lineRule="auto"/>
        <w:ind w:firstLine="567"/>
        <w:jc w:val="both"/>
        <w:rPr>
          <w:rFonts w:ascii="Times New Roman" w:eastAsia="Times New Roman" w:hAnsi="Times New Roman" w:cs="Times New Roman"/>
          <w:sz w:val="28"/>
          <w:szCs w:val="28"/>
          <w:lang w:val="kk-KZ" w:eastAsia="ru-RU"/>
        </w:rPr>
      </w:pPr>
    </w:p>
    <w:p w14:paraId="55651739" w14:textId="77777777" w:rsidR="00937878" w:rsidRDefault="00937878" w:rsidP="002F33D0">
      <w:pPr>
        <w:tabs>
          <w:tab w:val="left" w:pos="851"/>
        </w:tabs>
        <w:spacing w:after="0" w:line="240" w:lineRule="auto"/>
        <w:ind w:firstLine="567"/>
        <w:jc w:val="both"/>
        <w:rPr>
          <w:rFonts w:ascii="Times New Roman" w:eastAsia="Times New Roman" w:hAnsi="Times New Roman" w:cs="Times New Roman"/>
          <w:sz w:val="28"/>
          <w:szCs w:val="28"/>
          <w:lang w:val="kk-KZ" w:eastAsia="ru-RU"/>
        </w:rPr>
      </w:pPr>
      <w:r w:rsidRPr="008252E9">
        <w:rPr>
          <w:rFonts w:ascii="Times New Roman" w:eastAsia="Times New Roman" w:hAnsi="Times New Roman" w:cs="Times New Roman"/>
          <w:sz w:val="28"/>
          <w:szCs w:val="28"/>
          <w:lang w:val="kk-KZ" w:eastAsia="ru-RU"/>
        </w:rPr>
        <w:t>Представленная схема демонстрирует, что развитие методологических подходов носит поступательный и интегративный характер. Если на ранних этапах оценка инновационного потенциала сводилась преимущественно к учёту материальных и финансовых ресурсов, то в современных условиях основное внимание уделяется процессам взаимодействия, цифровой зрелости и способности предприятия к адаптации. Именно на этом пересечении ресурсного и процессного измерений формируется современное понимание инновационного потен</w:t>
      </w:r>
      <w:r>
        <w:rPr>
          <w:rFonts w:ascii="Times New Roman" w:eastAsia="Times New Roman" w:hAnsi="Times New Roman" w:cs="Times New Roman"/>
          <w:sz w:val="28"/>
          <w:szCs w:val="28"/>
          <w:lang w:val="kk-KZ" w:eastAsia="ru-RU"/>
        </w:rPr>
        <w:t>циала как динамической системы</w:t>
      </w:r>
      <w:r w:rsidRPr="008252E9">
        <w:rPr>
          <w:rFonts w:ascii="Times New Roman" w:eastAsia="Times New Roman" w:hAnsi="Times New Roman" w:cs="Times New Roman"/>
          <w:sz w:val="28"/>
          <w:szCs w:val="28"/>
          <w:lang w:val="kk-KZ" w:eastAsia="ru-RU"/>
        </w:rPr>
        <w:t>.</w:t>
      </w:r>
    </w:p>
    <w:p w14:paraId="5EEC2906" w14:textId="289774B5" w:rsidR="008252E9" w:rsidRPr="008252E9" w:rsidRDefault="002D1D04" w:rsidP="002F33D0">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2D1D04">
        <w:rPr>
          <w:rFonts w:ascii="Times New Roman" w:eastAsia="Times New Roman" w:hAnsi="Times New Roman" w:cs="Times New Roman"/>
          <w:sz w:val="28"/>
          <w:szCs w:val="28"/>
          <w:lang w:eastAsia="ru-RU"/>
        </w:rPr>
        <w:t xml:space="preserve">Эволюция подходов демонстрирует, что современная методология оценки инновационного потенциала постепенно смещается в сторону динамических и </w:t>
      </w:r>
      <w:r w:rsidRPr="002D1D04">
        <w:rPr>
          <w:rFonts w:ascii="Times New Roman" w:eastAsia="Times New Roman" w:hAnsi="Times New Roman" w:cs="Times New Roman"/>
          <w:sz w:val="28"/>
          <w:szCs w:val="28"/>
          <w:lang w:eastAsia="ru-RU"/>
        </w:rPr>
        <w:lastRenderedPageBreak/>
        <w:t>контекстно адаптивных моделей. Логическим продолжением этой тенденции становится применен</w:t>
      </w:r>
      <w:r>
        <w:rPr>
          <w:rFonts w:ascii="Times New Roman" w:eastAsia="Times New Roman" w:hAnsi="Times New Roman" w:cs="Times New Roman"/>
          <w:sz w:val="28"/>
          <w:szCs w:val="28"/>
          <w:lang w:eastAsia="ru-RU"/>
        </w:rPr>
        <w:t>ие ресурсно-процессного подхода</w:t>
      </w:r>
      <w:r>
        <w:rPr>
          <w:rFonts w:ascii="Times New Roman" w:eastAsia="Times New Roman" w:hAnsi="Times New Roman" w:cs="Times New Roman"/>
          <w:sz w:val="28"/>
          <w:szCs w:val="28"/>
          <w:lang w:val="kk-KZ" w:eastAsia="ru-RU"/>
        </w:rPr>
        <w:t xml:space="preserve">, который </w:t>
      </w:r>
      <w:r w:rsidR="008252E9" w:rsidRPr="008252E9">
        <w:rPr>
          <w:rFonts w:ascii="Times New Roman" w:eastAsia="Times New Roman" w:hAnsi="Times New Roman" w:cs="Times New Roman"/>
          <w:sz w:val="28"/>
          <w:szCs w:val="28"/>
          <w:lang w:eastAsia="ru-RU"/>
        </w:rPr>
        <w:t>отражает двойственную природу инновационного потенциала:</w:t>
      </w:r>
    </w:p>
    <w:p w14:paraId="24EEBB46" w14:textId="3FD1EFF7" w:rsidR="008252E9" w:rsidRPr="008252E9" w:rsidRDefault="008252E9" w:rsidP="007F5E68">
      <w:pPr>
        <w:pStyle w:val="a3"/>
        <w:numPr>
          <w:ilvl w:val="0"/>
          <w:numId w:val="3"/>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8252E9">
        <w:rPr>
          <w:rFonts w:ascii="Times New Roman" w:eastAsia="Times New Roman" w:hAnsi="Times New Roman" w:cs="Times New Roman"/>
          <w:sz w:val="28"/>
          <w:szCs w:val="28"/>
          <w:lang w:eastAsia="ru-RU"/>
        </w:rPr>
        <w:t xml:space="preserve">ресурсную </w:t>
      </w:r>
      <w:r w:rsidR="009D20AE">
        <w:rPr>
          <w:rFonts w:ascii="Times New Roman" w:eastAsia="Times New Roman" w:hAnsi="Times New Roman" w:cs="Times New Roman"/>
          <w:sz w:val="28"/>
          <w:szCs w:val="28"/>
          <w:lang w:eastAsia="ru-RU"/>
        </w:rPr>
        <w:t>–</w:t>
      </w:r>
      <w:r w:rsidRPr="008252E9">
        <w:rPr>
          <w:rFonts w:ascii="Times New Roman" w:eastAsia="Times New Roman" w:hAnsi="Times New Roman" w:cs="Times New Roman"/>
          <w:sz w:val="28"/>
          <w:szCs w:val="28"/>
          <w:lang w:eastAsia="ru-RU"/>
        </w:rPr>
        <w:t xml:space="preserve"> характеризующую наличие материальных, кадровых и нематериальных активов, необходимых для инноваций;</w:t>
      </w:r>
    </w:p>
    <w:p w14:paraId="75933C13" w14:textId="4C3ECF41" w:rsidR="008252E9" w:rsidRPr="008252E9" w:rsidRDefault="008252E9" w:rsidP="007F5E68">
      <w:pPr>
        <w:pStyle w:val="a3"/>
        <w:numPr>
          <w:ilvl w:val="0"/>
          <w:numId w:val="3"/>
        </w:numPr>
        <w:tabs>
          <w:tab w:val="left" w:pos="851"/>
        </w:tabs>
        <w:spacing w:after="0" w:line="240" w:lineRule="auto"/>
        <w:ind w:left="0" w:firstLine="567"/>
        <w:jc w:val="both"/>
        <w:rPr>
          <w:rFonts w:ascii="Times New Roman" w:eastAsia="Times New Roman" w:hAnsi="Times New Roman" w:cs="Times New Roman"/>
          <w:sz w:val="28"/>
          <w:szCs w:val="28"/>
          <w:lang w:eastAsia="ru-RU"/>
        </w:rPr>
      </w:pPr>
      <w:r w:rsidRPr="008252E9">
        <w:rPr>
          <w:rFonts w:ascii="Times New Roman" w:eastAsia="Times New Roman" w:hAnsi="Times New Roman" w:cs="Times New Roman"/>
          <w:sz w:val="28"/>
          <w:szCs w:val="28"/>
          <w:lang w:eastAsia="ru-RU"/>
        </w:rPr>
        <w:t xml:space="preserve">процессную </w:t>
      </w:r>
      <w:r w:rsidR="009D20AE">
        <w:rPr>
          <w:rFonts w:ascii="Times New Roman" w:eastAsia="Times New Roman" w:hAnsi="Times New Roman" w:cs="Times New Roman"/>
          <w:sz w:val="28"/>
          <w:szCs w:val="28"/>
          <w:lang w:eastAsia="ru-RU"/>
        </w:rPr>
        <w:t>–</w:t>
      </w:r>
      <w:r w:rsidRPr="008252E9">
        <w:rPr>
          <w:rFonts w:ascii="Times New Roman" w:eastAsia="Times New Roman" w:hAnsi="Times New Roman" w:cs="Times New Roman"/>
          <w:sz w:val="28"/>
          <w:szCs w:val="28"/>
          <w:lang w:eastAsia="ru-RU"/>
        </w:rPr>
        <w:t xml:space="preserve"> отражающую механизмы управления знаниями, цифровую адаптацию, координацию участников и реализацию инноваций в реальном времени.</w:t>
      </w:r>
    </w:p>
    <w:p w14:paraId="2C74A854" w14:textId="7C3C3AA7" w:rsidR="008252E9" w:rsidRPr="008252E9" w:rsidRDefault="008252E9" w:rsidP="002F33D0">
      <w:pPr>
        <w:spacing w:after="0" w:line="240" w:lineRule="auto"/>
        <w:ind w:firstLine="567"/>
        <w:jc w:val="both"/>
        <w:rPr>
          <w:rFonts w:ascii="Times New Roman" w:eastAsia="Times New Roman" w:hAnsi="Times New Roman" w:cs="Times New Roman"/>
          <w:sz w:val="28"/>
          <w:szCs w:val="28"/>
          <w:lang w:eastAsia="ru-RU"/>
        </w:rPr>
      </w:pPr>
      <w:r w:rsidRPr="008252E9">
        <w:rPr>
          <w:rFonts w:ascii="Times New Roman" w:eastAsia="Times New Roman" w:hAnsi="Times New Roman" w:cs="Times New Roman"/>
          <w:sz w:val="28"/>
          <w:szCs w:val="28"/>
          <w:lang w:eastAsia="ru-RU"/>
        </w:rPr>
        <w:t xml:space="preserve">Такое понимание особенно актуально для цифровой экономики, где ключевыми становятся скорость обработки данных, гибкость бизнес-моделей и способность предприятий к обучению и самообновлению. В этой связи ресурсно-процессный подход обеспечивает не статическую, а динамическую диагностику инновационного потенциала, позволяющую отслеживать, как ресурсы трансформируются в инновационные результаты под влиянием внешних факторов </w:t>
      </w:r>
      <w:r w:rsidR="009D20AE">
        <w:rPr>
          <w:rFonts w:ascii="Times New Roman" w:eastAsia="Times New Roman" w:hAnsi="Times New Roman" w:cs="Times New Roman"/>
          <w:sz w:val="28"/>
          <w:szCs w:val="28"/>
          <w:lang w:eastAsia="ru-RU"/>
        </w:rPr>
        <w:t>–</w:t>
      </w:r>
      <w:r w:rsidRPr="008252E9">
        <w:rPr>
          <w:rFonts w:ascii="Times New Roman" w:eastAsia="Times New Roman" w:hAnsi="Times New Roman" w:cs="Times New Roman"/>
          <w:sz w:val="28"/>
          <w:szCs w:val="28"/>
          <w:lang w:eastAsia="ru-RU"/>
        </w:rPr>
        <w:t xml:space="preserve"> цифровизации, государствен</w:t>
      </w:r>
      <w:r w:rsidR="003E5D26">
        <w:rPr>
          <w:rFonts w:ascii="Times New Roman" w:eastAsia="Times New Roman" w:hAnsi="Times New Roman" w:cs="Times New Roman"/>
          <w:sz w:val="28"/>
          <w:szCs w:val="28"/>
          <w:lang w:eastAsia="ru-RU"/>
        </w:rPr>
        <w:t>ной политики, партнерских сетей</w:t>
      </w:r>
      <w:r w:rsidRPr="008252E9">
        <w:rPr>
          <w:rFonts w:ascii="Times New Roman" w:eastAsia="Times New Roman" w:hAnsi="Times New Roman" w:cs="Times New Roman"/>
          <w:sz w:val="28"/>
          <w:szCs w:val="28"/>
          <w:lang w:eastAsia="ru-RU"/>
        </w:rPr>
        <w:t>.</w:t>
      </w:r>
    </w:p>
    <w:p w14:paraId="126A6913" w14:textId="77777777" w:rsidR="008252E9" w:rsidRPr="008252E9" w:rsidRDefault="008252E9" w:rsidP="002F33D0">
      <w:pPr>
        <w:spacing w:after="0" w:line="240" w:lineRule="auto"/>
        <w:ind w:firstLine="567"/>
        <w:jc w:val="both"/>
        <w:rPr>
          <w:rFonts w:ascii="Times New Roman" w:eastAsia="Times New Roman" w:hAnsi="Times New Roman" w:cs="Times New Roman"/>
          <w:sz w:val="28"/>
          <w:szCs w:val="28"/>
          <w:lang w:val="kk-KZ" w:eastAsia="ru-RU"/>
        </w:rPr>
      </w:pPr>
      <w:r w:rsidRPr="008252E9">
        <w:rPr>
          <w:rFonts w:ascii="Times New Roman" w:eastAsia="Times New Roman" w:hAnsi="Times New Roman" w:cs="Times New Roman"/>
          <w:sz w:val="28"/>
          <w:szCs w:val="28"/>
          <w:lang w:eastAsia="ru-RU"/>
        </w:rPr>
        <w:t>Применение ресурсно-процессного подхода решает ряд методологических проблем, выявленных в литературе</w:t>
      </w:r>
      <w:r w:rsidRPr="008252E9">
        <w:rPr>
          <w:rFonts w:ascii="Times New Roman" w:eastAsia="Times New Roman" w:hAnsi="Times New Roman" w:cs="Times New Roman"/>
          <w:sz w:val="28"/>
          <w:szCs w:val="28"/>
          <w:lang w:val="kk-KZ" w:eastAsia="ru-RU"/>
        </w:rPr>
        <w:t>:</w:t>
      </w:r>
    </w:p>
    <w:p w14:paraId="174DA71E" w14:textId="3342DAE5" w:rsidR="008252E9" w:rsidRPr="008252E9" w:rsidRDefault="00A12459" w:rsidP="007F5E68">
      <w:pPr>
        <w:pStyle w:val="a3"/>
        <w:numPr>
          <w:ilvl w:val="0"/>
          <w:numId w:val="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п</w:t>
      </w:r>
      <w:r w:rsidR="008252E9" w:rsidRPr="008252E9">
        <w:rPr>
          <w:rFonts w:ascii="Times New Roman" w:eastAsia="Times New Roman" w:hAnsi="Times New Roman" w:cs="Times New Roman"/>
          <w:sz w:val="28"/>
          <w:szCs w:val="28"/>
          <w:lang w:eastAsia="ru-RU"/>
        </w:rPr>
        <w:t xml:space="preserve">роблема статичности </w:t>
      </w:r>
      <w:r w:rsidR="009D20AE">
        <w:rPr>
          <w:rFonts w:ascii="Times New Roman" w:eastAsia="Times New Roman" w:hAnsi="Times New Roman" w:cs="Times New Roman"/>
          <w:sz w:val="28"/>
          <w:szCs w:val="28"/>
          <w:lang w:eastAsia="ru-RU"/>
        </w:rPr>
        <w:t>–</w:t>
      </w:r>
      <w:r w:rsidR="008252E9" w:rsidRPr="008252E9">
        <w:rPr>
          <w:rFonts w:ascii="Times New Roman" w:eastAsia="Times New Roman" w:hAnsi="Times New Roman" w:cs="Times New Roman"/>
          <w:sz w:val="28"/>
          <w:szCs w:val="28"/>
          <w:lang w:eastAsia="ru-RU"/>
        </w:rPr>
        <w:t xml:space="preserve"> традиционные индексные модели фиксируют лишь срез состояния потенциала, тогда как процессный анализ позволяет отразить его эволюцию во времени и влияние цифровых факторов </w:t>
      </w:r>
      <w:r w:rsidR="003E5D26">
        <w:rPr>
          <w:rFonts w:ascii="Times New Roman" w:eastAsia="Times New Roman" w:hAnsi="Times New Roman" w:cs="Times New Roman"/>
          <w:sz w:val="28"/>
          <w:szCs w:val="28"/>
          <w:lang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{"citationID":"a2p9m7abqsl","properties":{"formattedCitation":"[153]","plainCitation":"[153]","noteIndex":0},"citationItems":[{"id":219,"uris":["http://zotero.org/users/16887523/items/YJRDVHIC"],"itemData":{"id":219,"type":"article-journal","abstract":"Introduction: The rapid pace of technological advancement and global competition has underscored the critical need for complex organizations to strategically integrate innovation management practices. This paper explores the theoretical foundations of innovation management and examines emerging models that align innovation efforts with organizational strategy. By analyzing key frameworks, such as the Resource-Based View (RBV), Open Innovation, and Dynamic Capabilities, this research highlights the challenges and opportunities organizations face in embedding innovation into their core processes.Method: This paper evaluates existing innovation management models, including Stage-Gate and Agile Innovation, and introduces emerging approaches such as Holacracy and Innovation Networks, which emphasize decentralized decision-making and cross-organizational collaboration. Key concepts such as strategic alignment, leadership roles, and technology integration are explored, providing insights into how innovation practices can be effectively integrated across complex organizational structures.Result: The research identifies cultural and structural barriers to innovation integration and suggests strategies for overcoming them. The findings suggest that when innovation management is aligned with organizational strategy, it fosters long-term sustainability, enhances competitive advantage, and drives organizational agility.Conclusion: The paper concludes by offering conceptual insights into the synergies between innovation and strategy while outlining directions for future research to further explore the integration of emerging technologies and external innovation ecosystems.","container-title":"Management (Montevideo)","DOI":"10.62486/agma2025168","ISSN":"3046-4048","journalAbbreviation":"Management (Montevideo)","license":"https://creativecommons.org/licenses/by/4.0","page":"168","source":"DOI.org (Crossref)","title":"Strategic Integration of Innovation Management Practices within Complex Organizations: Emerging Models and Conceptual Insights","title-short":"Strategic Integration of Innovation Management Practices within Complex Organizations","URL":"https://managment.ageditor.uy/index.php/managment/article/view/168","volume":"3","author":[{"family":"Pandey","given":"Mukul"},{"family":"Gardasu","given":"Sathyanarayana"},{"family":"M","given":"John Paul"},{"family":"Homavazir","given":"Malcolm"},{"family":"Lakshman","given":"Lakshman"},{"family":"Gupta","given":"Mridula"},{"family":"Sunil","given":"Julie"},{"family":"Ranjan Das","given":"Jyoti"}],"accessed":{"date-parts":[["2025",11,23]]},"issued":{"date-parts":[["2025",7,30]]}}}],"schema":"https://github.com/citation-style-language/schema/raw/master/csl-citation.json"} </w:instrText>
      </w:r>
      <w:r w:rsidR="003E5D26">
        <w:rPr>
          <w:rFonts w:ascii="Times New Roman" w:eastAsia="Times New Roman" w:hAnsi="Times New Roman" w:cs="Times New Roman"/>
          <w:sz w:val="28"/>
          <w:szCs w:val="28"/>
          <w:lang w:eastAsia="ru-RU"/>
        </w:rPr>
        <w:fldChar w:fldCharType="separate"/>
      </w:r>
      <w:r w:rsidR="009C6DCA" w:rsidRPr="009C6DCA">
        <w:rPr>
          <w:rFonts w:ascii="Times New Roman" w:hAnsi="Times New Roman" w:cs="Times New Roman"/>
          <w:sz w:val="28"/>
        </w:rPr>
        <w:t>[153]</w:t>
      </w:r>
      <w:r w:rsidR="003E5D26">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val="kk-KZ" w:eastAsia="ru-RU"/>
        </w:rPr>
        <w:t>;</w:t>
      </w:r>
    </w:p>
    <w:p w14:paraId="55326968" w14:textId="26C569D7" w:rsidR="00656204" w:rsidRDefault="00A12459" w:rsidP="007F5E68">
      <w:pPr>
        <w:pStyle w:val="a3"/>
        <w:numPr>
          <w:ilvl w:val="0"/>
          <w:numId w:val="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о</w:t>
      </w:r>
      <w:r w:rsidR="008252E9" w:rsidRPr="00656204">
        <w:rPr>
          <w:rFonts w:ascii="Times New Roman" w:eastAsia="Times New Roman" w:hAnsi="Times New Roman" w:cs="Times New Roman"/>
          <w:sz w:val="28"/>
          <w:szCs w:val="28"/>
          <w:lang w:eastAsia="ru-RU"/>
        </w:rPr>
        <w:t xml:space="preserve">граниченность охвата </w:t>
      </w:r>
      <w:r w:rsidR="009D20AE">
        <w:rPr>
          <w:rFonts w:ascii="Times New Roman" w:eastAsia="Times New Roman" w:hAnsi="Times New Roman" w:cs="Times New Roman"/>
          <w:sz w:val="28"/>
          <w:szCs w:val="28"/>
          <w:lang w:eastAsia="ru-RU"/>
        </w:rPr>
        <w:t>–</w:t>
      </w:r>
      <w:r w:rsidR="008252E9" w:rsidRPr="00656204">
        <w:rPr>
          <w:rFonts w:ascii="Times New Roman" w:eastAsia="Times New Roman" w:hAnsi="Times New Roman" w:cs="Times New Roman"/>
          <w:sz w:val="28"/>
          <w:szCs w:val="28"/>
          <w:lang w:eastAsia="ru-RU"/>
        </w:rPr>
        <w:t xml:space="preserve"> за счёт включения процессных переменных (взаимодействие, скорость внедрения, эффективность трансфера знаний) подход позволяет </w:t>
      </w:r>
      <w:r w:rsidR="00EA1CDB" w:rsidRPr="00656204">
        <w:rPr>
          <w:rFonts w:ascii="Times New Roman" w:eastAsia="Times New Roman" w:hAnsi="Times New Roman" w:cs="Times New Roman"/>
          <w:sz w:val="28"/>
          <w:szCs w:val="28"/>
          <w:lang w:eastAsia="ru-RU"/>
        </w:rPr>
        <w:t>учитывать,</w:t>
      </w:r>
      <w:r w:rsidR="008252E9" w:rsidRPr="00656204">
        <w:rPr>
          <w:rFonts w:ascii="Times New Roman" w:eastAsia="Times New Roman" w:hAnsi="Times New Roman" w:cs="Times New Roman"/>
          <w:sz w:val="28"/>
          <w:szCs w:val="28"/>
          <w:lang w:eastAsia="ru-RU"/>
        </w:rPr>
        <w:t xml:space="preserve"> как внутренние, так и внешние драйверы инноваций</w:t>
      </w:r>
      <w:r w:rsidR="00656204">
        <w:rPr>
          <w:rFonts w:ascii="Times New Roman" w:eastAsia="Times New Roman" w:hAnsi="Times New Roman" w:cs="Times New Roman"/>
          <w:sz w:val="28"/>
          <w:szCs w:val="28"/>
          <w:lang w:val="kk-KZ" w:eastAsia="ru-RU"/>
        </w:rPr>
        <w:t xml:space="preserve"> </w:t>
      </w:r>
      <w:r w:rsidR="00656204">
        <w:rPr>
          <w:rFonts w:ascii="Times New Roman" w:eastAsia="Times New Roman" w:hAnsi="Times New Roman" w:cs="Times New Roman"/>
          <w:sz w:val="28"/>
          <w:szCs w:val="28"/>
          <w:lang w:val="kk-KZ" w:eastAsia="ru-RU"/>
        </w:rPr>
        <w:fldChar w:fldCharType="begin"/>
      </w:r>
      <w:r w:rsidR="00CD052D">
        <w:rPr>
          <w:rFonts w:ascii="Times New Roman" w:eastAsia="Times New Roman" w:hAnsi="Times New Roman" w:cs="Times New Roman"/>
          <w:sz w:val="28"/>
          <w:szCs w:val="28"/>
          <w:lang w:val="kk-KZ" w:eastAsia="ru-RU"/>
        </w:rPr>
        <w:instrText xml:space="preserve"> ADDIN ZOTERO_ITEM CSL_CITATION {"citationID":"a22cqc7kn8b","properties":{"formattedCitation":"[154]","plainCitation":"[154]","noteIndex":0},"citationItems":[{"id":221,"uris":["http://zotero.org/users/16887523/items/Q33KW4I5"],"itemData":{"id":221,"type":"article-journal","abstract":"This research aims to identify the variables involved in the process of engagement \nbetween Higher Education Institutions and industry, using documentary techniques \nto design a measurement instrument. The research used qualitative methods, \ndocumentary techniques, conclusive, descriptive, and cross-sectional approaches. \nThe results show that the variables are focused on the subjects involved in the \ninteraction, considering the needs and context that lead to said interaction. \nTherefore, it was necessary to establish the elements for each subject of study that allow \nfor the evaluation of the engagement and the obtained products. However, quantitative \naspects were also established for the generation of indicators to measure engagement. The \nresearch concludes with the determination of the variables that are decisive in the \nconstruction of the engagement measurement instrument.","container-title":"Journal of Systems and Educational Management","DOI":"10.35429/JSEM.2025.12.29.2.1.7","ISSN":"2410-3977","journalAbbreviation":"JSEM","license":"https://creativecommons.org/licenses/by-nc-nd/4.0/","source":"DOI.org (Crossref)","title":"Variables that influence the process of linking Higher Education Institutions and Industry","URL":"https://www.ecorfan.org/bolivia/researchjournals/Sistemas_y_Gestion_Educativa/vol12num29/Journal_of_Systems_and_Educational_Management_V12_N29_2.pdf","author":[{"family":"Jimenez-Socua","given":"Javier David"},{"family":"Antonio-Vidaña","given":"Paula Rosalinda"},{"family":"Gómez-Sánchez","given":"Jesabel"},{"family":"Pérez Hérnandez","given":"Ivette"}],"accessed":{"date-parts":[["2025",11,23]]},"issued":{"date-parts":[["2025",9,30]]}}}],"schema":"https://github.com/citation-style-language/schema/raw/master/csl-citation.json"} </w:instrText>
      </w:r>
      <w:r w:rsidR="00656204">
        <w:rPr>
          <w:rFonts w:ascii="Times New Roman" w:eastAsia="Times New Roman" w:hAnsi="Times New Roman" w:cs="Times New Roman"/>
          <w:sz w:val="28"/>
          <w:szCs w:val="28"/>
          <w:lang w:val="kk-KZ" w:eastAsia="ru-RU"/>
        </w:rPr>
        <w:fldChar w:fldCharType="separate"/>
      </w:r>
      <w:r w:rsidR="009C6DCA" w:rsidRPr="009C6DCA">
        <w:rPr>
          <w:rFonts w:ascii="Times New Roman" w:hAnsi="Times New Roman" w:cs="Times New Roman"/>
          <w:sz w:val="28"/>
        </w:rPr>
        <w:t>[154]</w:t>
      </w:r>
      <w:r w:rsidR="00656204">
        <w:rPr>
          <w:rFonts w:ascii="Times New Roman" w:eastAsia="Times New Roman" w:hAnsi="Times New Roman" w:cs="Times New Roman"/>
          <w:sz w:val="28"/>
          <w:szCs w:val="28"/>
          <w:lang w:val="kk-KZ" w:eastAsia="ru-RU"/>
        </w:rPr>
        <w:fldChar w:fldCharType="end"/>
      </w:r>
      <w:r>
        <w:rPr>
          <w:rFonts w:ascii="Times New Roman" w:eastAsia="Times New Roman" w:hAnsi="Times New Roman" w:cs="Times New Roman"/>
          <w:sz w:val="28"/>
          <w:szCs w:val="28"/>
          <w:lang w:val="kk-KZ" w:eastAsia="ru-RU"/>
        </w:rPr>
        <w:t>;</w:t>
      </w:r>
    </w:p>
    <w:p w14:paraId="3679C404" w14:textId="40895F5E" w:rsidR="008252E9" w:rsidRPr="00656204" w:rsidRDefault="00A12459" w:rsidP="007F5E68">
      <w:pPr>
        <w:pStyle w:val="a3"/>
        <w:numPr>
          <w:ilvl w:val="0"/>
          <w:numId w:val="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lang w:val="kk-KZ" w:eastAsia="ru-RU"/>
        </w:rPr>
        <w:t>к</w:t>
      </w:r>
      <w:r w:rsidR="008252E9" w:rsidRPr="00656204">
        <w:rPr>
          <w:rFonts w:ascii="Times New Roman" w:hAnsi="Times New Roman" w:cs="Times New Roman"/>
          <w:sz w:val="28"/>
          <w:szCs w:val="28"/>
          <w:lang w:eastAsia="ru-RU"/>
        </w:rPr>
        <w:t xml:space="preserve">онтекстуальная адаптивность </w:t>
      </w:r>
      <w:r w:rsidR="009D20AE">
        <w:rPr>
          <w:rFonts w:ascii="Times New Roman" w:hAnsi="Times New Roman" w:cs="Times New Roman"/>
          <w:sz w:val="28"/>
          <w:szCs w:val="28"/>
          <w:lang w:eastAsia="ru-RU"/>
        </w:rPr>
        <w:t>–</w:t>
      </w:r>
      <w:r w:rsidR="008252E9" w:rsidRPr="00656204">
        <w:rPr>
          <w:rFonts w:ascii="Times New Roman" w:hAnsi="Times New Roman" w:cs="Times New Roman"/>
          <w:sz w:val="28"/>
          <w:szCs w:val="28"/>
          <w:lang w:eastAsia="ru-RU"/>
        </w:rPr>
        <w:t xml:space="preserve"> методика легко калибруется под разные масштабы предприятий и уровни цифровой зрелости: для МСП </w:t>
      </w:r>
      <w:r w:rsidR="009D20AE">
        <w:rPr>
          <w:rFonts w:ascii="Times New Roman" w:hAnsi="Times New Roman" w:cs="Times New Roman"/>
          <w:sz w:val="28"/>
          <w:szCs w:val="28"/>
          <w:lang w:eastAsia="ru-RU"/>
        </w:rPr>
        <w:t>–</w:t>
      </w:r>
      <w:r w:rsidR="008252E9" w:rsidRPr="00656204">
        <w:rPr>
          <w:rFonts w:ascii="Times New Roman" w:hAnsi="Times New Roman" w:cs="Times New Roman"/>
          <w:sz w:val="28"/>
          <w:szCs w:val="28"/>
          <w:lang w:eastAsia="ru-RU"/>
        </w:rPr>
        <w:t xml:space="preserve"> акцент на цифровую адаптацию, для крупных структур </w:t>
      </w:r>
      <w:r w:rsidR="009D20AE">
        <w:rPr>
          <w:rFonts w:ascii="Times New Roman" w:hAnsi="Times New Roman" w:cs="Times New Roman"/>
          <w:sz w:val="28"/>
          <w:szCs w:val="28"/>
          <w:lang w:eastAsia="ru-RU"/>
        </w:rPr>
        <w:t>–</w:t>
      </w:r>
      <w:r w:rsidR="008252E9" w:rsidRPr="00656204">
        <w:rPr>
          <w:rFonts w:ascii="Times New Roman" w:hAnsi="Times New Roman" w:cs="Times New Roman"/>
          <w:sz w:val="28"/>
          <w:szCs w:val="28"/>
          <w:lang w:eastAsia="ru-RU"/>
        </w:rPr>
        <w:t xml:space="preserve"> на комплексную цифровую трансформацию </w:t>
      </w:r>
      <w:r w:rsidR="00656204">
        <w:rPr>
          <w:rFonts w:ascii="Times New Roman" w:hAnsi="Times New Roman" w:cs="Times New Roman"/>
          <w:sz w:val="28"/>
          <w:szCs w:val="28"/>
          <w:lang w:eastAsia="ru-RU"/>
        </w:rPr>
        <w:fldChar w:fldCharType="begin"/>
      </w:r>
      <w:r w:rsidR="009C6DCA">
        <w:rPr>
          <w:rFonts w:ascii="Times New Roman" w:hAnsi="Times New Roman" w:cs="Times New Roman"/>
          <w:sz w:val="28"/>
          <w:szCs w:val="28"/>
          <w:lang w:eastAsia="ru-RU"/>
        </w:rPr>
        <w:instrText xml:space="preserve"> ADDIN ZOTERO_ITEM CSL_CITATION {"citationID":"a47ecbi803","properties":{"formattedCitation":"[155]","plainCitation":"[155]","noteIndex":0},"citationItems":[{"id":220,"uris":["http://zotero.org/users/16887523/items/VTZVTZ9D"],"itemData":{"id":220,"type":"article-journal","container-title":"Journal of International Business and Management","DOI":"10.37227/jibm-2024-10-6951","ISSN":"2616-4655, 2616-5163","issue":"11","journalAbbreviation":"JIBM","language":"en","page":"1-27","source":"DOI.org (Crossref)","title":"Fostering Innovation through Venture Capital in Kazakhstan","URL":"https://rpajournals.com/jibm-2024-10-6951/","volume":"7","author":[{"family":"Smagulova","given":"Gulnur"},{"family":"Goncalves","given":"Marcus"}],"accessed":{"date-parts":[["2025",11,23]]},"issued":{"date-parts":[["2024"]]}}}],"schema":"https://github.com/citation-style-language/schema/raw/master/csl-citation.json"} </w:instrText>
      </w:r>
      <w:r w:rsidR="00656204">
        <w:rPr>
          <w:rFonts w:ascii="Times New Roman" w:hAnsi="Times New Roman" w:cs="Times New Roman"/>
          <w:sz w:val="28"/>
          <w:szCs w:val="28"/>
          <w:lang w:eastAsia="ru-RU"/>
        </w:rPr>
        <w:fldChar w:fldCharType="separate"/>
      </w:r>
      <w:r w:rsidR="009C6DCA" w:rsidRPr="009C6DCA">
        <w:rPr>
          <w:rFonts w:ascii="Times New Roman" w:hAnsi="Times New Roman" w:cs="Times New Roman"/>
          <w:sz w:val="28"/>
        </w:rPr>
        <w:t>[155]</w:t>
      </w:r>
      <w:r w:rsidR="00656204">
        <w:rPr>
          <w:rFonts w:ascii="Times New Roman" w:hAnsi="Times New Roman" w:cs="Times New Roman"/>
          <w:sz w:val="28"/>
          <w:szCs w:val="28"/>
          <w:lang w:eastAsia="ru-RU"/>
        </w:rPr>
        <w:fldChar w:fldCharType="end"/>
      </w:r>
      <w:r>
        <w:rPr>
          <w:rFonts w:ascii="Times New Roman" w:hAnsi="Times New Roman" w:cs="Times New Roman"/>
          <w:sz w:val="28"/>
          <w:szCs w:val="28"/>
          <w:lang w:val="kk-KZ" w:eastAsia="ru-RU"/>
        </w:rPr>
        <w:t>.</w:t>
      </w:r>
    </w:p>
    <w:p w14:paraId="78618EB6" w14:textId="60DFA0F1" w:rsidR="008252E9" w:rsidRPr="008252E9" w:rsidRDefault="008252E9" w:rsidP="002F33D0">
      <w:pPr>
        <w:spacing w:after="0" w:line="240" w:lineRule="auto"/>
        <w:ind w:firstLine="567"/>
        <w:jc w:val="both"/>
        <w:rPr>
          <w:rFonts w:ascii="Times New Roman" w:eastAsia="Times New Roman" w:hAnsi="Times New Roman" w:cs="Times New Roman"/>
          <w:sz w:val="28"/>
          <w:szCs w:val="28"/>
          <w:lang w:eastAsia="ru-RU"/>
        </w:rPr>
      </w:pPr>
      <w:r w:rsidRPr="00656204">
        <w:rPr>
          <w:rFonts w:ascii="Times New Roman" w:eastAsia="Times New Roman" w:hAnsi="Times New Roman" w:cs="Times New Roman"/>
          <w:sz w:val="28"/>
          <w:szCs w:val="28"/>
          <w:lang w:eastAsia="ru-RU"/>
        </w:rPr>
        <w:t>Кроме того, данный подход обеспечивает связь между оценкой и управлением, что</w:t>
      </w:r>
      <w:r w:rsidRPr="008252E9">
        <w:rPr>
          <w:rFonts w:ascii="Times New Roman" w:eastAsia="Times New Roman" w:hAnsi="Times New Roman" w:cs="Times New Roman"/>
          <w:sz w:val="28"/>
          <w:szCs w:val="28"/>
          <w:lang w:eastAsia="ru-RU"/>
        </w:rPr>
        <w:t xml:space="preserve"> особенно важно для казахстанских предприятий, переходящих от фрагментарных инициатив к системным цифровым стратегиям. Он позволяет не только диагностировать текущий уровень инновационного потенциала, но и формировать управленческие решения по его наращиванию </w:t>
      </w:r>
      <w:r w:rsidR="009D20AE">
        <w:rPr>
          <w:rFonts w:ascii="Times New Roman" w:eastAsia="Times New Roman" w:hAnsi="Times New Roman" w:cs="Times New Roman"/>
          <w:sz w:val="28"/>
          <w:szCs w:val="28"/>
          <w:lang w:eastAsia="ru-RU"/>
        </w:rPr>
        <w:t>–</w:t>
      </w:r>
      <w:r w:rsidRPr="008252E9">
        <w:rPr>
          <w:rFonts w:ascii="Times New Roman" w:eastAsia="Times New Roman" w:hAnsi="Times New Roman" w:cs="Times New Roman"/>
          <w:sz w:val="28"/>
          <w:szCs w:val="28"/>
          <w:lang w:eastAsia="ru-RU"/>
        </w:rPr>
        <w:t xml:space="preserve"> через инвестиции в компетенции, цифровые технологии и организационные изменения.</w:t>
      </w:r>
    </w:p>
    <w:p w14:paraId="51ACE456" w14:textId="6383398B" w:rsidR="008252E9" w:rsidRPr="002D1D04" w:rsidRDefault="00D1423F" w:rsidP="002F33D0">
      <w:pPr>
        <w:spacing w:after="0" w:line="240" w:lineRule="auto"/>
        <w:ind w:firstLine="567"/>
        <w:jc w:val="both"/>
        <w:rPr>
          <w:rFonts w:ascii="Times New Roman" w:eastAsia="Times New Roman" w:hAnsi="Times New Roman" w:cs="Times New Roman"/>
          <w:sz w:val="28"/>
          <w:szCs w:val="28"/>
          <w:lang w:val="kk-KZ" w:eastAsia="ru-RU"/>
        </w:rPr>
      </w:pPr>
      <w:r w:rsidRPr="00D1423F">
        <w:rPr>
          <w:rFonts w:ascii="Times New Roman" w:eastAsia="Times New Roman" w:hAnsi="Times New Roman" w:cs="Times New Roman"/>
          <w:sz w:val="28"/>
          <w:szCs w:val="28"/>
          <w:lang w:eastAsia="ru-RU"/>
        </w:rPr>
        <w:t>Анализ эмпирических и теоретических исследований показывает, что основное ограничение инновационного развития обусловлено не столько дефицитом ресурсов, сколько неэффективностью институциональных и управленческих механизмов их перераспределения между секторами и уровнями предпринимательских структур</w:t>
      </w:r>
      <w:r w:rsidR="008252E9" w:rsidRPr="008252E9">
        <w:rPr>
          <w:rFonts w:ascii="Times New Roman" w:eastAsia="Times New Roman" w:hAnsi="Times New Roman" w:cs="Times New Roman"/>
          <w:sz w:val="28"/>
          <w:szCs w:val="28"/>
          <w:lang w:eastAsia="ru-RU"/>
        </w:rPr>
        <w:t xml:space="preserve"> </w:t>
      </w:r>
      <w:r w:rsidR="00656204">
        <w:rPr>
          <w:rFonts w:ascii="Times New Roman" w:eastAsia="Times New Roman" w:hAnsi="Times New Roman" w:cs="Times New Roman"/>
          <w:sz w:val="28"/>
          <w:szCs w:val="28"/>
          <w:lang w:eastAsia="ru-RU"/>
        </w:rPr>
        <w:fldChar w:fldCharType="begin"/>
      </w:r>
      <w:r w:rsidR="009C6DCA">
        <w:rPr>
          <w:rFonts w:ascii="Times New Roman" w:eastAsia="Times New Roman" w:hAnsi="Times New Roman" w:cs="Times New Roman"/>
          <w:sz w:val="28"/>
          <w:szCs w:val="28"/>
          <w:lang w:eastAsia="ru-RU"/>
        </w:rPr>
        <w:instrText xml:space="preserve"> ADDIN ZOTERO_ITEM CSL_CITATION {"citationID":"a2pklgcp613","properties":{"formattedCitation":"[144,145]","plainCitation":"[144,145]","noteIndex":0},"citationItems":[{"id":208,"uris":["http://zotero.org/users/16887523/items/DDC2C9ZY"],"itemData":{"id":208,"type":"article-journal","container-title":"Montenegrin Journal of Economics","DOI":"10.14254/1800-5845/2022.18-3.1","ISSN":"18005845, 18006698","issue":"3","journalAbbreviation":"MNJE","language":"en","page":"7-22","source":"DOI.org (Crossref)","title":"Medium and High-Tech Enterprises of Kazakhstan: Factors of Organization and Development of Innovation","title-short":"Medium and High-Tech Enterprises of Kazakhstan","URL":"https://mnje.com/sites/mnje.com/files/v18n3/007-022%20-%20Kurmanov%20et%20al.pdf","volume":"18","author":[{"family":"Kurmanov","given":"Nurlan"}],"accessed":{"date-parts":[["2025",11,23]]},"issued":{"date-parts":[["2022",7,1]]}}},{"id":210,"uris":["http://zotero.org/users/16887523/items/SSQWTKQD"],"itemData":{"id":210,"type":"article-journal","abstract":"Engineering education is undergoing a profound transformation driven\nby rapid technological advancement, industrial digitalization, and the\nglobal transition to Industry 4.0. In Kazakhstan, as in many post-Soviet\neconomies, engineering programs face mounting pressure to align with\nlabor market demands and contribute to regional development. Yet a\npersistent gap remains between graduate competencies and employer\nexpectations in the real sector. This study investigates the key factors\nshaping engineering education in the East Kazakhstan Region, with a\nfocus on aligning educational outcomes with labor market needs.\nUniversities and industrial enterprises are considered core stakeholders.\nThe research aims to identify the root causes of competency mismatches,\nassess the adaptability of higher education to industrial transformation,\nand offer practical recommendations for improvement. A mixedmethods design was employed, combining a structured stakeholder\nsurvey (n = 146), expert validation, policy analysis, and a review of\nsecondary data. Internal consistency was confirmed using Cronbach’s\nAlpha (α = 0.91), and exploratory factor analysis (EFA) in Jamovi\nidentified two principal components accounting for over 70% of the\nvariance. Key findings point to limited university–industry\ncollaboration, outdated curricula, and inadequate career guidance\nsystems as the main barriers. The study concludes with strategic\nrecommendations to strengthen the capacity of regional universities to\nproduce graduates who are better equipped for Industry 4.0.","container-title":"Journal of Mechanical Engineering","DOI":"10.24191/jmeche.v22i3.5680","ISSN":"18235514, 2550164X","issue":"3","journalAbbreviation":"JMechE","language":"en","page":"95-110","source":"DOI.org (Crossref)","title":"Factors Determining the Development of Engineering Education in the Labor Market and the Real Sector of the Economy of the East Kazakhstan Region","URL":"https://ir.uitm.edu.my/id/eprint/122914/1/122914.pdf","volume":"22","author":[{"family":"Denissova","given":"Oxana"},{"family":"Suieubayeva","given":"Saltanat"},{"family":"Zakimova","given":"Аlfiya"},{"family":"Mashekenova","given":"Assiya"},{"family":"Thinakaran","given":"Rajermani"},{"family":"Roseley","given":"Roselina"}],"accessed":{"date-parts":[["2025",11,23]]},"issued":{"date-parts":[["2025",9,15]]}}}],"schema":"https://github.com/citation-style-language/schema/raw/master/csl-citation.json"} </w:instrText>
      </w:r>
      <w:r w:rsidR="00656204">
        <w:rPr>
          <w:rFonts w:ascii="Times New Roman" w:eastAsia="Times New Roman" w:hAnsi="Times New Roman" w:cs="Times New Roman"/>
          <w:sz w:val="28"/>
          <w:szCs w:val="28"/>
          <w:lang w:eastAsia="ru-RU"/>
        </w:rPr>
        <w:fldChar w:fldCharType="separate"/>
      </w:r>
      <w:r w:rsidR="009C6DCA" w:rsidRPr="009C6DCA">
        <w:rPr>
          <w:rFonts w:ascii="Times New Roman" w:hAnsi="Times New Roman" w:cs="Times New Roman"/>
          <w:sz w:val="28"/>
        </w:rPr>
        <w:t>[144,145]</w:t>
      </w:r>
      <w:r w:rsidR="00656204">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val="kk-KZ" w:eastAsia="ru-RU"/>
        </w:rPr>
        <w:t xml:space="preserve">. </w:t>
      </w:r>
      <w:r w:rsidRPr="00D1423F">
        <w:rPr>
          <w:rFonts w:ascii="Times New Roman" w:eastAsia="Times New Roman" w:hAnsi="Times New Roman" w:cs="Times New Roman"/>
          <w:sz w:val="28"/>
          <w:szCs w:val="28"/>
          <w:lang w:eastAsia="ru-RU"/>
        </w:rPr>
        <w:t>В условиях Казахстана ресурсно-процессный подход пока не получил системного отражения в методиках оценки инновационного потенциала, что определяет научную новизну и авторский характер предлагаемого в диссертации подхода</w:t>
      </w:r>
      <w:r w:rsidR="002D1D04" w:rsidRPr="002D1D04">
        <w:rPr>
          <w:rFonts w:ascii="Times New Roman" w:eastAsia="Times New Roman" w:hAnsi="Times New Roman" w:cs="Times New Roman"/>
          <w:sz w:val="28"/>
          <w:szCs w:val="28"/>
          <w:lang w:val="kk-KZ" w:eastAsia="ru-RU"/>
        </w:rPr>
        <w:t>.</w:t>
      </w:r>
    </w:p>
    <w:p w14:paraId="27D8154D" w14:textId="2DF915D8" w:rsidR="008252E9" w:rsidRPr="00251026" w:rsidRDefault="00D1423F" w:rsidP="002F33D0">
      <w:pPr>
        <w:spacing w:after="0" w:line="240" w:lineRule="auto"/>
        <w:ind w:firstLine="567"/>
        <w:jc w:val="both"/>
        <w:rPr>
          <w:rFonts w:ascii="Times New Roman" w:eastAsia="Times New Roman" w:hAnsi="Times New Roman" w:cs="Times New Roman"/>
          <w:sz w:val="28"/>
          <w:szCs w:val="28"/>
          <w:lang w:val="kk-KZ" w:eastAsia="ru-RU"/>
        </w:rPr>
      </w:pPr>
      <w:r w:rsidRPr="00D1423F">
        <w:rPr>
          <w:rFonts w:ascii="Times New Roman" w:eastAsia="Times New Roman" w:hAnsi="Times New Roman" w:cs="Times New Roman"/>
          <w:sz w:val="28"/>
          <w:szCs w:val="28"/>
          <w:lang w:eastAsia="ru-RU"/>
        </w:rPr>
        <w:t xml:space="preserve">Применение ресурсно-процессного подхода представляется обоснованным в силу его способности объединять оценку ресурсной базы с анализом </w:t>
      </w:r>
      <w:r w:rsidRPr="00D1423F">
        <w:rPr>
          <w:rFonts w:ascii="Times New Roman" w:eastAsia="Times New Roman" w:hAnsi="Times New Roman" w:cs="Times New Roman"/>
          <w:sz w:val="28"/>
          <w:szCs w:val="28"/>
          <w:lang w:eastAsia="ru-RU"/>
        </w:rPr>
        <w:lastRenderedPageBreak/>
        <w:t>качественных аспектов инновационной динамики. Синтезируя результаты зарубежных и отечественных исследований, данный подход позволяет сформировать целостную методологическую платформу для разработки авторской методики оценки инновационного потенциала предпринимательских структур</w:t>
      </w:r>
      <w:r w:rsidR="00251026">
        <w:rPr>
          <w:rFonts w:ascii="Times New Roman" w:eastAsia="Times New Roman" w:hAnsi="Times New Roman" w:cs="Times New Roman"/>
          <w:sz w:val="28"/>
          <w:szCs w:val="28"/>
          <w:lang w:val="kk-KZ" w:eastAsia="ru-RU"/>
        </w:rPr>
        <w:t xml:space="preserve">. </w:t>
      </w:r>
    </w:p>
    <w:p w14:paraId="467E4463" w14:textId="6D2829D7" w:rsidR="002D1D04" w:rsidRPr="001922DD" w:rsidRDefault="002D1D04" w:rsidP="002F33D0">
      <w:pPr>
        <w:tabs>
          <w:tab w:val="left" w:pos="851"/>
        </w:tabs>
        <w:spacing w:after="0" w:line="240" w:lineRule="auto"/>
        <w:ind w:firstLine="567"/>
        <w:jc w:val="both"/>
        <w:rPr>
          <w:rFonts w:ascii="Times New Roman" w:hAnsi="Times New Roman" w:cs="Times New Roman"/>
          <w:b/>
          <w:sz w:val="28"/>
          <w:szCs w:val="28"/>
          <w:lang w:val="kk-KZ"/>
        </w:rPr>
      </w:pPr>
      <w:r w:rsidRPr="001922DD">
        <w:rPr>
          <w:rFonts w:ascii="Times New Roman" w:hAnsi="Times New Roman" w:cs="Times New Roman"/>
          <w:b/>
          <w:sz w:val="28"/>
          <w:szCs w:val="28"/>
          <w:lang w:val="kk-KZ"/>
        </w:rPr>
        <w:t>Выводы по разделу 1.</w:t>
      </w:r>
      <w:r w:rsidR="00A12459">
        <w:rPr>
          <w:rFonts w:ascii="Times New Roman" w:hAnsi="Times New Roman" w:cs="Times New Roman"/>
          <w:b/>
          <w:sz w:val="28"/>
          <w:szCs w:val="28"/>
          <w:lang w:val="kk-KZ"/>
        </w:rPr>
        <w:t>3</w:t>
      </w:r>
    </w:p>
    <w:p w14:paraId="49A0EA8E" w14:textId="77777777" w:rsidR="002D1D04" w:rsidRPr="002D1D04" w:rsidRDefault="002D1D04" w:rsidP="002F33D0">
      <w:pPr>
        <w:tabs>
          <w:tab w:val="left" w:pos="851"/>
        </w:tabs>
        <w:spacing w:after="0" w:line="240" w:lineRule="auto"/>
        <w:ind w:firstLine="567"/>
        <w:jc w:val="both"/>
        <w:rPr>
          <w:rFonts w:ascii="Times New Roman" w:hAnsi="Times New Roman" w:cs="Times New Roman"/>
          <w:sz w:val="28"/>
          <w:szCs w:val="28"/>
        </w:rPr>
      </w:pPr>
      <w:r w:rsidRPr="002D1D04">
        <w:rPr>
          <w:rFonts w:ascii="Times New Roman" w:hAnsi="Times New Roman" w:cs="Times New Roman"/>
          <w:sz w:val="28"/>
          <w:szCs w:val="28"/>
        </w:rPr>
        <w:t>Анализ эволюции методологических подходов показал, что оценка инновационного потенциала предприятий претерпела переход от индикативных систем количественных показателей к интегральным и процессно-ориентированным моделям. Современные методики акцентируют внимание не только на ресурсной обеспеченности, но и на механизмах их преобразования в инновационные результаты с учётом влияния цифровых факторов.</w:t>
      </w:r>
    </w:p>
    <w:p w14:paraId="3771F611" w14:textId="77777777" w:rsidR="002D1D04" w:rsidRPr="002D1D04" w:rsidRDefault="002D1D04" w:rsidP="002F33D0">
      <w:pPr>
        <w:tabs>
          <w:tab w:val="left" w:pos="851"/>
        </w:tabs>
        <w:spacing w:after="0" w:line="240" w:lineRule="auto"/>
        <w:ind w:firstLine="567"/>
        <w:jc w:val="both"/>
        <w:rPr>
          <w:rFonts w:ascii="Times New Roman" w:hAnsi="Times New Roman" w:cs="Times New Roman"/>
          <w:sz w:val="28"/>
          <w:szCs w:val="28"/>
        </w:rPr>
      </w:pPr>
      <w:r w:rsidRPr="002D1D04">
        <w:rPr>
          <w:rFonts w:ascii="Times New Roman" w:hAnsi="Times New Roman" w:cs="Times New Roman"/>
          <w:sz w:val="28"/>
          <w:szCs w:val="28"/>
        </w:rPr>
        <w:t>В условиях цифровой экономики ключевым направлением становится интеграция традиционных и цифровых инструментов измерения, основанных на больших данных, искусственном интеллекте и системах интеллектуального мониторинга. Это обеспечивает более точное и динамичное понимание инновационного потенциала, особенно в быстро меняющейся технологической среде.</w:t>
      </w:r>
    </w:p>
    <w:p w14:paraId="6C776F6B" w14:textId="77777777" w:rsidR="002D1D04" w:rsidRPr="002D1D04" w:rsidRDefault="002D1D04" w:rsidP="002F33D0">
      <w:pPr>
        <w:tabs>
          <w:tab w:val="left" w:pos="851"/>
        </w:tabs>
        <w:spacing w:after="0" w:line="240" w:lineRule="auto"/>
        <w:ind w:firstLine="567"/>
        <w:jc w:val="both"/>
        <w:rPr>
          <w:rFonts w:ascii="Times New Roman" w:hAnsi="Times New Roman" w:cs="Times New Roman"/>
          <w:sz w:val="28"/>
          <w:szCs w:val="28"/>
        </w:rPr>
      </w:pPr>
      <w:r w:rsidRPr="002D1D04">
        <w:rPr>
          <w:rFonts w:ascii="Times New Roman" w:hAnsi="Times New Roman" w:cs="Times New Roman"/>
          <w:sz w:val="28"/>
          <w:szCs w:val="28"/>
        </w:rPr>
        <w:t>Опыт Казахстана подтверждает необходимость адаптации международных методик к национальной специфике, что связано с неравномерностью цифровизации и институциональными особенностями. В этом контексте особую значимость приобретает переход к ресурсно-процессному подходу, который позволяет рассматривать инновационный потенциал как динамическую систему взаимодействующих ресурсов и процессов.</w:t>
      </w:r>
    </w:p>
    <w:p w14:paraId="2F3E2376" w14:textId="77777777" w:rsidR="002D1D04" w:rsidRDefault="002D1D04" w:rsidP="002F33D0">
      <w:pPr>
        <w:tabs>
          <w:tab w:val="left" w:pos="851"/>
        </w:tabs>
        <w:spacing w:after="0" w:line="240" w:lineRule="auto"/>
        <w:ind w:firstLine="567"/>
        <w:jc w:val="both"/>
        <w:rPr>
          <w:rFonts w:ascii="Times New Roman" w:hAnsi="Times New Roman" w:cs="Times New Roman"/>
          <w:sz w:val="28"/>
          <w:szCs w:val="28"/>
        </w:rPr>
      </w:pPr>
      <w:r w:rsidRPr="002D1D04">
        <w:rPr>
          <w:rFonts w:ascii="Times New Roman" w:hAnsi="Times New Roman" w:cs="Times New Roman"/>
          <w:sz w:val="28"/>
          <w:szCs w:val="28"/>
        </w:rPr>
        <w:t>Таким образом, в результате проведённого анализа обоснована целесообразность применения ресурсно-процессного подхода как современного инструмента комплексной и адаптивной оценки инновационного потенциала предпринимательских структур в условиях цифровой трансформации.</w:t>
      </w:r>
    </w:p>
    <w:p w14:paraId="51C65E75" w14:textId="77777777" w:rsidR="002D1D04" w:rsidRDefault="002D1D04" w:rsidP="002F33D0">
      <w:pPr>
        <w:tabs>
          <w:tab w:val="left" w:pos="851"/>
        </w:tabs>
        <w:spacing w:after="0" w:line="240" w:lineRule="auto"/>
        <w:ind w:firstLine="567"/>
        <w:jc w:val="both"/>
        <w:rPr>
          <w:rFonts w:ascii="Times New Roman" w:hAnsi="Times New Roman" w:cs="Times New Roman"/>
          <w:sz w:val="28"/>
          <w:szCs w:val="28"/>
        </w:rPr>
      </w:pPr>
    </w:p>
    <w:p w14:paraId="51AD990D" w14:textId="162B755B" w:rsidR="00E708C6" w:rsidRPr="00D76ADF" w:rsidRDefault="00E708C6" w:rsidP="002F33D0">
      <w:pPr>
        <w:tabs>
          <w:tab w:val="left" w:pos="851"/>
        </w:tabs>
        <w:spacing w:after="0" w:line="240" w:lineRule="auto"/>
        <w:ind w:firstLine="567"/>
        <w:jc w:val="both"/>
        <w:rPr>
          <w:rFonts w:ascii="Times New Roman" w:hAnsi="Times New Roman" w:cs="Times New Roman"/>
          <w:b/>
          <w:sz w:val="28"/>
          <w:szCs w:val="28"/>
        </w:rPr>
      </w:pPr>
      <w:r w:rsidRPr="00864339">
        <w:rPr>
          <w:rFonts w:ascii="Times New Roman" w:hAnsi="Times New Roman" w:cs="Times New Roman"/>
          <w:b/>
          <w:sz w:val="28"/>
          <w:szCs w:val="28"/>
        </w:rPr>
        <w:t xml:space="preserve">1.4 </w:t>
      </w:r>
      <w:r w:rsidR="00864339" w:rsidRPr="00864339">
        <w:rPr>
          <w:rFonts w:ascii="Times New Roman" w:hAnsi="Times New Roman" w:cs="Times New Roman"/>
          <w:b/>
          <w:sz w:val="28"/>
          <w:szCs w:val="28"/>
        </w:rPr>
        <w:t>Зарубежный опыт развития и проектирования инновационного потенциала предпринимательских структур</w:t>
      </w:r>
      <w:r w:rsidRPr="00864339">
        <w:rPr>
          <w:rFonts w:ascii="Times New Roman" w:hAnsi="Times New Roman" w:cs="Times New Roman"/>
          <w:b/>
          <w:sz w:val="28"/>
          <w:szCs w:val="28"/>
          <w:highlight w:val="yellow"/>
        </w:rPr>
        <w:t xml:space="preserve">  </w:t>
      </w:r>
    </w:p>
    <w:p w14:paraId="4725C83D" w14:textId="2CC2FAAF" w:rsidR="00D76ADF" w:rsidRPr="00D76ADF" w:rsidRDefault="00D76ADF" w:rsidP="002F33D0">
      <w:pPr>
        <w:tabs>
          <w:tab w:val="left" w:pos="1064"/>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 xml:space="preserve">Практика развитых и развивающихся стран демонстрирует, что устойчивое инновационное развитие невозможно без целенаправленного проектирования </w:t>
      </w:r>
      <w:r w:rsidR="009D20AE">
        <w:rPr>
          <w:rFonts w:ascii="Times New Roman" w:hAnsi="Times New Roman" w:cs="Times New Roman"/>
          <w:sz w:val="28"/>
          <w:szCs w:val="28"/>
          <w:lang w:val="kk-KZ"/>
        </w:rPr>
        <w:t>–</w:t>
      </w:r>
      <w:r w:rsidRPr="00D76ADF">
        <w:rPr>
          <w:rFonts w:ascii="Times New Roman" w:hAnsi="Times New Roman" w:cs="Times New Roman"/>
          <w:sz w:val="28"/>
          <w:szCs w:val="28"/>
          <w:lang w:val="kk-KZ"/>
        </w:rPr>
        <w:t xml:space="preserve"> как институционального, так и организационного </w:t>
      </w:r>
      <w:r w:rsidR="009D20AE">
        <w:rPr>
          <w:rFonts w:ascii="Times New Roman" w:hAnsi="Times New Roman" w:cs="Times New Roman"/>
          <w:sz w:val="28"/>
          <w:szCs w:val="28"/>
          <w:lang w:val="kk-KZ"/>
        </w:rPr>
        <w:t>–</w:t>
      </w:r>
      <w:r w:rsidRPr="00D76ADF">
        <w:rPr>
          <w:rFonts w:ascii="Times New Roman" w:hAnsi="Times New Roman" w:cs="Times New Roman"/>
          <w:sz w:val="28"/>
          <w:szCs w:val="28"/>
          <w:lang w:val="kk-KZ"/>
        </w:rPr>
        <w:t xml:space="preserve"> условий, способствующих накоплению, координации и реализации инновационного потенциала.</w:t>
      </w:r>
    </w:p>
    <w:p w14:paraId="2EEAD85C" w14:textId="5FEA2246" w:rsidR="00D76ADF" w:rsidRPr="00D76ADF" w:rsidRDefault="00D76ADF" w:rsidP="002F33D0">
      <w:pPr>
        <w:tabs>
          <w:tab w:val="left" w:pos="1064"/>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 xml:space="preserve">Мировой опыт свидетельствует, что эффективное проектирование инновационного потенциала невозможно без координации усилий государства, бизнеса и науки, а также внедрения гибких механизмов стратегического </w:t>
      </w:r>
      <w:r w:rsidRPr="00390E30">
        <w:rPr>
          <w:rFonts w:ascii="Times New Roman" w:hAnsi="Times New Roman" w:cs="Times New Roman"/>
          <w:sz w:val="28"/>
          <w:szCs w:val="28"/>
          <w:lang w:val="kk-KZ"/>
        </w:rPr>
        <w:t>управления, ориентированных на цифровую трансформацию. В этом контексте особое значение приобретают такие инструменты, как национальные программы поддержки инноваций (например, Industry 4.0 в Германии</w:t>
      </w:r>
      <w:r w:rsidR="00CE0BCE" w:rsidRPr="00390E30">
        <w:rPr>
          <w:rFonts w:ascii="Times New Roman" w:hAnsi="Times New Roman" w:cs="Times New Roman"/>
          <w:sz w:val="28"/>
          <w:szCs w:val="28"/>
          <w:lang w:val="kk-KZ"/>
        </w:rPr>
        <w:t xml:space="preserve"> </w:t>
      </w:r>
      <w:r w:rsidR="00CE0BCE" w:rsidRPr="00390E30">
        <w:rPr>
          <w:rFonts w:ascii="Times New Roman" w:hAnsi="Times New Roman" w:cs="Times New Roman"/>
          <w:sz w:val="28"/>
          <w:szCs w:val="28"/>
          <w:lang w:val="kk-KZ"/>
        </w:rPr>
        <w:fldChar w:fldCharType="begin"/>
      </w:r>
      <w:r w:rsidR="00CD052D">
        <w:rPr>
          <w:rFonts w:ascii="Times New Roman" w:hAnsi="Times New Roman" w:cs="Times New Roman"/>
          <w:sz w:val="28"/>
          <w:szCs w:val="28"/>
          <w:lang w:val="kk-KZ"/>
        </w:rPr>
        <w:instrText xml:space="preserve"> ADDIN ZOTERO_ITEM CSL_CITATION {"citationID":"a24ge62aea3","properties":{"formattedCitation":"[156]","plainCitation":"[156]","noteIndex":0},"citationItems":[{"id":223,"uris":["http://zotero.org/users/16887523/items/Y9JXPJY4"],"itemData":{"id":223,"type":"document","language":"English","publisher":"MPDV","title":"Products – MPDV Europe","URL":"https://www.mpdv.com/en/products","author":[{"literal":"MPDV Mikrolab GmbH"}]}}],"schema":"https://github.com/citation-style-language/schema/raw/master/csl-citation.json"} </w:instrText>
      </w:r>
      <w:r w:rsidR="00CE0BCE" w:rsidRPr="00390E30">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[156]</w:t>
      </w:r>
      <w:r w:rsidR="00CE0BCE" w:rsidRPr="00390E30">
        <w:rPr>
          <w:rFonts w:ascii="Times New Roman" w:hAnsi="Times New Roman" w:cs="Times New Roman"/>
          <w:sz w:val="28"/>
          <w:szCs w:val="28"/>
          <w:lang w:val="kk-KZ"/>
        </w:rPr>
        <w:fldChar w:fldCharType="end"/>
      </w:r>
      <w:r w:rsidRPr="00390E30">
        <w:rPr>
          <w:rFonts w:ascii="Times New Roman" w:hAnsi="Times New Roman" w:cs="Times New Roman"/>
          <w:sz w:val="28"/>
          <w:szCs w:val="28"/>
          <w:lang w:val="kk-KZ"/>
        </w:rPr>
        <w:t>, Smart Nation в Сингапуре</w:t>
      </w:r>
      <w:r w:rsidR="00390E30" w:rsidRPr="00390E30">
        <w:rPr>
          <w:rFonts w:ascii="Times New Roman" w:hAnsi="Times New Roman" w:cs="Times New Roman"/>
          <w:sz w:val="28"/>
          <w:szCs w:val="28"/>
          <w:lang w:val="kk-KZ"/>
        </w:rPr>
        <w:t xml:space="preserve"> </w:t>
      </w:r>
      <w:r w:rsidR="00390E30" w:rsidRPr="00390E30">
        <w:rPr>
          <w:rFonts w:ascii="Times New Roman" w:hAnsi="Times New Roman" w:cs="Times New Roman"/>
          <w:sz w:val="28"/>
          <w:szCs w:val="28"/>
          <w:lang w:val="kk-KZ"/>
        </w:rPr>
        <w:fldChar w:fldCharType="begin"/>
      </w:r>
      <w:r w:rsidR="00CD052D">
        <w:rPr>
          <w:rFonts w:ascii="Times New Roman" w:hAnsi="Times New Roman" w:cs="Times New Roman"/>
          <w:sz w:val="28"/>
          <w:szCs w:val="28"/>
          <w:lang w:val="kk-KZ"/>
        </w:rPr>
        <w:instrText xml:space="preserve"> ADDIN ZOTERO_ITEM CSL_CITATION {"citationID":"a2c0e6u74k3","properties":{"formattedCitation":"[157]","plainCitation":"[157]","noteIndex":0},"citationItems":[{"id":224,"uris":["http://zotero.org/users/16887523/items/2I9LEMIL"],"itemData":{"id":224,"type":"document","title":"The Smart Nation","URL":"https://www.smartnation.gov.sg/about/our-vision/smart-nation-vision/?utm_source=chatgpt.com","author":[{"literal":"Singapore Government Agency"}]}}],"schema":"https://github.com/citation-style-language/schema/raw/master/csl-citation.json"} </w:instrText>
      </w:r>
      <w:r w:rsidR="00390E30" w:rsidRPr="00390E30">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[157]</w:t>
      </w:r>
      <w:r w:rsidR="00390E30" w:rsidRPr="00390E30">
        <w:rPr>
          <w:rFonts w:ascii="Times New Roman" w:hAnsi="Times New Roman" w:cs="Times New Roman"/>
          <w:sz w:val="28"/>
          <w:szCs w:val="28"/>
          <w:lang w:val="kk-KZ"/>
        </w:rPr>
        <w:fldChar w:fldCharType="end"/>
      </w:r>
      <w:r w:rsidRPr="00390E30">
        <w:rPr>
          <w:rFonts w:ascii="Times New Roman" w:hAnsi="Times New Roman" w:cs="Times New Roman"/>
          <w:sz w:val="28"/>
          <w:szCs w:val="28"/>
          <w:lang w:val="kk-KZ"/>
        </w:rPr>
        <w:t>), цифровые платформы управления инновационной деятельностью, системы прогнозиро</w:t>
      </w:r>
      <w:r w:rsidR="0028484F" w:rsidRPr="00390E30">
        <w:rPr>
          <w:rFonts w:ascii="Times New Roman" w:hAnsi="Times New Roman" w:cs="Times New Roman"/>
          <w:sz w:val="28"/>
          <w:szCs w:val="28"/>
          <w:lang w:val="kk-KZ"/>
        </w:rPr>
        <w:t xml:space="preserve">вания </w:t>
      </w:r>
      <w:r w:rsidR="0028484F">
        <w:rPr>
          <w:rFonts w:ascii="Times New Roman" w:hAnsi="Times New Roman" w:cs="Times New Roman"/>
          <w:sz w:val="28"/>
          <w:szCs w:val="28"/>
          <w:lang w:val="kk-KZ"/>
        </w:rPr>
        <w:t>технологических изменений</w:t>
      </w:r>
      <w:r w:rsidRPr="00D76ADF">
        <w:rPr>
          <w:rFonts w:ascii="Times New Roman" w:hAnsi="Times New Roman" w:cs="Times New Roman"/>
          <w:sz w:val="28"/>
          <w:szCs w:val="28"/>
          <w:lang w:val="kk-KZ"/>
        </w:rPr>
        <w:t>, а также индексы цифровой и инновационной зрелости предприятий.</w:t>
      </w:r>
    </w:p>
    <w:p w14:paraId="3E814443" w14:textId="5380A755" w:rsidR="00221339" w:rsidRDefault="00D76ADF" w:rsidP="002F33D0">
      <w:pPr>
        <w:tabs>
          <w:tab w:val="left" w:pos="1064"/>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lastRenderedPageBreak/>
        <w:t xml:space="preserve">Международные практики демонстрируют разнообразие подходов к развитию и проектированию инновационного потенциала </w:t>
      </w:r>
      <w:r w:rsidR="009D20AE">
        <w:rPr>
          <w:rFonts w:ascii="Times New Roman" w:hAnsi="Times New Roman" w:cs="Times New Roman"/>
          <w:sz w:val="28"/>
          <w:szCs w:val="28"/>
          <w:lang w:val="kk-KZ"/>
        </w:rPr>
        <w:t>–</w:t>
      </w:r>
      <w:r w:rsidRPr="00D76ADF">
        <w:rPr>
          <w:rFonts w:ascii="Times New Roman" w:hAnsi="Times New Roman" w:cs="Times New Roman"/>
          <w:sz w:val="28"/>
          <w:szCs w:val="28"/>
          <w:lang w:val="kk-KZ"/>
        </w:rPr>
        <w:t xml:space="preserve"> от кластерной и экосистемной моделей в странах </w:t>
      </w:r>
      <w:r w:rsidRPr="00390E30">
        <w:rPr>
          <w:rFonts w:ascii="Times New Roman" w:hAnsi="Times New Roman" w:cs="Times New Roman"/>
          <w:sz w:val="28"/>
          <w:szCs w:val="28"/>
          <w:lang w:val="kk-KZ"/>
        </w:rPr>
        <w:t xml:space="preserve">ОЭСР </w:t>
      </w:r>
      <w:r w:rsidRPr="00D76ADF">
        <w:rPr>
          <w:rFonts w:ascii="Times New Roman" w:hAnsi="Times New Roman" w:cs="Times New Roman"/>
          <w:sz w:val="28"/>
          <w:szCs w:val="28"/>
          <w:lang w:val="kk-KZ"/>
        </w:rPr>
        <w:t>до целевых стратегий стимулирования предпринимательской активности и научно-технического прогресса в странах с переходной экономикой</w:t>
      </w:r>
      <w:r w:rsidR="00390E30">
        <w:rPr>
          <w:rFonts w:ascii="Times New Roman" w:hAnsi="Times New Roman" w:cs="Times New Roman"/>
          <w:sz w:val="28"/>
          <w:szCs w:val="28"/>
          <w:lang w:val="kk-KZ"/>
        </w:rPr>
        <w:t xml:space="preserve"> </w:t>
      </w:r>
      <w:r w:rsidR="00390E30">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{"citationID":"a2khuus32bn","properties":{"formattedCitation":"[158]","plainCitation":"[158]","noteIndex":0},"citationItems":[{"id":225,"uris":["http://zotero.org/users/16887523/items/Z4BDSSGA"],"itemData":{"id":225,"type":"article-journal","abstract":"Purpose:\n              of the study is to substantiate the relationship between cluster theory and ecosystem concepts on the basis of systematization of scientific research directions on the problem of economic clustering.\n            \n            \n              Methods:\n              the study is based on the theories of regional, spatial economics, innovative development, network and ecosystem economics, presented in the works of the Russian and foreign scientists. To solve the tasks set, general scientific methods (analysis, synthesis, description, comparison, induction, historical, classification, etc.) and special methods (bibliometric and content analysis of literature, statistical) were used. In order to conduct bibliometric analysis, a standardized methodology for exploratory analytics was applied using the tools provided in modern computer data analysis packages.\n            \n            \n              Results:\n              on the basis of thematic selections from the Scopus database, the systematization of the most cited scientific publications on the problem of cluster development, published for the period 1997-2022 was carried out. A qualitative content analysis of the content of text arrays, followed by a meaningful interpretation of the identified patterns, made it possible to group the main directions of scientific thought in this area and identify promising areas for the further research. A conceptual scheme for the evolution of the formation and development of the cluster concept: the key theories and approaches that determined the trajectory of its development are identified.\n            \n            \n              Conclusions and Relevance\n              : the hypothesis that the ecosystem concept is an evolutionary development of cluster theory is confirmed. It is concluded that in the future the topic of innovative ecosystems is highly likely to move into the category of the basic ones devoted to cluster development. Despite the similarity (in the first approximation) of clusters and ecosystems, these approaches differ fundamentally in many criteria, primarily in terms of the proposed mechanisms for building interaction between participants, organization and regulation. In order to use the ecosystem approach in the practice of regional and industrial policy, its further conceptual, methodological and instrumental support is necessary.","container-title":"МИР (Модернизация. Инновации. Развитие)","DOI":"10.18184/2079-4665.2023.14.1.106-125","ISSN":"2411-796X, 2079-4665","issue":"1","journalAbbreviation":"Mod. innov. razvit.","license":"https://www.mir-nayka.com/jour/about/editorialPolicies#openAccessPolicy","page":"106-125","source":"DOI.org (Crossref)","title":"Эволюция концепции кластерного развития: от агломерационной теории к экосистемам","title-short":"Evolution of the cluster development concept","URL":"https://www.mir-nayka.com/jour/article/view/1416","volume":"14","author":[{"family":"Гамидуллаева","given":"Л.А."},{"family":"Страхов","given":"Е.П."}],"accessed":{"date-parts":[["2025",11,23]]},"issued":{"date-parts":[["2023"]]}}}],"schema":"https://github.com/citation-style-language/schema/raw/master/csl-citation.json"} </w:instrText>
      </w:r>
      <w:r w:rsidR="00390E30">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[158]</w:t>
      </w:r>
      <w:r w:rsidR="00390E30">
        <w:rPr>
          <w:rFonts w:ascii="Times New Roman" w:hAnsi="Times New Roman" w:cs="Times New Roman"/>
          <w:sz w:val="28"/>
          <w:szCs w:val="28"/>
          <w:lang w:val="kk-KZ"/>
        </w:rPr>
        <w:fldChar w:fldCharType="end"/>
      </w:r>
      <w:r w:rsidRPr="00D76ADF">
        <w:rPr>
          <w:rFonts w:ascii="Times New Roman" w:hAnsi="Times New Roman" w:cs="Times New Roman"/>
          <w:sz w:val="28"/>
          <w:szCs w:val="28"/>
          <w:lang w:val="kk-KZ"/>
        </w:rPr>
        <w:t>. Их анализ представляет научный интерес не только в сравнительном аспекте, но и с точки зрения возможности их адаптации в условиях Казахстана, где в рамках ресурсно-процессного подхода к оценке инновационного потенциала требуется практико-ориентированная поддержка стратегического проектирования.</w:t>
      </w:r>
    </w:p>
    <w:p w14:paraId="12B1C1FE" w14:textId="77777777" w:rsidR="00D76ADF" w:rsidRPr="00D76ADF" w:rsidRDefault="00D76ADF" w:rsidP="002F33D0">
      <w:pPr>
        <w:tabs>
          <w:tab w:val="left" w:pos="1064"/>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В научной и прикладной литературе термин «проектирование инновационного потенциала» всё чаще используется в контексте стратегического и опережающего управления инновационным развитием. В отличие от оценки, которая фиксирует текущее состояние ресурсов и условий, и от управления, предполагающего тактическое перераспределение уже доступных активов, проектирование акцентирует внимание на формировании будущих возможностей предприятия, отрасли или национальной экономики для устойчивого инновационного роста.</w:t>
      </w:r>
    </w:p>
    <w:p w14:paraId="6EEA484A" w14:textId="6E5AB36B" w:rsidR="00D76ADF" w:rsidRPr="00D76ADF" w:rsidRDefault="00D76ADF" w:rsidP="002F33D0">
      <w:pPr>
        <w:tabs>
          <w:tab w:val="left" w:pos="1064"/>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Проектирование инновационного потенциала трактуется как процесс целенаправленного создания организационно-экономических, институциональных и технологических условий, необходимых для формирования и реализации способности субъектов предпринимательства к инновацио</w:t>
      </w:r>
      <w:r w:rsidR="0028484F">
        <w:rPr>
          <w:rFonts w:ascii="Times New Roman" w:hAnsi="Times New Roman" w:cs="Times New Roman"/>
          <w:sz w:val="28"/>
          <w:szCs w:val="28"/>
          <w:lang w:val="kk-KZ"/>
        </w:rPr>
        <w:t>нной деятельности в перспективе</w:t>
      </w:r>
      <w:r w:rsidRPr="00D76ADF">
        <w:rPr>
          <w:rFonts w:ascii="Times New Roman" w:hAnsi="Times New Roman" w:cs="Times New Roman"/>
          <w:sz w:val="28"/>
          <w:szCs w:val="28"/>
          <w:lang w:val="kk-KZ"/>
        </w:rPr>
        <w:t>. Это понятие включает не только определение ресурсной базы, но и выстраивание процессов, обеспечивающих накопление, трансформацию и использование знаний, компетенций и технологий в условиях цифровой экономики.</w:t>
      </w:r>
    </w:p>
    <w:p w14:paraId="47FF4739" w14:textId="7C6F015C" w:rsidR="00D76ADF" w:rsidRPr="00D76ADF" w:rsidRDefault="00D76ADF" w:rsidP="002F33D0">
      <w:pPr>
        <w:tabs>
          <w:tab w:val="left" w:pos="1064"/>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В зарубежных подходах проектирование инновационного потенциала рассматривается как элемент государственной инновационной политики и стратегического развития предприятий. Оно вклю</w:t>
      </w:r>
      <w:r w:rsidR="0028484F">
        <w:rPr>
          <w:rFonts w:ascii="Times New Roman" w:hAnsi="Times New Roman" w:cs="Times New Roman"/>
          <w:sz w:val="28"/>
          <w:szCs w:val="28"/>
          <w:lang w:val="kk-KZ"/>
        </w:rPr>
        <w:t>чает построение «дорожных карт»</w:t>
      </w:r>
      <w:r w:rsidRPr="00D76ADF">
        <w:rPr>
          <w:rFonts w:ascii="Times New Roman" w:hAnsi="Times New Roman" w:cs="Times New Roman"/>
          <w:sz w:val="28"/>
          <w:szCs w:val="28"/>
          <w:lang w:val="kk-KZ"/>
        </w:rPr>
        <w:t xml:space="preserve">, формирование кластеров, создание цифровых платформ, организацию совместных исследовательских инициатив, внедрение механизмов технологического форсайта и институционализацию партнёрств между </w:t>
      </w:r>
      <w:r w:rsidR="0028484F">
        <w:rPr>
          <w:rFonts w:ascii="Times New Roman" w:hAnsi="Times New Roman" w:cs="Times New Roman"/>
          <w:sz w:val="28"/>
          <w:szCs w:val="28"/>
          <w:lang w:val="kk-KZ"/>
        </w:rPr>
        <w:t>бизнесом, наукой и государством</w:t>
      </w:r>
      <w:r w:rsidR="00390E30">
        <w:rPr>
          <w:rFonts w:ascii="Times New Roman" w:hAnsi="Times New Roman" w:cs="Times New Roman"/>
          <w:sz w:val="28"/>
          <w:szCs w:val="28"/>
          <w:lang w:val="kk-KZ"/>
        </w:rPr>
        <w:t xml:space="preserve"> </w:t>
      </w:r>
      <w:r w:rsidR="00390E30">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{"citationID":"a2h3tnr9f6e","properties":{"formattedCitation":"[159\\uc0\\u8211{}161]","plainCitation":"[159–161]","noteIndex":0},"citationItems":[{"id":227,"uris":["http://zotero.org/users/16887523/items/Y9IDUQSC"],"itemData":{"id":227,"type":"article-journal","abstract":"The study presents a methodological approach to the development and implementation of an innovative strategy for printing enterprises, based on the use of a scenario approach – a technological roadmap and the foresight method. Technological roadmaps for the development of innovation activity are formed in a cascade: first, for a network Association of printing enterprises, scenarios were developed on its basis for each of the studied Enterprises – LLC «Vesna» and PE «Phoenix». When drawing up the technological roadmap, the foresight method was used as a tool for implementing innovation policy. The advantages of the approach are visualization of the process of forming and implementing the innovation policy of a network Association: defining long-term goals and priority areas and areas of activity, technologies, products and innovations to achieve the goals, as well as the ability to adjust the developed scenario both at the planning stage and during its implementation.","container-title":"State and Regions. Series: Economics and Business","DOI":"10.32782/1814-1161/2025-2-14","ISSN":"18141161, 27070719","issue":"136","journalAbbreviation":"State and Regions. Series: Economics and Business","page":"96-103","source":"DOI.org (Crossref)","title":"USE OF FORESIGHT TECHNOLOGIES AND ROADMAPS IN STRATEGIC MANAGEMENT OF MARKETING INNOVATION ACTIVITIES OF ENTERPRISES","URL":"http://www.econom.stateandregions.zp.ua/journal/2025/2_2025/16.pdf","volume":"2","author":[{"family":"Shaban","given":"Kateryna"},{"family":"Karbovska","given":"Lіubov"},{"family":"Zhelezniak","given":"Kateryna"}],"accessed":{"date-parts":[["2025",11,23]]},"issued":{"date-parts":[["2025"]]}}},{"id":228,"uris":["http://zotero.org/users/16887523/items/NKKMWW8Q"],"itemData":{"id":228,"type":"chapter","abstract":"The growing complexity of innovation has led to transition to an open innovation approach. Achieving sustainable economic growth based on knowledge and innovation depends on the efficiency and intensity of interactions between the government, business sector, and academia. Searching for ways to improve the innovation performance of small and medium-sized enterprises is high on the agendas of policy makers in developed and even more in developing countries. Through innovation policy, a favorable environment and stimulating system is created in which innovation activities are realized, information and knowledge are flowed, and cooperation between different actors is established. Academia plays a key role in the open innovation approach and is perhaps the most important partner for small and medium-sized enterprises. The subject of the research is the effects of innovation policy support on science to business collaboration in Serbia, with additional emphasis on the national innovation system and innovation performance of Serbia.","container-title":"Research Anthology on Business Law, Policy, and Social Responsibility","DOI":"10.4018/979-8-3693-2045-7.ch081","ISBN":"979-8-3693-2045-7","language":"ng","page":"1608-1628","publisher":"IGI Global","source":"DOI.org (Crossref)","title":"The Effects of Innovation Policy on Science-to-Business Collaboration: The Case of Serbia","title-short":"The Effects of Innovation Policy on Science-to-Business Collaboration","URL":"https://services.igi-global.com/resolvedoi/resolve.aspx?doi=10.4018/979-8-3693-2045-7.ch081","editor":[{"family":"Management Association","given":"Information Resources"}],"author":[{"family":"Beraha","given":"Isidora Avram"},{"family":"Đuričin","given":"Sonja Obrad"}],"accessed":{"date-parts":[["2025",11,23]]},"issued":{"date-parts":[["2023",12,21]]}}},{"id":229,"uris":["http://zotero.org/users/16887523/items/DSZMUN56"],"itemData":{"id":229,"type":"chapter","container-title":"Science, Technology and Innovation Policy for the Future","DOI":"10.1007/978-3-642-31827-6_1","ISBN":"978-3-642-31826-9","language":"en","page":"1-7","publisher":"Springer Berlin Heidelberg","publisher-place":"Berlin, Heidelberg","source":"DOI.org (Crossref)","title":"The Meaning of Foresight for Science, Technology and Innovation Policy","URL":"http://link.springer.com/10.1007/978-3-642-31827-6_1","editor":[{"family":"Meissner","given":"Dirk"},{"family":"Gokhberg","given":"Leonid"},{"family":"Sokolov","given":"Alexander"}],"author":[{"family":"Meissner","given":"Dirk"},{"family":"Gokhberg","given":"Leonid"},{"family":"Sokolov","given":"Alexander"}],"accessed":{"date-parts":[["2025",11,23]]},"issued":{"date-parts":[["2013"]]}}}],"schema":"https://github.com/citation-style-language/schema/raw/master/csl-citation.json"} </w:instrText>
      </w:r>
      <w:r w:rsidR="00390E30">
        <w:rPr>
          <w:rFonts w:ascii="Times New Roman" w:hAnsi="Times New Roman" w:cs="Times New Roman"/>
          <w:sz w:val="28"/>
          <w:szCs w:val="28"/>
          <w:lang w:val="kk-KZ"/>
        </w:rPr>
        <w:fldChar w:fldCharType="separate"/>
      </w:r>
      <w:r w:rsidR="009C6DCA" w:rsidRPr="009C6DCA">
        <w:rPr>
          <w:rFonts w:ascii="Times New Roman" w:hAnsi="Times New Roman" w:cs="Times New Roman"/>
          <w:sz w:val="28"/>
          <w:szCs w:val="24"/>
        </w:rPr>
        <w:t>[159–161]</w:t>
      </w:r>
      <w:r w:rsidR="00390E30">
        <w:rPr>
          <w:rFonts w:ascii="Times New Roman" w:hAnsi="Times New Roman" w:cs="Times New Roman"/>
          <w:sz w:val="28"/>
          <w:szCs w:val="28"/>
          <w:lang w:val="kk-KZ"/>
        </w:rPr>
        <w:fldChar w:fldCharType="end"/>
      </w:r>
      <w:r w:rsidRPr="00D76ADF">
        <w:rPr>
          <w:rFonts w:ascii="Times New Roman" w:hAnsi="Times New Roman" w:cs="Times New Roman"/>
          <w:sz w:val="28"/>
          <w:szCs w:val="28"/>
          <w:lang w:val="kk-KZ"/>
        </w:rPr>
        <w:t>.</w:t>
      </w:r>
    </w:p>
    <w:p w14:paraId="18116E98" w14:textId="77777777" w:rsidR="00D76ADF" w:rsidRPr="00D76ADF" w:rsidRDefault="00D76ADF" w:rsidP="002F33D0">
      <w:pPr>
        <w:tabs>
          <w:tab w:val="left" w:pos="1064"/>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С учётом вышеизложенного, в рамках настоящего исследования под проектированием инновационного потенциала предпринимательских структур предлагается понимать комплексную, целенаправленную деятельность, направленную на создание условий для устойчивого развития инновационного потенциала, включая разработку стратегических целей, институциональных механизмов, организационно-управленческих структур и цифровых инструментов, обеспечивающих реализацию инновационного развития в условиях быстро меняющейся технологической среды.</w:t>
      </w:r>
    </w:p>
    <w:p w14:paraId="393B798E" w14:textId="3E5510EE" w:rsidR="00D76ADF" w:rsidRDefault="00D76ADF" w:rsidP="002F33D0">
      <w:pPr>
        <w:tabs>
          <w:tab w:val="left" w:pos="1064"/>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 xml:space="preserve">Такое понимание проектирования соотносится с ресурсно-процессным подходом, принятым в данной работе, где внимание уделяется не только наличию ресурсов, но и механизмам их эффективной трансформации в инновационные результаты. Проектирование в данном контексте </w:t>
      </w:r>
      <w:r w:rsidRPr="00D76ADF">
        <w:rPr>
          <w:rFonts w:ascii="Times New Roman" w:hAnsi="Times New Roman" w:cs="Times New Roman"/>
          <w:sz w:val="28"/>
          <w:szCs w:val="28"/>
          <w:lang w:val="kk-KZ"/>
        </w:rPr>
        <w:lastRenderedPageBreak/>
        <w:t>рассматривается как связующее звено между стратегическим видением и операционным управлением инновациями на уровне предприятия, отрасли и государства.</w:t>
      </w:r>
    </w:p>
    <w:p w14:paraId="485EA92E" w14:textId="50FF1F35" w:rsidR="00D76ADF" w:rsidRPr="00D76ADF" w:rsidRDefault="00D76ADF" w:rsidP="002F33D0">
      <w:pPr>
        <w:tabs>
          <w:tab w:val="left" w:pos="1064"/>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В странах с развитой экономикой проектирование инновационного потенциала реализуется через институционально выстроенные стратегии, ориентированные на долгосрочное технологическое лидерство. Основу таких моделей составляет тесное взаимодействие между государством, бизнесом и научным сектором, а также системная поддержка цифровых и инновационных инициатив на всех уровнях управления</w:t>
      </w:r>
      <w:r w:rsidR="00BA1CAE">
        <w:rPr>
          <w:rFonts w:ascii="Times New Roman" w:hAnsi="Times New Roman" w:cs="Times New Roman"/>
          <w:sz w:val="28"/>
          <w:szCs w:val="28"/>
          <w:lang w:val="kk-KZ"/>
        </w:rPr>
        <w:t xml:space="preserve"> </w:t>
      </w:r>
      <w:r w:rsidR="00BA1CAE">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{"citationID":"a25r23iqp5j","properties":{"formattedCitation":"[162\\uc0\\u8211{}165]","plainCitation":"[162–165]","noteIndex":0},"citationItems":[{"id":230,"uris":["http://zotero.org/users/16887523/items/6MT8Y5BS"],"itemData":{"id":230,"type":"article-journal","abstract":"A new direction of science, technology and innovation policy, initiated by the Organization for Economic Cooperation and Development (OECD), has been investigated. The proposed OECD paradigm of new mission-oriented policies encompasses initiatives aimed at overcoming public challenges in the world and achieving the Sustainable Development Goals 2030 (UN), which is especially relevant for Ukraine. The general characteristics of the instruments of political influence and interaction are given. These instruments are the “mix” of policies that aim to implement direct and indirect forms of support. The examples of developing the national strategic documents and supporting a sustainable economy in the OECD member countries are considered. Highly developed countries introduce special instruments that promote breakthrough innovations to implement strategic priorities. The OECD notes the feasibility of creating different types of institutions that will be responsible for defining national strategies and shaping science, technology and innovation policies. The challenges and trends of political support for innovative business by the OECD member countries are described. The governments of these countries are initiating the formation of new directions and the use of new public policy instruments, in particular: a combination of fiscal instruments and direct support instruments, simplified access to financing schemes and increased transparency through the creation of a “single window” or digital support services, etc.","container-title":"Science, technologies, innovation","DOI":"10.35668/2520-6524-2020-3-03","ISSN":"2520-6524","issue":"3(15)","page":"25-32","source":"DOI.org (Crossref)","title":"New trends in the development of scientific, technological and innovation policies of the world countries: the OECD vision","title-short":"New trends in the development of scientific, technological and innovation policies of the world countries","URL":"http://nti.ukrintei.ua/?page_id=3021&amp;lang=en","author":[{"family":"Berezniak","given":"N. V."},{"family":"Shabranska","given":"N. I."}],"accessed":{"date-parts":[["2025",11,23]]},"issued":{"date-parts":[["2020"]]}}},{"id":231,"uris":["http://zotero.org/users/16887523/items/RALLQ4XN"],"itemData":{"id":231,"type":"article-journal","abstract":"The modern world lives in a digital transformation. Many researchers consider this period to be a new technological paradigm or a digital economy. The widespread digitalisation of production and management processes not only affects the processes of global globalization, but also contributes to the rapid growth of the economy, enhancing living standards. While the global economy identifies some common characteristics of the development of the digital economy, there is no consistent methodological approach. The Russian Federation in the world scores to evaluate the development of the digital economy, in general, is in the group of developing countries. Therefore, at the state level, the digital transformation is recognized as a strategic priority for Russia's developers. Since 2014, the development strategy of Russia has been the National Technology Initiative (NTI), a long-term program to create new markets and lay the groundwork for Russia's technological leadership by 2035. Its first steps served as a foundation for the adoption of the national project “Digital Economy of the Russian Federation”. This study analyses the implementation of joint government and corporate efforts in this direction. It was revealed that the main NTI operators are both state institutions (state investment bank “Bank VEB”, “Innovation Promotion Fund”), and business partially government-owned communities – Agency for Strategic Initiatives (ASI), Russian Venture Company (RVC). Based on the analysis of NTI roadmaps and events, a model of institutions to support the digital economy in Russia has been built. The conclusion concerns the overall support of the State during the construction of an ecosystem of technological entrepreneurship. At the same time, there is a certain differentiation of the NTI infrastructure, tending towards large subjects of the Russian Federation with a high level of Information and Communication Technologies (ICT) development - Moscow and St. Petersburg.","container-title":"European Project Management Journal","DOI":"10.56889/ljnt2808","ISSN":"25604961","issue":"1","journalAbbreviation":"EPMJ","page":"50-60","source":"DOI.org (Crossref)","title":"Development of Infrastructure to Support the National Technological Initiative: The Case of the Russian Federation","title-short":"Development of Infrastructure to Support the National Technological Initiative","URL":"https://epmj.org/journals/development-of-infrastructure-to-support-the-national-technological-initiative-the-case-of-the-russian-federation/","volume":"13","author":[{"family":"Nikolaeva","given":"Irina"},{"family":"Struchkova","given":"Tatiana"},{"family":"Ivanov","given":"Nikolay"},{"family":"Tsynzak","given":"Marina"}],"accessed":{"date-parts":[["2025",11,23]]},"issued":{"date-parts":[["2023",4]]}}},{"id":232,"uris":["http://zotero.org/users/16887523/items/TNRIHU2R"],"itemData":{"id":232,"type":"article-journal","abstract":"Countries increasingly rely on development institutions to enhance the technological capacity of their national economies and secure technological sovereignty. This study seeks to develop a conceptual framework for achieving collective technological sovereignty between Russia and China, taking into account their different positions within the global digital hierarchy. It also aims to identify Chinese institutional practices that could be effectively adapted for use in Russia. The analysis confirms two hypotheses: (1) that collective technological sovereignty is attainable despite the asymmetry in global positioning between Russia and China; and (2) that China’s technological advancement has been significantly supported by its development institutions. The study’s theoretical contribution includes a set of principles for collective technological sovereignty. Methodologically, the study follows a three-stage comparative framework: (1) content analysis of national technological development strategies; (2) identification of key development institutions; and (3) assessment of institutional effectiveness. The findings suggest that a shared theoretical understanding among Chinese and Russian experts contributes to the formation of a joint technological framework grounded in compatible institutional conditions. Both countries have established systems of technological development institutions with distinctive national features. In China, a multi-level institutional framework tailored to industries at varying stages of technological maturity has contributed to its rise in the global hierarchy. The application of specific Chinese approaches may enable Russia to move closer to technological leadership.","container-title":"Экономика региона","DOI":"10.17059/ekon.reg.2025-3-12","ISSN":"20726414, 24111406","issue":"3","journalAbbreviation":"EoR","page":"741-757","source":"DOI.org (Crossref)","title":"Участие институтов развития в технологизации экономики китая и России: компаративный анализ","title-short":"Development Institutions and the Pursuit of Technological Sovereignty","URL":"https://economyofregions.org/ojs/index.php/er/article/view/1130/460","volume":"21","author":[{"family":"Цзян","given":"Ц."},{"family":"Фролова","given":"E. Д."},{"family":"Фролов","given":"A. A."}],"accessed":{"date-parts":[["2025",11,23]]},"issued":{"date-parts":[["2025"]]}}},{"id":233,"uris":["http://zotero.org/users/16887523/items/SQTDNRFV"],"itemData":{"id":233,"type":"chapter","container-title":"Challenges of the Modern Economy","DOI":"10.1007/978-3-031-29364-1_53","ISBN":"978-3-031-29363-4","language":"en","note":"collection-title: Advances in Science, Technology &amp; Innovation","page":"271-274","publisher":"Springer International Publishing","publisher-place":"Cham","source":"DOI.org (Crossref)","title":"Cluster as a Form of Interaction Between Government, Business, and Science","URL":"https://link.springer.com/10.1007/978-3-031-29364-1_53","editor":[{"family":"Buchaev","given":"Yakhya G."},{"family":"Abdulkadyrov","given":"Arsen S."},{"family":"Ragulina","given":"Julia V."},{"family":"Khachaturyan","given":"Arutyun A."},{"family":"Popkova","given":"Elena G."}],"author":[{"family":"Dubinina","given":"Elvira V."},{"family":"Zhilina","given":"Ekaterina V."},{"family":"Musina","given":"Guzel A."},{"family":"Nikitina","given":"Angelica A."},{"family":"Sabirova","given":"Zulfiya Z."}],"accessed":{"date-parts":[["2025",11,23]]},"issued":{"date-parts":[["2023"]]}}}],"schema":"https://github.com/citation-style-language/schema/raw/master/csl-citation.json"} </w:instrText>
      </w:r>
      <w:r w:rsidR="00BA1CAE">
        <w:rPr>
          <w:rFonts w:ascii="Times New Roman" w:hAnsi="Times New Roman" w:cs="Times New Roman"/>
          <w:sz w:val="28"/>
          <w:szCs w:val="28"/>
          <w:lang w:val="kk-KZ"/>
        </w:rPr>
        <w:fldChar w:fldCharType="separate"/>
      </w:r>
      <w:r w:rsidR="009C6DCA" w:rsidRPr="009C6DCA">
        <w:rPr>
          <w:rFonts w:ascii="Times New Roman" w:hAnsi="Times New Roman" w:cs="Times New Roman"/>
          <w:sz w:val="28"/>
          <w:szCs w:val="24"/>
        </w:rPr>
        <w:t>[162–165]</w:t>
      </w:r>
      <w:r w:rsidR="00BA1CAE">
        <w:rPr>
          <w:rFonts w:ascii="Times New Roman" w:hAnsi="Times New Roman" w:cs="Times New Roman"/>
          <w:sz w:val="28"/>
          <w:szCs w:val="28"/>
          <w:lang w:val="kk-KZ"/>
        </w:rPr>
        <w:fldChar w:fldCharType="end"/>
      </w:r>
      <w:r w:rsidRPr="00D76ADF">
        <w:rPr>
          <w:rFonts w:ascii="Times New Roman" w:hAnsi="Times New Roman" w:cs="Times New Roman"/>
          <w:sz w:val="28"/>
          <w:szCs w:val="28"/>
          <w:lang w:val="kk-KZ"/>
        </w:rPr>
        <w:t>.</w:t>
      </w:r>
    </w:p>
    <w:p w14:paraId="2A6EB759" w14:textId="4ADB7EAB" w:rsidR="00D76ADF" w:rsidRPr="00D76ADF" w:rsidRDefault="00D76ADF" w:rsidP="002F33D0">
      <w:pPr>
        <w:tabs>
          <w:tab w:val="left" w:pos="1064"/>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 xml:space="preserve">Германия демонстрирует один из наиболее сбалансированных подходов к проектированию инновационного потенциала </w:t>
      </w:r>
      <w:r w:rsidR="00BA1CAE">
        <w:rPr>
          <w:rFonts w:ascii="Times New Roman" w:hAnsi="Times New Roman" w:cs="Times New Roman"/>
          <w:sz w:val="28"/>
          <w:szCs w:val="28"/>
          <w:lang w:val="kk-KZ"/>
        </w:rPr>
        <w:t>через стратегию «Индустрия 4.0»</w:t>
      </w:r>
      <w:r w:rsidRPr="00D76ADF">
        <w:rPr>
          <w:rFonts w:ascii="Times New Roman" w:hAnsi="Times New Roman" w:cs="Times New Roman"/>
          <w:sz w:val="28"/>
          <w:szCs w:val="28"/>
          <w:lang w:val="kk-KZ"/>
        </w:rPr>
        <w:t xml:space="preserve">, запущенную как часть государственной технологической политики. Проект включает создание центров компетенций, цифровых платформ, поддержку малых и средних предприятий в цифровой трансформации, а также развитие кластерных инициатив </w:t>
      </w:r>
      <w:r w:rsidR="00BA1CAE">
        <w:rPr>
          <w:rFonts w:ascii="Times New Roman" w:hAnsi="Times New Roman" w:cs="Times New Roman"/>
          <w:sz w:val="28"/>
          <w:szCs w:val="28"/>
          <w:lang w:val="kk-KZ"/>
        </w:rPr>
        <w:fldChar w:fldCharType="begin"/>
      </w:r>
      <w:r w:rsidR="00CD052D">
        <w:rPr>
          <w:rFonts w:ascii="Times New Roman" w:hAnsi="Times New Roman" w:cs="Times New Roman"/>
          <w:sz w:val="28"/>
          <w:szCs w:val="28"/>
          <w:lang w:val="kk-KZ"/>
        </w:rPr>
        <w:instrText xml:space="preserve"> ADDIN ZOTERO_ITEM CSL_CITATION {"citationID":"a19ac6mv4lr","properties":{"formattedCitation":"[156]","plainCitation":"[156]","noteIndex":0},"citationItems":[{"id":223,"uris":["http://zotero.org/users/16887523/items/Y9JXPJY4"],"itemData":{"id":223,"type":"document","language":"English","publisher":"MPDV","title":"Products – MPDV Europe","URL":"https://www.mpdv.com/en/products","author":[{"literal":"MPDV Mikrolab GmbH"}]}}],"schema":"https://github.com/citation-style-language/schema/raw/master/csl-citation.json"} </w:instrText>
      </w:r>
      <w:r w:rsidR="00BA1CA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[156]</w:t>
      </w:r>
      <w:r w:rsidR="00BA1CAE">
        <w:rPr>
          <w:rFonts w:ascii="Times New Roman" w:hAnsi="Times New Roman" w:cs="Times New Roman"/>
          <w:sz w:val="28"/>
          <w:szCs w:val="28"/>
          <w:lang w:val="kk-KZ"/>
        </w:rPr>
        <w:fldChar w:fldCharType="end"/>
      </w:r>
      <w:r w:rsidRPr="00D76ADF">
        <w:rPr>
          <w:rFonts w:ascii="Times New Roman" w:hAnsi="Times New Roman" w:cs="Times New Roman"/>
          <w:sz w:val="28"/>
          <w:szCs w:val="28"/>
          <w:lang w:val="kk-KZ"/>
        </w:rPr>
        <w:t>. В рамках данной программы осуществляется не только внедрение цифровых решений, но и формирование гибких производственных экосистем, где предприятия получают доступ к инфраструктуре, знаниям и обучению.</w:t>
      </w:r>
    </w:p>
    <w:p w14:paraId="68F14001" w14:textId="7202DBD7" w:rsidR="00D76ADF" w:rsidRPr="00D76ADF" w:rsidRDefault="00D76ADF" w:rsidP="002F33D0">
      <w:pPr>
        <w:tabs>
          <w:tab w:val="left" w:pos="1064"/>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 xml:space="preserve">Финляндия построила систему проектирования инновационного потенциала на базе агентства </w:t>
      </w:r>
      <w:r w:rsidRPr="00D34C19">
        <w:rPr>
          <w:rFonts w:ascii="Times New Roman" w:hAnsi="Times New Roman" w:cs="Times New Roman"/>
          <w:sz w:val="28"/>
          <w:szCs w:val="28"/>
          <w:lang w:val="kk-KZ"/>
        </w:rPr>
        <w:t xml:space="preserve">Business Finland </w:t>
      </w:r>
      <w:r w:rsidR="00D34C19">
        <w:rPr>
          <w:rFonts w:ascii="Times New Roman" w:hAnsi="Times New Roman" w:cs="Times New Roman"/>
          <w:color w:val="FF0000"/>
          <w:sz w:val="28"/>
          <w:szCs w:val="28"/>
          <w:lang w:val="kk-KZ"/>
        </w:rPr>
        <w:fldChar w:fldCharType="begin"/>
      </w:r>
      <w:r w:rsidR="00CD052D">
        <w:rPr>
          <w:rFonts w:ascii="Times New Roman" w:hAnsi="Times New Roman" w:cs="Times New Roman"/>
          <w:color w:val="FF0000"/>
          <w:sz w:val="28"/>
          <w:szCs w:val="28"/>
          <w:lang w:val="kk-KZ"/>
        </w:rPr>
        <w:instrText xml:space="preserve"> ADDIN ZOTERO_ITEM CSL_CITATION {"citationID":"a27ge0dtmj5","properties":{"formattedCitation":"[166]","plainCitation":"[166]","noteIndex":0},"citationItems":[{"id":234,"uris":["http://zotero.org/users/16887523/items/EMRSA5JT"],"itemData":{"id":234,"type":"document","language":"English","title":"Business Finland","URL":"https://www.businessfinland.fi/en?utm_source=chatgpt.com"}}],"schema":"https://github.com/citation-style-language/schema/raw/master/csl-citation.json"} </w:instrText>
      </w:r>
      <w:r w:rsidR="00D34C19">
        <w:rPr>
          <w:rFonts w:ascii="Times New Roman" w:hAnsi="Times New Roman" w:cs="Times New Roman"/>
          <w:color w:val="FF0000"/>
          <w:sz w:val="28"/>
          <w:szCs w:val="28"/>
          <w:lang w:val="kk-KZ"/>
        </w:rPr>
        <w:fldChar w:fldCharType="separate"/>
      </w:r>
      <w:r w:rsidR="009C6DCA" w:rsidRPr="009C6DCA">
        <w:rPr>
          <w:rFonts w:ascii="Times New Roman" w:hAnsi="Times New Roman" w:cs="Times New Roman"/>
          <w:sz w:val="28"/>
        </w:rPr>
        <w:t>[166]</w:t>
      </w:r>
      <w:r w:rsidR="00D34C19">
        <w:rPr>
          <w:rFonts w:ascii="Times New Roman" w:hAnsi="Times New Roman" w:cs="Times New Roman"/>
          <w:color w:val="FF0000"/>
          <w:sz w:val="28"/>
          <w:szCs w:val="28"/>
          <w:lang w:val="kk-KZ"/>
        </w:rPr>
        <w:fldChar w:fldCharType="end"/>
      </w:r>
      <w:r w:rsidRPr="00D76ADF">
        <w:rPr>
          <w:rFonts w:ascii="Times New Roman" w:hAnsi="Times New Roman" w:cs="Times New Roman"/>
          <w:sz w:val="28"/>
          <w:szCs w:val="28"/>
          <w:lang w:val="kk-KZ"/>
        </w:rPr>
        <w:t xml:space="preserve">, которое координирует инновационные программы, ориентированные на приоритетные отрасли (например, биоэкономику, цифровизацию, энергоэффективность). Модель Финляндии характеризуется акцентом на партнерские проекты между университетами и бизнесом, поддержкой стартапов и механизмами предварительного отбора и сопровождения перспективных технологических решений </w:t>
      </w:r>
      <w:r w:rsidR="00D34C19">
        <w:rPr>
          <w:rFonts w:ascii="Times New Roman" w:hAnsi="Times New Roman" w:cs="Times New Roman"/>
          <w:sz w:val="28"/>
          <w:szCs w:val="28"/>
          <w:lang w:val="kk-KZ"/>
        </w:rPr>
        <w:fldChar w:fldCharType="begin"/>
      </w:r>
      <w:r w:rsidR="00CD052D">
        <w:rPr>
          <w:rFonts w:ascii="Times New Roman" w:hAnsi="Times New Roman" w:cs="Times New Roman"/>
          <w:sz w:val="28"/>
          <w:szCs w:val="28"/>
          <w:lang w:val="kk-KZ"/>
        </w:rPr>
        <w:instrText xml:space="preserve"> ADDIN ZOTERO_ITEM CSL_CITATION {"citationID":"a1t39js25jp","properties":{"formattedCitation":"[167]","plainCitation":"[167]","noteIndex":0},"citationItems":[{"id":235,"uris":["http://zotero.org/users/16887523/items/RRB2GVL6"],"itemData":{"id":235,"type":"document","language":"English","title":"Innovation and R&amp;D Incentives in Finland","URL":"https://scandicorp.com/innovation-and-rd-incentives-in-finland?utm_source=chatgpt.com","author":[{"literal":"Scandicorp"}]}}],"schema":"https://github.com/citation-style-language/schema/raw/master/csl-citation.json"} </w:instrText>
      </w:r>
      <w:r w:rsidR="00D34C19">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[167]</w:t>
      </w:r>
      <w:r w:rsidR="00D34C19">
        <w:rPr>
          <w:rFonts w:ascii="Times New Roman" w:hAnsi="Times New Roman" w:cs="Times New Roman"/>
          <w:sz w:val="28"/>
          <w:szCs w:val="28"/>
          <w:lang w:val="kk-KZ"/>
        </w:rPr>
        <w:fldChar w:fldCharType="end"/>
      </w:r>
      <w:r w:rsidRPr="00D76ADF">
        <w:rPr>
          <w:rFonts w:ascii="Times New Roman" w:hAnsi="Times New Roman" w:cs="Times New Roman"/>
          <w:sz w:val="28"/>
          <w:szCs w:val="28"/>
          <w:lang w:val="kk-KZ"/>
        </w:rPr>
        <w:t>.</w:t>
      </w:r>
    </w:p>
    <w:p w14:paraId="240A9C6B" w14:textId="23725EC8" w:rsidR="00D76ADF" w:rsidRPr="00D76ADF" w:rsidRDefault="00D76ADF" w:rsidP="002F33D0">
      <w:pPr>
        <w:tabs>
          <w:tab w:val="left" w:pos="1064"/>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США применяют децентрализованную модель проектирования инновационного потенциала, где ключевая роль принадлежит агентствам DARPA, NSF и региональным инновационным кластерам. Механизмы раннего проектирования включают государственные конкурсы грантов, систему мал</w:t>
      </w:r>
      <w:r w:rsidR="00B7417C">
        <w:rPr>
          <w:rFonts w:ascii="Times New Roman" w:hAnsi="Times New Roman" w:cs="Times New Roman"/>
          <w:sz w:val="28"/>
          <w:szCs w:val="28"/>
          <w:lang w:val="kk-KZ"/>
        </w:rPr>
        <w:t>ых инновационных бизнес-грантов</w:t>
      </w:r>
      <w:r w:rsidRPr="00D76ADF">
        <w:rPr>
          <w:rFonts w:ascii="Times New Roman" w:hAnsi="Times New Roman" w:cs="Times New Roman"/>
          <w:sz w:val="28"/>
          <w:szCs w:val="28"/>
          <w:lang w:val="kk-KZ"/>
        </w:rPr>
        <w:t xml:space="preserve">, а также университетские исследовательские центры, работающие в </w:t>
      </w:r>
      <w:r w:rsidR="00B7417C">
        <w:rPr>
          <w:rFonts w:ascii="Times New Roman" w:hAnsi="Times New Roman" w:cs="Times New Roman"/>
          <w:sz w:val="28"/>
          <w:szCs w:val="28"/>
          <w:lang w:val="kk-KZ"/>
        </w:rPr>
        <w:t>тесной связке с промышленностью</w:t>
      </w:r>
      <w:r w:rsidRPr="00D76ADF">
        <w:rPr>
          <w:rFonts w:ascii="Times New Roman" w:hAnsi="Times New Roman" w:cs="Times New Roman"/>
          <w:sz w:val="28"/>
          <w:szCs w:val="28"/>
          <w:lang w:val="kk-KZ"/>
        </w:rPr>
        <w:t>. Особое внимание уделяется с</w:t>
      </w:r>
      <w:r w:rsidR="00B7417C">
        <w:rPr>
          <w:rFonts w:ascii="Times New Roman" w:hAnsi="Times New Roman" w:cs="Times New Roman"/>
          <w:sz w:val="28"/>
          <w:szCs w:val="28"/>
          <w:lang w:val="kk-KZ"/>
        </w:rPr>
        <w:t>озданию «технологических дорог»</w:t>
      </w:r>
      <w:r w:rsidRPr="00D76ADF">
        <w:rPr>
          <w:rFonts w:ascii="Times New Roman" w:hAnsi="Times New Roman" w:cs="Times New Roman"/>
          <w:sz w:val="28"/>
          <w:szCs w:val="28"/>
          <w:lang w:val="kk-KZ"/>
        </w:rPr>
        <w:t>, формирующих ориентиры научно-технической политики</w:t>
      </w:r>
      <w:r w:rsidR="00B7417C">
        <w:rPr>
          <w:rFonts w:ascii="Times New Roman" w:hAnsi="Times New Roman" w:cs="Times New Roman"/>
          <w:sz w:val="28"/>
          <w:szCs w:val="28"/>
          <w:lang w:val="kk-KZ"/>
        </w:rPr>
        <w:t xml:space="preserve"> </w:t>
      </w:r>
      <w:r w:rsidR="00B7417C">
        <w:rPr>
          <w:rFonts w:ascii="Times New Roman" w:hAnsi="Times New Roman" w:cs="Times New Roman"/>
          <w:sz w:val="28"/>
          <w:szCs w:val="28"/>
          <w:lang w:val="kk-KZ"/>
        </w:rPr>
        <w:fldChar w:fldCharType="begin"/>
      </w:r>
      <w:r w:rsidR="009C6DCA">
        <w:rPr>
          <w:rFonts w:ascii="Times New Roman" w:hAnsi="Times New Roman" w:cs="Times New Roman"/>
          <w:sz w:val="28"/>
          <w:szCs w:val="28"/>
          <w:lang w:val="kk-KZ"/>
        </w:rPr>
        <w:instrText xml:space="preserve"> ADDIN ZOTERO_ITEM CSL_CITATION {"citationID":"al5c6f1g9","properties":{"formattedCitation":"[168,169]","plainCitation":"[168,169]","noteIndex":0},"citationItems":[{"id":236,"uris":["http://zotero.org/users/16887523/items/TCXKYZLE"],"itemData":{"id":236,"type":"document","language":"English","title":"SBIR &amp; STTR Programs Overview","URL":"https://www.darpa.mil/work-with-us/communities/small-business/sbir-sttr-overview?utm_source=chatgpt.com","author":[{"literal":"Defense Advanced Research Projects Agency (DARPA)"}]}},{"id":237,"uris":["http://zotero.org/users/16887523/items/ICPH9673"],"itemData":{"id":237,"type":"document","language":"English","title":"National Innovation Pathway of the United States","URL":"https://bidenwhitehouse.archives.gov/wp-content/uploads/2024/10/National_Innovation_Pathway_of_the_United_States_2024_final.pdf?utm_source=chatgpt.com","author":[{"literal":"The White House"}],"issued":{"date-parts":[["2024"]]}}}],"schema":"https://github.com/citation-style-language/schema/raw/master/csl-citation.json"} </w:instrText>
      </w:r>
      <w:r w:rsidR="00B7417C">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[168,169]</w:t>
      </w:r>
      <w:r w:rsidR="00B7417C">
        <w:rPr>
          <w:rFonts w:ascii="Times New Roman" w:hAnsi="Times New Roman" w:cs="Times New Roman"/>
          <w:sz w:val="28"/>
          <w:szCs w:val="28"/>
          <w:lang w:val="kk-KZ"/>
        </w:rPr>
        <w:fldChar w:fldCharType="end"/>
      </w:r>
      <w:r w:rsidRPr="00D76ADF">
        <w:rPr>
          <w:rFonts w:ascii="Times New Roman" w:hAnsi="Times New Roman" w:cs="Times New Roman"/>
          <w:sz w:val="28"/>
          <w:szCs w:val="28"/>
          <w:lang w:val="kk-KZ"/>
        </w:rPr>
        <w:t>.</w:t>
      </w:r>
    </w:p>
    <w:p w14:paraId="42038130" w14:textId="4C4D4F5E" w:rsidR="00D76ADF" w:rsidRPr="00D76ADF" w:rsidRDefault="00D76ADF" w:rsidP="002F33D0">
      <w:pPr>
        <w:tabs>
          <w:tab w:val="left" w:pos="1064"/>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 xml:space="preserve">Япония использует стратегию долгосрочного планирования на базе Совета по научной и технологической политике и бизнес-ассоциации Keidanren. Программы «Society 5.0» </w:t>
      </w:r>
      <w:r w:rsidR="00BE7CA4">
        <w:rPr>
          <w:rFonts w:ascii="Times New Roman" w:hAnsi="Times New Roman" w:cs="Times New Roman"/>
          <w:sz w:val="28"/>
          <w:szCs w:val="28"/>
          <w:lang w:val="kk-KZ"/>
        </w:rPr>
        <w:fldChar w:fldCharType="begin"/>
      </w:r>
      <w:r w:rsidR="00CD052D">
        <w:rPr>
          <w:rFonts w:ascii="Times New Roman" w:hAnsi="Times New Roman" w:cs="Times New Roman"/>
          <w:sz w:val="28"/>
          <w:szCs w:val="28"/>
          <w:lang w:val="kk-KZ"/>
        </w:rPr>
        <w:instrText xml:space="preserve"> ADDIN ZOTERO_ITEM CSL_CITATION {"citationID":"a1lp5hgjed3","properties":{"formattedCitation":"[170]","plainCitation":"[170]","noteIndex":0},"citationItems":[{"id":238,"uris":["http://zotero.org/users/16887523/items/DJNPFG3X"],"itemData":{"id":238,"type":"document","language":"English","title":"Society 5.0: Toward a Super‑Smart Society","URL":"https://www8.cao.go.jp/cstp/english/society5_0/index.html?utm_source=chatgpt.com","author":[{"literal":"Government of Japan, Council for Science, Technology and Innovation"}]}}],"schema":"https://github.com/citation-style-language/schema/raw/master/csl-citation.json"} </w:instrText>
      </w:r>
      <w:r w:rsidR="00BE7CA4">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[170]</w:t>
      </w:r>
      <w:r w:rsidR="00BE7CA4">
        <w:rPr>
          <w:rFonts w:ascii="Times New Roman" w:hAnsi="Times New Roman" w:cs="Times New Roman"/>
          <w:sz w:val="28"/>
          <w:szCs w:val="28"/>
          <w:lang w:val="kk-KZ"/>
        </w:rPr>
        <w:fldChar w:fldCharType="end"/>
      </w:r>
      <w:r w:rsidR="00BE7CA4">
        <w:rPr>
          <w:rFonts w:ascii="Times New Roman" w:hAnsi="Times New Roman" w:cs="Times New Roman"/>
          <w:sz w:val="28"/>
          <w:szCs w:val="28"/>
          <w:lang w:val="kk-KZ"/>
        </w:rPr>
        <w:t xml:space="preserve"> </w:t>
      </w:r>
      <w:r w:rsidRPr="00D76ADF">
        <w:rPr>
          <w:rFonts w:ascii="Times New Roman" w:hAnsi="Times New Roman" w:cs="Times New Roman"/>
          <w:sz w:val="28"/>
          <w:szCs w:val="28"/>
          <w:lang w:val="kk-KZ"/>
        </w:rPr>
        <w:t>и «Connected Industries»</w:t>
      </w:r>
      <w:r w:rsidR="00BE7CA4">
        <w:rPr>
          <w:rFonts w:ascii="Times New Roman" w:hAnsi="Times New Roman" w:cs="Times New Roman"/>
          <w:sz w:val="28"/>
          <w:szCs w:val="28"/>
          <w:lang w:val="kk-KZ"/>
        </w:rPr>
        <w:t xml:space="preserve"> </w:t>
      </w:r>
      <w:r w:rsidR="00BE7CA4">
        <w:rPr>
          <w:rFonts w:ascii="Times New Roman" w:hAnsi="Times New Roman" w:cs="Times New Roman"/>
          <w:sz w:val="28"/>
          <w:szCs w:val="28"/>
          <w:lang w:val="kk-KZ"/>
        </w:rPr>
        <w:fldChar w:fldCharType="begin"/>
      </w:r>
      <w:r w:rsidR="00CD052D">
        <w:rPr>
          <w:rFonts w:ascii="Times New Roman" w:hAnsi="Times New Roman" w:cs="Times New Roman"/>
          <w:sz w:val="28"/>
          <w:szCs w:val="28"/>
          <w:lang w:val="kk-KZ"/>
        </w:rPr>
        <w:instrText xml:space="preserve"> ADDIN ZOTERO_ITEM CSL_CITATION {"citationID":"auuj7kin96","properties":{"formattedCitation":"[171]","plainCitation":"[171]","noteIndex":0},"citationItems":[{"id":239,"uris":["http://zotero.org/users/16887523/items/PDJRHNB3"],"itemData":{"id":239,"type":"document","language":"English","publisher":"METI – Ministry of Economy, Trade and Industry (Japan)","title":"Connected Industries – Japan’s Initiative for “Society 5.0”","URL":"https://www.meti.go.jp/english/policy/mono_info_service/connected_industries/index.html?utm_source=chatgpt.com","author":[{"literal":"Ministry of Economy, Trade and Industry (METI), Japan"}]}}],"schema":"https://github.com/citation-style-language/schema/raw/master/csl-citation.json"} </w:instrText>
      </w:r>
      <w:r w:rsidR="00BE7CA4">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[171]</w:t>
      </w:r>
      <w:r w:rsidR="00BE7CA4">
        <w:rPr>
          <w:rFonts w:ascii="Times New Roman" w:hAnsi="Times New Roman" w:cs="Times New Roman"/>
          <w:sz w:val="28"/>
          <w:szCs w:val="28"/>
          <w:lang w:val="kk-KZ"/>
        </w:rPr>
        <w:fldChar w:fldCharType="end"/>
      </w:r>
      <w:r w:rsidRPr="00D76ADF">
        <w:rPr>
          <w:rFonts w:ascii="Times New Roman" w:hAnsi="Times New Roman" w:cs="Times New Roman"/>
          <w:sz w:val="28"/>
          <w:szCs w:val="28"/>
          <w:lang w:val="kk-KZ"/>
        </w:rPr>
        <w:t xml:space="preserve"> направлены на интеграцию ИИ, робототехники и Интернета вещей в традиционные отрасли экономики. Японская модель проектирования опирается на корпоративную координацию и стратегическое планирование внутри технолог</w:t>
      </w:r>
      <w:r w:rsidR="00B7417C">
        <w:rPr>
          <w:rFonts w:ascii="Times New Roman" w:hAnsi="Times New Roman" w:cs="Times New Roman"/>
          <w:sz w:val="28"/>
          <w:szCs w:val="28"/>
          <w:lang w:val="kk-KZ"/>
        </w:rPr>
        <w:t>ических консорциумов</w:t>
      </w:r>
      <w:r w:rsidR="00BE7CA4">
        <w:rPr>
          <w:rFonts w:ascii="Times New Roman" w:hAnsi="Times New Roman" w:cs="Times New Roman"/>
          <w:sz w:val="28"/>
          <w:szCs w:val="28"/>
          <w:lang w:val="kk-KZ"/>
        </w:rPr>
        <w:t xml:space="preserve"> </w:t>
      </w:r>
      <w:r w:rsidR="00BE7CA4">
        <w:rPr>
          <w:rFonts w:ascii="Times New Roman" w:hAnsi="Times New Roman" w:cs="Times New Roman"/>
          <w:sz w:val="28"/>
          <w:szCs w:val="28"/>
          <w:lang w:val="kk-KZ"/>
        </w:rPr>
        <w:fldChar w:fldCharType="begin"/>
      </w:r>
      <w:r w:rsidR="00CD052D">
        <w:rPr>
          <w:rFonts w:ascii="Times New Roman" w:hAnsi="Times New Roman" w:cs="Times New Roman"/>
          <w:sz w:val="28"/>
          <w:szCs w:val="28"/>
          <w:lang w:val="kk-KZ"/>
        </w:rPr>
        <w:instrText xml:space="preserve"> ADDIN ZOTERO_ITEM CSL_CITATION {"citationID":"a256o8hcdcm","properties":{"formattedCitation":"[172]","plainCitation":"[172]","noteIndex":0},"citationItems":[{"id":240,"uris":["http://zotero.org/users/16887523/items/KNN8LSWE"],"itemData":{"id":240,"type":"document","language":"English","publisher":"Cabinet Office – Council for Science, Technology and Innovation","title":"About CSTI – Science, Technology and Innovation Basic Plan","URL":"https://www8.cao.go.jp/cstp/english/index.html?utm_source=chatgpt.com","author":[{"literal":"Council for Science, Technology and Innovation, Cabinet Office, Government of Japan"}]}}],"schema":"https://github.com/citation-style-language/schema/raw/master/csl-citation.json"} </w:instrText>
      </w:r>
      <w:r w:rsidR="00BE7CA4">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[172]</w:t>
      </w:r>
      <w:r w:rsidR="00BE7CA4">
        <w:rPr>
          <w:rFonts w:ascii="Times New Roman" w:hAnsi="Times New Roman" w:cs="Times New Roman"/>
          <w:sz w:val="28"/>
          <w:szCs w:val="28"/>
          <w:lang w:val="kk-KZ"/>
        </w:rPr>
        <w:fldChar w:fldCharType="end"/>
      </w:r>
      <w:r w:rsidRPr="00D76ADF">
        <w:rPr>
          <w:rFonts w:ascii="Times New Roman" w:hAnsi="Times New Roman" w:cs="Times New Roman"/>
          <w:sz w:val="28"/>
          <w:szCs w:val="28"/>
          <w:lang w:val="kk-KZ"/>
        </w:rPr>
        <w:t>.</w:t>
      </w:r>
    </w:p>
    <w:p w14:paraId="159436BE" w14:textId="3F076B6E" w:rsidR="00D76ADF" w:rsidRPr="00D76ADF" w:rsidRDefault="00D76ADF" w:rsidP="002F33D0">
      <w:pPr>
        <w:tabs>
          <w:tab w:val="left" w:pos="1064"/>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Южная Корея сформировала модель сквозного проектирования инновационного потенциала через министерство науки и ИКТ и Агентство по продвижению ИКТ (NIPA)</w:t>
      </w:r>
      <w:r w:rsidR="00BE7CA4">
        <w:rPr>
          <w:rFonts w:ascii="Times New Roman" w:hAnsi="Times New Roman" w:cs="Times New Roman"/>
          <w:sz w:val="28"/>
          <w:szCs w:val="28"/>
          <w:lang w:val="kk-KZ"/>
        </w:rPr>
        <w:t xml:space="preserve"> </w:t>
      </w:r>
      <w:r w:rsidR="00BE7CA4">
        <w:rPr>
          <w:rFonts w:ascii="Times New Roman" w:hAnsi="Times New Roman" w:cs="Times New Roman"/>
          <w:sz w:val="28"/>
          <w:szCs w:val="28"/>
          <w:lang w:val="kk-KZ"/>
        </w:rPr>
        <w:fldChar w:fldCharType="begin"/>
      </w:r>
      <w:r w:rsidR="00CD052D">
        <w:rPr>
          <w:rFonts w:ascii="Times New Roman" w:hAnsi="Times New Roman" w:cs="Times New Roman"/>
          <w:sz w:val="28"/>
          <w:szCs w:val="28"/>
          <w:lang w:val="kk-KZ"/>
        </w:rPr>
        <w:instrText xml:space="preserve"> ADDIN ZOTERO_ITEM CSL_CITATION {"citationID":"a23tgqtl5vl","properties":{"formattedCitation":"[173]","plainCitation":"[173]","noteIndex":0},"citationItems":[{"id":241,"uris":["http://zotero.org/users/16887523/items/X4HMEDZ6"],"itemData":{"id":241,"type":"document","language":"English","title":"About NIPA","URL":"https://www.nipa.kr/eng/1-1?utm_source=chatgpt.com","author":[{"literal":"National IT Industry Promotion Agency (NIPA)"}],"issued":{"date-parts":[["2023"]]}}}],"schema":"https://github.com/citation-style-language/schema/raw/master/csl-citation.json"} </w:instrText>
      </w:r>
      <w:r w:rsidR="00BE7CA4">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[173]</w:t>
      </w:r>
      <w:r w:rsidR="00BE7CA4">
        <w:rPr>
          <w:rFonts w:ascii="Times New Roman" w:hAnsi="Times New Roman" w:cs="Times New Roman"/>
          <w:sz w:val="28"/>
          <w:szCs w:val="28"/>
          <w:lang w:val="kk-KZ"/>
        </w:rPr>
        <w:fldChar w:fldCharType="end"/>
      </w:r>
      <w:r w:rsidRPr="00D76ADF">
        <w:rPr>
          <w:rFonts w:ascii="Times New Roman" w:hAnsi="Times New Roman" w:cs="Times New Roman"/>
          <w:sz w:val="28"/>
          <w:szCs w:val="28"/>
          <w:lang w:val="kk-KZ"/>
        </w:rPr>
        <w:t>. Программа K-Innovation включает форсайт-</w:t>
      </w:r>
      <w:r w:rsidRPr="00D76ADF">
        <w:rPr>
          <w:rFonts w:ascii="Times New Roman" w:hAnsi="Times New Roman" w:cs="Times New Roman"/>
          <w:sz w:val="28"/>
          <w:szCs w:val="28"/>
          <w:lang w:val="kk-KZ"/>
        </w:rPr>
        <w:lastRenderedPageBreak/>
        <w:t>технологии, государственные платформы открытых инноваций и систему оценки инновационной зрелости предприятий. Также внедрены цифровые диагностические панели, с помощью которых компании оценивают и планируют развитие ключевых напра</w:t>
      </w:r>
      <w:r w:rsidR="00BE7CA4">
        <w:rPr>
          <w:rFonts w:ascii="Times New Roman" w:hAnsi="Times New Roman" w:cs="Times New Roman"/>
          <w:sz w:val="28"/>
          <w:szCs w:val="28"/>
          <w:lang w:val="kk-KZ"/>
        </w:rPr>
        <w:t xml:space="preserve">влений инновационной активности </w:t>
      </w:r>
      <w:r w:rsidR="00BE7CA4">
        <w:rPr>
          <w:rFonts w:ascii="Times New Roman" w:hAnsi="Times New Roman" w:cs="Times New Roman"/>
          <w:sz w:val="28"/>
          <w:szCs w:val="28"/>
          <w:lang w:val="kk-KZ"/>
        </w:rPr>
        <w:fldChar w:fldCharType="begin"/>
      </w:r>
      <w:r w:rsidR="00CD052D">
        <w:rPr>
          <w:rFonts w:ascii="Times New Roman" w:hAnsi="Times New Roman" w:cs="Times New Roman"/>
          <w:sz w:val="28"/>
          <w:szCs w:val="28"/>
          <w:lang w:val="kk-KZ"/>
        </w:rPr>
        <w:instrText xml:space="preserve"> ADDIN ZOTERO_ITEM CSL_CITATION {"citationID":"a189ivalcnp","properties":{"formattedCitation":"[174]","plainCitation":"[174]","noteIndex":0},"citationItems":[{"id":242,"uris":["http://zotero.org/users/16887523/items/P3VJMU9X"],"itemData":{"id":242,"type":"document","language":"English","title":"Ministry of Science and ICT – Official Website","URL":"https://www.msit.go.kr/eng/index.do?utm_source=chatgpt.com","author":[{"literal":"Ministry of Science and ICT (MSIT) (Republic of Korea)"}]}}],"schema":"https://github.com/citation-style-language/schema/raw/master/csl-citation.json"} </w:instrText>
      </w:r>
      <w:r w:rsidR="00BE7CA4">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[174]</w:t>
      </w:r>
      <w:r w:rsidR="00BE7CA4">
        <w:rPr>
          <w:rFonts w:ascii="Times New Roman" w:hAnsi="Times New Roman" w:cs="Times New Roman"/>
          <w:sz w:val="28"/>
          <w:szCs w:val="28"/>
          <w:lang w:val="kk-KZ"/>
        </w:rPr>
        <w:fldChar w:fldCharType="end"/>
      </w:r>
      <w:r w:rsidRPr="00D76ADF">
        <w:rPr>
          <w:rFonts w:ascii="Times New Roman" w:hAnsi="Times New Roman" w:cs="Times New Roman"/>
          <w:sz w:val="28"/>
          <w:szCs w:val="28"/>
          <w:lang w:val="kk-KZ"/>
        </w:rPr>
        <w:t>.</w:t>
      </w:r>
    </w:p>
    <w:p w14:paraId="3F298788" w14:textId="24E69F2D" w:rsidR="00D76ADF" w:rsidRPr="00D76ADF" w:rsidRDefault="00D76ADF" w:rsidP="002F33D0">
      <w:pPr>
        <w:tabs>
          <w:tab w:val="left" w:pos="1064"/>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Сингапур реализует национальную стратегию «Умная нация» (Smart Nation)</w:t>
      </w:r>
      <w:r w:rsidR="00876EDB">
        <w:rPr>
          <w:rFonts w:ascii="Times New Roman" w:hAnsi="Times New Roman" w:cs="Times New Roman"/>
          <w:sz w:val="28"/>
          <w:szCs w:val="28"/>
          <w:lang w:val="kk-KZ"/>
        </w:rPr>
        <w:t xml:space="preserve"> </w:t>
      </w:r>
      <w:r w:rsidR="00876EDB">
        <w:rPr>
          <w:rFonts w:ascii="Times New Roman" w:hAnsi="Times New Roman" w:cs="Times New Roman"/>
          <w:sz w:val="28"/>
          <w:szCs w:val="28"/>
          <w:lang w:val="kk-KZ"/>
        </w:rPr>
        <w:fldChar w:fldCharType="begin"/>
      </w:r>
      <w:r w:rsidR="00CD052D">
        <w:rPr>
          <w:rFonts w:ascii="Times New Roman" w:hAnsi="Times New Roman" w:cs="Times New Roman"/>
          <w:sz w:val="28"/>
          <w:szCs w:val="28"/>
          <w:lang w:val="kk-KZ"/>
        </w:rPr>
        <w:instrText xml:space="preserve"> ADDIN ZOTERO_ITEM CSL_CITATION {"citationID":"arsea35vfb","properties":{"formattedCitation":"[157]","plainCitation":"[157]","noteIndex":0},"citationItems":[{"id":224,"uris":["http://zotero.org/users/16887523/items/2I9LEMIL"],"itemData":{"id":224,"type":"document","title":"The Smart Nation","URL":"https://www.smartnation.gov.sg/about/our-vision/smart-nation-vision/?utm_source=chatgpt.com","author":[{"literal":"Singapore Government Agency"}]}}],"schema":"https://github.com/citation-style-language/schema/raw/master/csl-citation.json"} </w:instrText>
      </w:r>
      <w:r w:rsidR="00876EDB">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[157]</w:t>
      </w:r>
      <w:r w:rsidR="00876EDB">
        <w:rPr>
          <w:rFonts w:ascii="Times New Roman" w:hAnsi="Times New Roman" w:cs="Times New Roman"/>
          <w:sz w:val="28"/>
          <w:szCs w:val="28"/>
          <w:lang w:val="kk-KZ"/>
        </w:rPr>
        <w:fldChar w:fldCharType="end"/>
      </w:r>
      <w:r w:rsidRPr="00D76ADF">
        <w:rPr>
          <w:rFonts w:ascii="Times New Roman" w:hAnsi="Times New Roman" w:cs="Times New Roman"/>
          <w:sz w:val="28"/>
          <w:szCs w:val="28"/>
          <w:lang w:val="kk-KZ"/>
        </w:rPr>
        <w:t xml:space="preserve">, в рамках которой формируются платформы цифрового взаимодействия государства, науки и бизнеса. Страна активно применяет модели </w:t>
      </w:r>
      <w:r w:rsidR="00876EDB" w:rsidRPr="00876EDB">
        <w:rPr>
          <w:rFonts w:ascii="Times New Roman" w:hAnsi="Times New Roman" w:cs="Times New Roman"/>
          <w:sz w:val="28"/>
          <w:szCs w:val="28"/>
          <w:lang w:val="kk-KZ"/>
        </w:rPr>
        <w:t>форсайт</w:t>
      </w:r>
      <w:r w:rsidRPr="00D76ADF">
        <w:rPr>
          <w:rFonts w:ascii="Times New Roman" w:hAnsi="Times New Roman" w:cs="Times New Roman"/>
          <w:sz w:val="28"/>
          <w:szCs w:val="28"/>
          <w:lang w:val="kk-KZ"/>
        </w:rPr>
        <w:t>-проектирования, цифровые акселераторы и региональны</w:t>
      </w:r>
      <w:r w:rsidR="00876EDB">
        <w:rPr>
          <w:rFonts w:ascii="Times New Roman" w:hAnsi="Times New Roman" w:cs="Times New Roman"/>
          <w:sz w:val="28"/>
          <w:szCs w:val="28"/>
          <w:lang w:val="kk-KZ"/>
        </w:rPr>
        <w:t>е тестовые зоны</w:t>
      </w:r>
      <w:r w:rsidRPr="00D76ADF">
        <w:rPr>
          <w:rFonts w:ascii="Times New Roman" w:hAnsi="Times New Roman" w:cs="Times New Roman"/>
          <w:sz w:val="28"/>
          <w:szCs w:val="28"/>
          <w:lang w:val="kk-KZ"/>
        </w:rPr>
        <w:t>, где проверяются инновации до масштабного внедрения. Ключевыми элементами являются государственные инвестиции, поддержка стартапов и стимулирование корпо</w:t>
      </w:r>
      <w:r w:rsidR="00876EDB">
        <w:rPr>
          <w:rFonts w:ascii="Times New Roman" w:hAnsi="Times New Roman" w:cs="Times New Roman"/>
          <w:sz w:val="28"/>
          <w:szCs w:val="28"/>
          <w:lang w:val="kk-KZ"/>
        </w:rPr>
        <w:t>ративной цифровой трансформации</w:t>
      </w:r>
      <w:r w:rsidRPr="00D76ADF">
        <w:rPr>
          <w:rFonts w:ascii="Times New Roman" w:hAnsi="Times New Roman" w:cs="Times New Roman"/>
          <w:sz w:val="28"/>
          <w:szCs w:val="28"/>
          <w:lang w:val="kk-KZ"/>
        </w:rPr>
        <w:t>.</w:t>
      </w:r>
    </w:p>
    <w:p w14:paraId="5D61B9DE" w14:textId="77777777" w:rsidR="00D76ADF" w:rsidRPr="00D76ADF" w:rsidRDefault="00D76ADF" w:rsidP="002F33D0">
      <w:pPr>
        <w:tabs>
          <w:tab w:val="left" w:pos="851"/>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Во всех рассмотренных странах проектирование инновационного потенциала строится на следующих принципах:</w:t>
      </w:r>
    </w:p>
    <w:p w14:paraId="55CB443B" w14:textId="77777777" w:rsidR="00D76ADF" w:rsidRPr="00D76ADF" w:rsidRDefault="00D76ADF" w:rsidP="007F5E68">
      <w:pPr>
        <w:pStyle w:val="a3"/>
        <w:numPr>
          <w:ilvl w:val="0"/>
          <w:numId w:val="4"/>
        </w:numPr>
        <w:tabs>
          <w:tab w:val="left" w:pos="851"/>
        </w:tabs>
        <w:spacing w:after="0" w:line="240" w:lineRule="auto"/>
        <w:ind w:left="0"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долгосрочность и сценарное мышление;</w:t>
      </w:r>
    </w:p>
    <w:p w14:paraId="556F7010" w14:textId="77777777" w:rsidR="00D76ADF" w:rsidRPr="00D76ADF" w:rsidRDefault="00D76ADF" w:rsidP="007F5E68">
      <w:pPr>
        <w:pStyle w:val="a3"/>
        <w:numPr>
          <w:ilvl w:val="0"/>
          <w:numId w:val="4"/>
        </w:numPr>
        <w:tabs>
          <w:tab w:val="left" w:pos="851"/>
        </w:tabs>
        <w:spacing w:after="0" w:line="240" w:lineRule="auto"/>
        <w:ind w:left="0"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активное участие бизнеса и науки в определении приоритетов;</w:t>
      </w:r>
    </w:p>
    <w:p w14:paraId="21157EDB" w14:textId="77777777" w:rsidR="00D76ADF" w:rsidRPr="00D76ADF" w:rsidRDefault="00D76ADF" w:rsidP="007F5E68">
      <w:pPr>
        <w:pStyle w:val="a3"/>
        <w:numPr>
          <w:ilvl w:val="0"/>
          <w:numId w:val="4"/>
        </w:numPr>
        <w:tabs>
          <w:tab w:val="left" w:pos="851"/>
        </w:tabs>
        <w:spacing w:after="0" w:line="240" w:lineRule="auto"/>
        <w:ind w:left="0"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цифровые инструменты управления знаниями и инновациями;</w:t>
      </w:r>
    </w:p>
    <w:p w14:paraId="166F279E" w14:textId="77777777" w:rsidR="00D76ADF" w:rsidRPr="00D76ADF" w:rsidRDefault="00D76ADF" w:rsidP="007F5E68">
      <w:pPr>
        <w:pStyle w:val="a3"/>
        <w:numPr>
          <w:ilvl w:val="0"/>
          <w:numId w:val="4"/>
        </w:numPr>
        <w:tabs>
          <w:tab w:val="left" w:pos="851"/>
        </w:tabs>
        <w:spacing w:after="0" w:line="240" w:lineRule="auto"/>
        <w:ind w:left="0"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институционализация проектирования через агентства, фонды, платформы.</w:t>
      </w:r>
    </w:p>
    <w:p w14:paraId="60775592" w14:textId="05AD32DA" w:rsidR="00D76ADF" w:rsidRDefault="00D76ADF" w:rsidP="002F33D0">
      <w:pPr>
        <w:tabs>
          <w:tab w:val="left" w:pos="851"/>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Таким образом, в развитых странах проектирование инновационного потенциала выходит за рамки оценки и становится механизмом стратегического целеполагания, ресурсного обеспечения и цифрового сопровождения инновационного развития.</w:t>
      </w:r>
    </w:p>
    <w:p w14:paraId="3E65D3C8" w14:textId="77777777" w:rsidR="00D76ADF" w:rsidRPr="00D76ADF" w:rsidRDefault="00D76ADF" w:rsidP="002F33D0">
      <w:pPr>
        <w:tabs>
          <w:tab w:val="left" w:pos="851"/>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В странах с переходной экономикой и формирующейся инновационной инфраструктурой проектирование инновационного потенциала приобретает стратегический характер, направленный не только на технологическое развитие, но и на институциональное выравнивание, устранение цифрового неравенства и укрепление взаимодействия между участниками национальных инновационных систем. В отличие от стран ОЭСР, где внимание сосредоточено на экосистемных и цифровых механизмах развития, в развивающихся странах приоритетом остаются базовая научная инфраструктура, поддержка предпринимательства и повышение инновационной культуры.</w:t>
      </w:r>
    </w:p>
    <w:p w14:paraId="6AEA61F2" w14:textId="34E5DD2D" w:rsidR="00D76ADF" w:rsidRPr="00D76ADF" w:rsidRDefault="00D76ADF" w:rsidP="002F33D0">
      <w:pPr>
        <w:tabs>
          <w:tab w:val="left" w:pos="851"/>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Китай является примером последовательного институционального проектирования инновационного потенциала. Стратегия «Сделано в Китае 2025» (Made in China 2025)</w:t>
      </w:r>
      <w:r w:rsidR="007E740E">
        <w:rPr>
          <w:rFonts w:ascii="Times New Roman" w:hAnsi="Times New Roman" w:cs="Times New Roman"/>
          <w:sz w:val="28"/>
          <w:szCs w:val="28"/>
          <w:lang w:val="kk-KZ"/>
        </w:rPr>
        <w:t xml:space="preserve"> </w:t>
      </w:r>
      <w:r w:rsidR="007E740E">
        <w:rPr>
          <w:rFonts w:ascii="Times New Roman" w:hAnsi="Times New Roman" w:cs="Times New Roman"/>
          <w:sz w:val="28"/>
          <w:szCs w:val="28"/>
          <w:lang w:val="kk-KZ"/>
        </w:rPr>
        <w:fldChar w:fldCharType="begin"/>
      </w:r>
      <w:r w:rsidR="00CD052D">
        <w:rPr>
          <w:rFonts w:ascii="Times New Roman" w:hAnsi="Times New Roman" w:cs="Times New Roman"/>
          <w:sz w:val="28"/>
          <w:szCs w:val="28"/>
          <w:lang w:val="kk-KZ"/>
        </w:rPr>
        <w:instrText xml:space="preserve"> ADDIN ZOTERO_ITEM CSL_CITATION {"citationID":"auqqkosts9","properties":{"formattedCitation":"[175]","plainCitation":"[175]","noteIndex":0},"citationItems":[{"id":243,"uris":["http://zotero.org/users/16887523/items/QE4I4BAY"],"itemData":{"id":243,"type":"document","language":"English","title":"Notice of the State Council on the Publication of “Made in China 2025”","URL":"https://cset.georgetown.edu/wp-content/uploads/t0432_made_in_china_2025_EN.pdf?utm_source=chatgpt.com","author":[{"literal":"State Council of the People’s Republic of China"}],"issued":{"date-parts":[["2015"]]}}}],"schema":"https://github.com/citation-style-language/schema/raw/master/csl-citation.json"} </w:instrText>
      </w:r>
      <w:r w:rsidR="007E740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[175]</w:t>
      </w:r>
      <w:r w:rsidR="007E740E">
        <w:rPr>
          <w:rFonts w:ascii="Times New Roman" w:hAnsi="Times New Roman" w:cs="Times New Roman"/>
          <w:sz w:val="28"/>
          <w:szCs w:val="28"/>
          <w:lang w:val="kk-KZ"/>
        </w:rPr>
        <w:fldChar w:fldCharType="end"/>
      </w:r>
      <w:r w:rsidRPr="00D76ADF">
        <w:rPr>
          <w:rFonts w:ascii="Times New Roman" w:hAnsi="Times New Roman" w:cs="Times New Roman"/>
          <w:sz w:val="28"/>
          <w:szCs w:val="28"/>
          <w:lang w:val="kk-KZ"/>
        </w:rPr>
        <w:t xml:space="preserve"> ориентирована на формирование национального технологического лидерства в приоритетных отраслях </w:t>
      </w:r>
      <w:r w:rsidR="009D20AE">
        <w:rPr>
          <w:rFonts w:ascii="Times New Roman" w:hAnsi="Times New Roman" w:cs="Times New Roman"/>
          <w:sz w:val="28"/>
          <w:szCs w:val="28"/>
          <w:lang w:val="kk-KZ"/>
        </w:rPr>
        <w:t>–</w:t>
      </w:r>
      <w:r w:rsidRPr="00D76ADF">
        <w:rPr>
          <w:rFonts w:ascii="Times New Roman" w:hAnsi="Times New Roman" w:cs="Times New Roman"/>
          <w:sz w:val="28"/>
          <w:szCs w:val="28"/>
          <w:lang w:val="kk-KZ"/>
        </w:rPr>
        <w:t xml:space="preserve"> от микроэлектроники до медицинских технологий. Ключевыми инструментами являются государственные технологические парки, механизмы форсайта, платформы инженерного образования, а также система субсидий для предприят</w:t>
      </w:r>
      <w:r w:rsidR="00876EDB">
        <w:rPr>
          <w:rFonts w:ascii="Times New Roman" w:hAnsi="Times New Roman" w:cs="Times New Roman"/>
          <w:sz w:val="28"/>
          <w:szCs w:val="28"/>
          <w:lang w:val="kk-KZ"/>
        </w:rPr>
        <w:t>ий, внедряющих цифровые решения</w:t>
      </w:r>
      <w:r w:rsidRPr="00D76ADF">
        <w:rPr>
          <w:rFonts w:ascii="Times New Roman" w:hAnsi="Times New Roman" w:cs="Times New Roman"/>
          <w:sz w:val="28"/>
          <w:szCs w:val="28"/>
          <w:lang w:val="kk-KZ"/>
        </w:rPr>
        <w:t>.</w:t>
      </w:r>
    </w:p>
    <w:p w14:paraId="260B7526" w14:textId="6E8D532F" w:rsidR="00D76ADF" w:rsidRPr="00D76ADF" w:rsidRDefault="00D76ADF" w:rsidP="002F33D0">
      <w:pPr>
        <w:tabs>
          <w:tab w:val="left" w:pos="851"/>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Индия реализует модель, основанную на пр</w:t>
      </w:r>
      <w:r w:rsidR="007E740E">
        <w:rPr>
          <w:rFonts w:ascii="Times New Roman" w:hAnsi="Times New Roman" w:cs="Times New Roman"/>
          <w:sz w:val="28"/>
          <w:szCs w:val="28"/>
          <w:lang w:val="kk-KZ"/>
        </w:rPr>
        <w:t>инципе «стимулирования изнутри»</w:t>
      </w:r>
      <w:r w:rsidRPr="00D76ADF">
        <w:rPr>
          <w:rFonts w:ascii="Times New Roman" w:hAnsi="Times New Roman" w:cs="Times New Roman"/>
          <w:sz w:val="28"/>
          <w:szCs w:val="28"/>
          <w:lang w:val="kk-KZ"/>
        </w:rPr>
        <w:t xml:space="preserve">, при котором государство создает базовые условия (инфраструктура, гранты, налоговые льготы), а предприятия формируют инновационный потенциал, исходя из потребностей внутреннего рынка. Национальная программа </w:t>
      </w:r>
      <w:r w:rsidR="007E740E">
        <w:rPr>
          <w:rFonts w:ascii="Times New Roman" w:hAnsi="Times New Roman" w:cs="Times New Roman"/>
          <w:sz w:val="28"/>
          <w:szCs w:val="28"/>
          <w:lang w:val="kk-KZ"/>
        </w:rPr>
        <w:t>«</w:t>
      </w:r>
      <w:r w:rsidRPr="00D76ADF">
        <w:rPr>
          <w:rFonts w:ascii="Times New Roman" w:hAnsi="Times New Roman" w:cs="Times New Roman"/>
          <w:sz w:val="28"/>
          <w:szCs w:val="28"/>
          <w:lang w:val="kk-KZ"/>
        </w:rPr>
        <w:t>Digital India</w:t>
      </w:r>
      <w:r w:rsidR="007E740E">
        <w:rPr>
          <w:rFonts w:ascii="Times New Roman" w:hAnsi="Times New Roman" w:cs="Times New Roman"/>
          <w:sz w:val="28"/>
          <w:szCs w:val="28"/>
          <w:lang w:val="kk-KZ"/>
        </w:rPr>
        <w:t xml:space="preserve">» </w:t>
      </w:r>
      <w:r w:rsidR="007E740E">
        <w:rPr>
          <w:rFonts w:ascii="Times New Roman" w:hAnsi="Times New Roman" w:cs="Times New Roman"/>
          <w:sz w:val="28"/>
          <w:szCs w:val="28"/>
          <w:lang w:val="kk-KZ"/>
        </w:rPr>
        <w:fldChar w:fldCharType="begin"/>
      </w:r>
      <w:r w:rsidR="00CD052D">
        <w:rPr>
          <w:rFonts w:ascii="Times New Roman" w:hAnsi="Times New Roman" w:cs="Times New Roman"/>
          <w:sz w:val="28"/>
          <w:szCs w:val="28"/>
          <w:lang w:val="kk-KZ"/>
        </w:rPr>
        <w:instrText xml:space="preserve"> ADDIN ZOTERO_ITEM CSL_CITATION {"citationID":"adg3uhslv5","properties":{"formattedCitation":"[176]","plainCitation":"[176]","noteIndex":0},"citationItems":[{"id":244,"uris":["http://zotero.org/users/16887523/items/A5J55IJ8"],"itemData":{"id":244,"type":"document","language":"English","title":"Digital India – Transforming India into a digitally empowered society and knowledge economy","URL":"https://www.digitalindia.gov.in/?utm_source=chatgpt.com","author":[{"literal":"Government of India (Ministry of Electronics and Information Technology)"}]}}],"schema":"https://github.com/citation-style-language/schema/raw/master/csl-citation.json"} </w:instrText>
      </w:r>
      <w:r w:rsidR="007E740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[176]</w:t>
      </w:r>
      <w:r w:rsidR="007E740E">
        <w:rPr>
          <w:rFonts w:ascii="Times New Roman" w:hAnsi="Times New Roman" w:cs="Times New Roman"/>
          <w:sz w:val="28"/>
          <w:szCs w:val="28"/>
          <w:lang w:val="kk-KZ"/>
        </w:rPr>
        <w:fldChar w:fldCharType="end"/>
      </w:r>
      <w:r w:rsidRPr="00D76ADF">
        <w:rPr>
          <w:rFonts w:ascii="Times New Roman" w:hAnsi="Times New Roman" w:cs="Times New Roman"/>
          <w:sz w:val="28"/>
          <w:szCs w:val="28"/>
          <w:lang w:val="kk-KZ"/>
        </w:rPr>
        <w:t xml:space="preserve"> направлена на цифровизацию производственного </w:t>
      </w:r>
      <w:r w:rsidRPr="00D76ADF">
        <w:rPr>
          <w:rFonts w:ascii="Times New Roman" w:hAnsi="Times New Roman" w:cs="Times New Roman"/>
          <w:sz w:val="28"/>
          <w:szCs w:val="28"/>
          <w:lang w:val="kk-KZ"/>
        </w:rPr>
        <w:lastRenderedPageBreak/>
        <w:t>сектора и формирование цифровых платформ поддержки предприним</w:t>
      </w:r>
      <w:r w:rsidR="007E740E">
        <w:rPr>
          <w:rFonts w:ascii="Times New Roman" w:hAnsi="Times New Roman" w:cs="Times New Roman"/>
          <w:sz w:val="28"/>
          <w:szCs w:val="28"/>
          <w:lang w:val="kk-KZ"/>
        </w:rPr>
        <w:t>ателей, особенно в сегменте МСП</w:t>
      </w:r>
      <w:r w:rsidRPr="00D76ADF">
        <w:rPr>
          <w:rFonts w:ascii="Times New Roman" w:hAnsi="Times New Roman" w:cs="Times New Roman"/>
          <w:sz w:val="28"/>
          <w:szCs w:val="28"/>
          <w:lang w:val="kk-KZ"/>
        </w:rPr>
        <w:t>.</w:t>
      </w:r>
    </w:p>
    <w:p w14:paraId="4D716F51" w14:textId="7D86ADF9" w:rsidR="00D76ADF" w:rsidRPr="00D76ADF" w:rsidRDefault="00D76ADF" w:rsidP="002F33D0">
      <w:pPr>
        <w:tabs>
          <w:tab w:val="left" w:pos="851"/>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 xml:space="preserve">Малайзия разработала стратегию </w:t>
      </w:r>
      <w:r w:rsidR="007E740E">
        <w:rPr>
          <w:rFonts w:ascii="Times New Roman" w:hAnsi="Times New Roman" w:cs="Times New Roman"/>
          <w:sz w:val="28"/>
          <w:szCs w:val="28"/>
          <w:lang w:val="kk-KZ"/>
        </w:rPr>
        <w:t>«</w:t>
      </w:r>
      <w:r w:rsidRPr="00D76ADF">
        <w:rPr>
          <w:rFonts w:ascii="Times New Roman" w:hAnsi="Times New Roman" w:cs="Times New Roman"/>
          <w:sz w:val="28"/>
          <w:szCs w:val="28"/>
          <w:lang w:val="kk-KZ"/>
        </w:rPr>
        <w:t>MyDIGITAL</w:t>
      </w:r>
      <w:r w:rsidR="007E740E">
        <w:rPr>
          <w:rFonts w:ascii="Times New Roman" w:hAnsi="Times New Roman" w:cs="Times New Roman"/>
          <w:sz w:val="28"/>
          <w:szCs w:val="28"/>
          <w:lang w:val="kk-KZ"/>
        </w:rPr>
        <w:t xml:space="preserve">» </w:t>
      </w:r>
      <w:r w:rsidR="007E740E">
        <w:rPr>
          <w:rFonts w:ascii="Times New Roman" w:hAnsi="Times New Roman" w:cs="Times New Roman"/>
          <w:sz w:val="28"/>
          <w:szCs w:val="28"/>
          <w:lang w:val="kk-KZ"/>
        </w:rPr>
        <w:fldChar w:fldCharType="begin"/>
      </w:r>
      <w:r w:rsidR="00CD052D">
        <w:rPr>
          <w:rFonts w:ascii="Times New Roman" w:hAnsi="Times New Roman" w:cs="Times New Roman"/>
          <w:sz w:val="28"/>
          <w:szCs w:val="28"/>
          <w:lang w:val="kk-KZ"/>
        </w:rPr>
        <w:instrText xml:space="preserve"> ADDIN ZOTERO_ITEM CSL_CITATION {"citationID":"a28m6mqn2u2","properties":{"formattedCitation":"[177]","plainCitation":"[177]","noteIndex":0},"citationItems":[{"id":245,"uris":["http://zotero.org/users/16887523/items/8NGNGTH3"],"itemData":{"id":245,"type":"document","language":"English","title":"MyDIGITAL – Malaysia Digital Economy Blueprint","URL":"https://www.mydigital.gov.my/?utm_source=chatgpt.com","author":[{"literal":"Government of Malaysia / MyDIGITAL Corporation"}]}}],"schema":"https://github.com/citation-style-language/schema/raw/master/csl-citation.json"} </w:instrText>
      </w:r>
      <w:r w:rsidR="007E740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[177]</w:t>
      </w:r>
      <w:r w:rsidR="007E740E">
        <w:rPr>
          <w:rFonts w:ascii="Times New Roman" w:hAnsi="Times New Roman" w:cs="Times New Roman"/>
          <w:sz w:val="28"/>
          <w:szCs w:val="28"/>
          <w:lang w:val="kk-KZ"/>
        </w:rPr>
        <w:fldChar w:fldCharType="end"/>
      </w:r>
      <w:r w:rsidRPr="00D76ADF">
        <w:rPr>
          <w:rFonts w:ascii="Times New Roman" w:hAnsi="Times New Roman" w:cs="Times New Roman"/>
          <w:sz w:val="28"/>
          <w:szCs w:val="28"/>
          <w:lang w:val="kk-KZ"/>
        </w:rPr>
        <w:t>, в рамках которой действуют комплексные дорожные карты цифровизации предприятий. Созданы центры цифровых трансформаций (Digital Transformation Centres), которые предоставляют компаниям инструменты самодиагностики, консультации и доступ к облачным решениям. Основной акцент сделан на цифровую зрелость, использование технологий ИИ и анализ данных как элемента проектирования инноваци</w:t>
      </w:r>
      <w:r w:rsidR="007E740E">
        <w:rPr>
          <w:rFonts w:ascii="Times New Roman" w:hAnsi="Times New Roman" w:cs="Times New Roman"/>
          <w:sz w:val="28"/>
          <w:szCs w:val="28"/>
          <w:lang w:val="kk-KZ"/>
        </w:rPr>
        <w:t xml:space="preserve">онного потенциала </w:t>
      </w:r>
      <w:r w:rsidR="007E740E">
        <w:rPr>
          <w:rFonts w:ascii="Times New Roman" w:hAnsi="Times New Roman" w:cs="Times New Roman"/>
          <w:sz w:val="28"/>
          <w:szCs w:val="28"/>
          <w:lang w:val="kk-KZ"/>
        </w:rPr>
        <w:fldChar w:fldCharType="begin"/>
      </w:r>
      <w:r w:rsidR="00CD052D">
        <w:rPr>
          <w:rFonts w:ascii="Times New Roman" w:hAnsi="Times New Roman" w:cs="Times New Roman"/>
          <w:sz w:val="28"/>
          <w:szCs w:val="28"/>
          <w:lang w:val="kk-KZ"/>
        </w:rPr>
        <w:instrText xml:space="preserve"> ADDIN ZOTERO_ITEM CSL_CITATION {"citationID":"a1970vau76m","properties":{"formattedCitation":"[178]","plainCitation":"[178]","noteIndex":0},"citationItems":[{"id":246,"uris":["http://zotero.org/users/16887523/items/TEHU37HV"],"itemData":{"id":246,"type":"document","language":"English","publisher":"Economic Planning Unit","title":"Malaysia Digital Economy Blueprint (MyDIGITAL)","URL":"https://ekonomi.gov.my/sites/default/files/2021-02/malaysia-digital-economy-blueprint.pdf?utm_source=chatgpt.com","author":[{"literal":"Government of Malaysia"}],"issued":{"date-parts":[["2021"]]}}}],"schema":"https://github.com/citation-style-language/schema/raw/master/csl-citation.json"} </w:instrText>
      </w:r>
      <w:r w:rsidR="007E740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[178]</w:t>
      </w:r>
      <w:r w:rsidR="007E740E">
        <w:rPr>
          <w:rFonts w:ascii="Times New Roman" w:hAnsi="Times New Roman" w:cs="Times New Roman"/>
          <w:sz w:val="28"/>
          <w:szCs w:val="28"/>
          <w:lang w:val="kk-KZ"/>
        </w:rPr>
        <w:fldChar w:fldCharType="end"/>
      </w:r>
      <w:r w:rsidRPr="00D76ADF">
        <w:rPr>
          <w:rFonts w:ascii="Times New Roman" w:hAnsi="Times New Roman" w:cs="Times New Roman"/>
          <w:sz w:val="28"/>
          <w:szCs w:val="28"/>
          <w:lang w:val="kk-KZ"/>
        </w:rPr>
        <w:t>.</w:t>
      </w:r>
    </w:p>
    <w:p w14:paraId="068B3494" w14:textId="7969683D" w:rsidR="00D76ADF" w:rsidRPr="00D76ADF" w:rsidRDefault="00D76ADF" w:rsidP="002F33D0">
      <w:pPr>
        <w:tabs>
          <w:tab w:val="left" w:pos="851"/>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 xml:space="preserve">Польша применяет стратегию интеллектуальной специализации (Smart Specialisation Strategy), нацеленную на развитие инновационного потенциала в рамках региональных приоритетов. Через фонд National Centre for Research and Development </w:t>
      </w:r>
      <w:r w:rsidR="007E740E">
        <w:rPr>
          <w:rFonts w:ascii="Times New Roman" w:hAnsi="Times New Roman" w:cs="Times New Roman"/>
          <w:sz w:val="28"/>
          <w:szCs w:val="28"/>
          <w:lang w:val="kk-KZ"/>
        </w:rPr>
        <w:fldChar w:fldCharType="begin"/>
      </w:r>
      <w:r w:rsidR="00CD052D">
        <w:rPr>
          <w:rFonts w:ascii="Times New Roman" w:hAnsi="Times New Roman" w:cs="Times New Roman"/>
          <w:sz w:val="28"/>
          <w:szCs w:val="28"/>
          <w:lang w:val="kk-KZ"/>
        </w:rPr>
        <w:instrText xml:space="preserve"> ADDIN ZOTERO_ITEM CSL_CITATION {"citationID":"a13k223bhpe","properties":{"formattedCitation":"[179]","plainCitation":"[179]","noteIndex":0},"citationItems":[{"id":247,"uris":["http://zotero.org/users/16887523/items/QMS8RHS3"],"itemData":{"id":247,"type":"document","language":"English","title":"National Centre for Research and Development (NCBR) – Official website","URL":"https://www.gov.pl/web/ncbr-en?utm_source=chatgpt.com","author":[{"literal":"National Centre for Research and Development (NCBR)"}]}}],"schema":"https://github.com/citation-style-language/schema/raw/master/csl-citation.json"} </w:instrText>
      </w:r>
      <w:r w:rsidR="007E740E">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[179]</w:t>
      </w:r>
      <w:r w:rsidR="007E740E">
        <w:rPr>
          <w:rFonts w:ascii="Times New Roman" w:hAnsi="Times New Roman" w:cs="Times New Roman"/>
          <w:sz w:val="28"/>
          <w:szCs w:val="28"/>
          <w:lang w:val="kk-KZ"/>
        </w:rPr>
        <w:fldChar w:fldCharType="end"/>
      </w:r>
      <w:r w:rsidR="007E740E">
        <w:rPr>
          <w:rFonts w:ascii="Times New Roman" w:hAnsi="Times New Roman" w:cs="Times New Roman"/>
          <w:sz w:val="28"/>
          <w:szCs w:val="28"/>
          <w:lang w:val="kk-KZ"/>
        </w:rPr>
        <w:t xml:space="preserve"> </w:t>
      </w:r>
      <w:r w:rsidRPr="00D76ADF">
        <w:rPr>
          <w:rFonts w:ascii="Times New Roman" w:hAnsi="Times New Roman" w:cs="Times New Roman"/>
          <w:sz w:val="28"/>
          <w:szCs w:val="28"/>
          <w:lang w:val="kk-KZ"/>
        </w:rPr>
        <w:t>поддерживаются консорциумы университетов и предприятий, формируются дорожные карты внедрения технологий в отдельных секторах, проводится цифровая оценка гото</w:t>
      </w:r>
      <w:r w:rsidR="007E740E">
        <w:rPr>
          <w:rFonts w:ascii="Times New Roman" w:hAnsi="Times New Roman" w:cs="Times New Roman"/>
          <w:sz w:val="28"/>
          <w:szCs w:val="28"/>
          <w:lang w:val="kk-KZ"/>
        </w:rPr>
        <w:t>вности предприятий к инновациям</w:t>
      </w:r>
      <w:r w:rsidRPr="00D76ADF">
        <w:rPr>
          <w:rFonts w:ascii="Times New Roman" w:hAnsi="Times New Roman" w:cs="Times New Roman"/>
          <w:sz w:val="28"/>
          <w:szCs w:val="28"/>
          <w:lang w:val="kk-KZ"/>
        </w:rPr>
        <w:t>.</w:t>
      </w:r>
    </w:p>
    <w:p w14:paraId="57C6997B" w14:textId="6135464B" w:rsidR="00D76ADF" w:rsidRPr="00D76ADF" w:rsidRDefault="00D76ADF" w:rsidP="002F33D0">
      <w:pPr>
        <w:tabs>
          <w:tab w:val="left" w:pos="851"/>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Чехия использует систему интеграции научных и бизнес-структур через национальные и европейские программы. В центре проектирования находятся инновационные хабы и компетентностные центры, работающие по принципу открытых платформ. Активно применяется цифровая модель мониторинга, в том числе для оценки внедрения цифровых техноло</w:t>
      </w:r>
      <w:r w:rsidR="007E740E">
        <w:rPr>
          <w:rFonts w:ascii="Times New Roman" w:hAnsi="Times New Roman" w:cs="Times New Roman"/>
          <w:sz w:val="28"/>
          <w:szCs w:val="28"/>
          <w:lang w:val="kk-KZ"/>
        </w:rPr>
        <w:t>гий в производственные процессы</w:t>
      </w:r>
      <w:r w:rsidR="002C07C1">
        <w:rPr>
          <w:rFonts w:ascii="Times New Roman" w:hAnsi="Times New Roman" w:cs="Times New Roman"/>
          <w:sz w:val="28"/>
          <w:szCs w:val="28"/>
          <w:lang w:val="kk-KZ"/>
        </w:rPr>
        <w:t xml:space="preserve"> </w:t>
      </w:r>
      <w:r w:rsidR="002C07C1">
        <w:rPr>
          <w:rFonts w:ascii="Times New Roman" w:hAnsi="Times New Roman" w:cs="Times New Roman"/>
          <w:sz w:val="28"/>
          <w:szCs w:val="28"/>
          <w:lang w:val="kk-KZ"/>
        </w:rPr>
        <w:fldChar w:fldCharType="begin"/>
      </w:r>
      <w:r w:rsidR="00CD052D">
        <w:rPr>
          <w:rFonts w:ascii="Times New Roman" w:hAnsi="Times New Roman" w:cs="Times New Roman"/>
          <w:sz w:val="28"/>
          <w:szCs w:val="28"/>
          <w:lang w:val="kk-KZ"/>
        </w:rPr>
        <w:instrText xml:space="preserve"> ADDIN ZOTERO_ITEM CSL_CITATION {"citationID":"a1nnp1b821b","properties":{"formattedCitation":"[180]","plainCitation":"[180]","noteIndex":0},"citationItems":[{"id":248,"uris":["http://zotero.org/users/16887523/items/5Q62WEYZ"],"itemData":{"id":248,"type":"document","title":"National Research and Innovation Strategy for Smart Specialisation of the Czech Republic 2021–2027","URL":"https://ris3.gov.cz/en/about-ris3/national-dimension/national-research-and-innovation-strategy-for-smart-specialisation-of-the-czech-republic-2021-2027","author":[{"literal":"Ministry of Industry and Trade of the Czech Republic"},{"literal":"MIT Czech Republic"}]}}],"schema":"https://github.com/citation-style-language/schema/raw/master/csl-citation.json"} </w:instrText>
      </w:r>
      <w:r w:rsidR="002C07C1">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[180]</w:t>
      </w:r>
      <w:r w:rsidR="002C07C1">
        <w:rPr>
          <w:rFonts w:ascii="Times New Roman" w:hAnsi="Times New Roman" w:cs="Times New Roman"/>
          <w:sz w:val="28"/>
          <w:szCs w:val="28"/>
          <w:lang w:val="kk-KZ"/>
        </w:rPr>
        <w:fldChar w:fldCharType="end"/>
      </w:r>
      <w:r w:rsidRPr="00D76ADF">
        <w:rPr>
          <w:rFonts w:ascii="Times New Roman" w:hAnsi="Times New Roman" w:cs="Times New Roman"/>
          <w:sz w:val="28"/>
          <w:szCs w:val="28"/>
          <w:lang w:val="kk-KZ"/>
        </w:rPr>
        <w:t>.</w:t>
      </w:r>
    </w:p>
    <w:p w14:paraId="4C2DC28C" w14:textId="7F91C984" w:rsidR="00D76ADF" w:rsidRPr="00D76ADF" w:rsidRDefault="00D76ADF" w:rsidP="002F33D0">
      <w:pPr>
        <w:tabs>
          <w:tab w:val="left" w:pos="851"/>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Эстония демонстрирует успешную реализацию цифровых стратегий, несмотря на ограниченность ресурсов. Национальная программа e-Estonia</w:t>
      </w:r>
      <w:r w:rsidR="00F343EF">
        <w:rPr>
          <w:rFonts w:ascii="Times New Roman" w:hAnsi="Times New Roman" w:cs="Times New Roman"/>
          <w:sz w:val="28"/>
          <w:szCs w:val="28"/>
          <w:lang w:val="kk-KZ"/>
        </w:rPr>
        <w:t xml:space="preserve"> </w:t>
      </w:r>
      <w:r w:rsidR="00F343EF">
        <w:rPr>
          <w:rFonts w:ascii="Times New Roman" w:hAnsi="Times New Roman" w:cs="Times New Roman"/>
          <w:sz w:val="28"/>
          <w:szCs w:val="28"/>
          <w:lang w:val="kk-KZ"/>
        </w:rPr>
        <w:fldChar w:fldCharType="begin"/>
      </w:r>
      <w:r w:rsidR="00CD052D">
        <w:rPr>
          <w:rFonts w:ascii="Times New Roman" w:hAnsi="Times New Roman" w:cs="Times New Roman"/>
          <w:sz w:val="28"/>
          <w:szCs w:val="28"/>
          <w:lang w:val="kk-KZ"/>
        </w:rPr>
        <w:instrText xml:space="preserve"> ADDIN ZOTERO_ITEM CSL_CITATION {"citationID":"a157me7cp01","properties":{"formattedCitation":"[181]","plainCitation":"[181]","noteIndex":0},"citationItems":[{"id":249,"uris":["http://zotero.org/users/16887523/items/HNK4QXWS"],"itemData":{"id":249,"type":"document","language":"English","publisher":"Estonian Business and Innovation Agency","title":"e‑Estonia - official website","URL":"https://e-estonia.com/","author":[{"literal":"e‑Estonia Briefing Centre"}]}}],"schema":"https://github.com/citation-style-language/schema/raw/master/csl-citation.json"} </w:instrText>
      </w:r>
      <w:r w:rsidR="00F343EF">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[181]</w:t>
      </w:r>
      <w:r w:rsidR="00F343EF">
        <w:rPr>
          <w:rFonts w:ascii="Times New Roman" w:hAnsi="Times New Roman" w:cs="Times New Roman"/>
          <w:sz w:val="28"/>
          <w:szCs w:val="28"/>
          <w:lang w:val="kk-KZ"/>
        </w:rPr>
        <w:fldChar w:fldCharType="end"/>
      </w:r>
      <w:r w:rsidR="00F343EF">
        <w:rPr>
          <w:rFonts w:ascii="Times New Roman" w:hAnsi="Times New Roman" w:cs="Times New Roman"/>
          <w:sz w:val="28"/>
          <w:szCs w:val="28"/>
          <w:lang w:val="kk-KZ"/>
        </w:rPr>
        <w:t xml:space="preserve"> </w:t>
      </w:r>
      <w:r w:rsidRPr="00D76ADF">
        <w:rPr>
          <w:rFonts w:ascii="Times New Roman" w:hAnsi="Times New Roman" w:cs="Times New Roman"/>
          <w:sz w:val="28"/>
          <w:szCs w:val="28"/>
          <w:lang w:val="kk-KZ"/>
        </w:rPr>
        <w:t xml:space="preserve"> включает цифровую архитектуру государственного управления, поддержку инноваций в стартап-среде, акселераторы при университетах и цифровые профили предприятий как инструмент оценки и проектиро</w:t>
      </w:r>
      <w:r w:rsidR="007E740E">
        <w:rPr>
          <w:rFonts w:ascii="Times New Roman" w:hAnsi="Times New Roman" w:cs="Times New Roman"/>
          <w:sz w:val="28"/>
          <w:szCs w:val="28"/>
          <w:lang w:val="kk-KZ"/>
        </w:rPr>
        <w:t>вания инновационного потенциала</w:t>
      </w:r>
      <w:r w:rsidRPr="00D76ADF">
        <w:rPr>
          <w:rFonts w:ascii="Times New Roman" w:hAnsi="Times New Roman" w:cs="Times New Roman"/>
          <w:sz w:val="28"/>
          <w:szCs w:val="28"/>
          <w:lang w:val="kk-KZ"/>
        </w:rPr>
        <w:t>.</w:t>
      </w:r>
    </w:p>
    <w:p w14:paraId="541C2329" w14:textId="77777777" w:rsidR="00D76ADF" w:rsidRPr="00D76ADF" w:rsidRDefault="00D76ADF" w:rsidP="002F33D0">
      <w:pPr>
        <w:tabs>
          <w:tab w:val="left" w:pos="851"/>
        </w:tabs>
        <w:spacing w:after="0" w:line="240" w:lineRule="auto"/>
        <w:ind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Анализ показал, что в странах с переходной экономикой:</w:t>
      </w:r>
    </w:p>
    <w:p w14:paraId="3235A200" w14:textId="77777777" w:rsidR="00D76ADF" w:rsidRPr="00D76ADF" w:rsidRDefault="00D76ADF" w:rsidP="007F5E68">
      <w:pPr>
        <w:pStyle w:val="a3"/>
        <w:numPr>
          <w:ilvl w:val="0"/>
          <w:numId w:val="5"/>
        </w:numPr>
        <w:tabs>
          <w:tab w:val="left" w:pos="851"/>
        </w:tabs>
        <w:spacing w:after="0" w:line="240" w:lineRule="auto"/>
        <w:ind w:left="0"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важную роль играют государственные инициативы по выстраиванию инновационной инфраструктуры;</w:t>
      </w:r>
    </w:p>
    <w:p w14:paraId="3956D5B1" w14:textId="77777777" w:rsidR="00D76ADF" w:rsidRPr="00D76ADF" w:rsidRDefault="00D76ADF" w:rsidP="007F5E68">
      <w:pPr>
        <w:pStyle w:val="a3"/>
        <w:numPr>
          <w:ilvl w:val="0"/>
          <w:numId w:val="5"/>
        </w:numPr>
        <w:tabs>
          <w:tab w:val="left" w:pos="851"/>
        </w:tabs>
        <w:spacing w:after="0" w:line="240" w:lineRule="auto"/>
        <w:ind w:left="0"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проектирование инновационного потенциала осуществляется через цифровые и индустриальные стратегии, включающие инструменты акселерации, кластеризации и цифрового сопровождения;</w:t>
      </w:r>
    </w:p>
    <w:p w14:paraId="5C75CF18" w14:textId="77777777" w:rsidR="00D76ADF" w:rsidRPr="00D76ADF" w:rsidRDefault="00D76ADF" w:rsidP="007F5E68">
      <w:pPr>
        <w:pStyle w:val="a3"/>
        <w:numPr>
          <w:ilvl w:val="0"/>
          <w:numId w:val="5"/>
        </w:numPr>
        <w:tabs>
          <w:tab w:val="left" w:pos="851"/>
        </w:tabs>
        <w:spacing w:after="0" w:line="240" w:lineRule="auto"/>
        <w:ind w:left="0"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особое внимание уделяется поддержке МСП, как наиболее гибкому элементу инновационной системы;</w:t>
      </w:r>
    </w:p>
    <w:p w14:paraId="650C689A" w14:textId="77777777" w:rsidR="00D76ADF" w:rsidRPr="00D76ADF" w:rsidRDefault="00D76ADF" w:rsidP="007F5E68">
      <w:pPr>
        <w:pStyle w:val="a3"/>
        <w:numPr>
          <w:ilvl w:val="0"/>
          <w:numId w:val="5"/>
        </w:numPr>
        <w:tabs>
          <w:tab w:val="left" w:pos="851"/>
        </w:tabs>
        <w:spacing w:after="0" w:line="240" w:lineRule="auto"/>
        <w:ind w:left="0" w:firstLine="567"/>
        <w:jc w:val="both"/>
        <w:rPr>
          <w:rFonts w:ascii="Times New Roman" w:hAnsi="Times New Roman" w:cs="Times New Roman"/>
          <w:sz w:val="28"/>
          <w:szCs w:val="28"/>
          <w:lang w:val="kk-KZ"/>
        </w:rPr>
      </w:pPr>
      <w:r w:rsidRPr="00D76ADF">
        <w:rPr>
          <w:rFonts w:ascii="Times New Roman" w:hAnsi="Times New Roman" w:cs="Times New Roman"/>
          <w:sz w:val="28"/>
          <w:szCs w:val="28"/>
          <w:lang w:val="kk-KZ"/>
        </w:rPr>
        <w:t>применяется адаптивный подход, позволяющий учитывать институциональные ограничения и кадровые ресурсы.</w:t>
      </w:r>
    </w:p>
    <w:p w14:paraId="5832FA56" w14:textId="42C39913" w:rsidR="00D76ADF" w:rsidRDefault="000547B4" w:rsidP="002F33D0">
      <w:pPr>
        <w:tabs>
          <w:tab w:val="left" w:pos="851"/>
        </w:tabs>
        <w:spacing w:after="0" w:line="240" w:lineRule="auto"/>
        <w:ind w:firstLine="567"/>
        <w:jc w:val="both"/>
        <w:rPr>
          <w:rFonts w:ascii="Times New Roman" w:hAnsi="Times New Roman" w:cs="Times New Roman"/>
          <w:sz w:val="28"/>
          <w:szCs w:val="28"/>
          <w:lang w:val="kk-KZ"/>
        </w:rPr>
      </w:pPr>
      <w:r w:rsidRPr="000547B4">
        <w:rPr>
          <w:rFonts w:ascii="Times New Roman" w:hAnsi="Times New Roman" w:cs="Times New Roman"/>
          <w:sz w:val="28"/>
          <w:szCs w:val="28"/>
          <w:lang w:val="kk-KZ"/>
        </w:rPr>
        <w:t>Таким образом, сравнительный анализ практик проектирования инновационного потенциала в развитых и развивающихся странах позволяет выявить как общие черты, так и ключевые различия. Наиболее существенные характеристики представлены в таблице 7.</w:t>
      </w:r>
    </w:p>
    <w:p w14:paraId="7F5EBBD9" w14:textId="72D72748" w:rsidR="00A64D4E" w:rsidRDefault="00A64D4E" w:rsidP="002F33D0">
      <w:pPr>
        <w:tabs>
          <w:tab w:val="left" w:pos="851"/>
        </w:tabs>
        <w:spacing w:after="0" w:line="240" w:lineRule="auto"/>
        <w:jc w:val="both"/>
        <w:rPr>
          <w:rFonts w:ascii="Times New Roman" w:hAnsi="Times New Roman" w:cs="Times New Roman"/>
          <w:sz w:val="28"/>
          <w:szCs w:val="28"/>
          <w:lang w:val="kk-KZ"/>
        </w:rPr>
      </w:pPr>
    </w:p>
    <w:p w14:paraId="430AF62F" w14:textId="565EF62D" w:rsidR="00A64D4E" w:rsidRDefault="00A64D4E">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5C6BD503" w14:textId="77777777" w:rsidR="00A64D4E" w:rsidRDefault="00A64D4E" w:rsidP="002F33D0">
      <w:pPr>
        <w:tabs>
          <w:tab w:val="left" w:pos="851"/>
        </w:tabs>
        <w:spacing w:after="0" w:line="240" w:lineRule="auto"/>
        <w:jc w:val="both"/>
        <w:rPr>
          <w:rFonts w:ascii="Times New Roman" w:hAnsi="Times New Roman" w:cs="Times New Roman"/>
          <w:sz w:val="28"/>
          <w:szCs w:val="28"/>
          <w:lang w:val="kk-KZ"/>
        </w:rPr>
        <w:sectPr w:rsidR="00A64D4E" w:rsidSect="00CE2018">
          <w:footerReference w:type="default" r:id="rId19"/>
          <w:pgSz w:w="11906" w:h="16838"/>
          <w:pgMar w:top="1134" w:right="567" w:bottom="1134" w:left="1701" w:header="709" w:footer="709" w:gutter="0"/>
          <w:cols w:space="708"/>
          <w:docGrid w:linePitch="360"/>
        </w:sectPr>
      </w:pPr>
    </w:p>
    <w:p w14:paraId="36D8F415" w14:textId="3F42D39C" w:rsidR="00D76ADF" w:rsidRDefault="00A64D4E" w:rsidP="00A64D4E">
      <w:pPr>
        <w:tabs>
          <w:tab w:val="left" w:pos="851"/>
        </w:tabs>
        <w:rPr>
          <w:rFonts w:ascii="Times New Roman" w:hAnsi="Times New Roman" w:cs="Times New Roman"/>
          <w:sz w:val="28"/>
          <w:szCs w:val="28"/>
          <w:lang w:val="kk-KZ"/>
        </w:rPr>
      </w:pPr>
      <w:r>
        <w:rPr>
          <w:rFonts w:ascii="Times New Roman" w:hAnsi="Times New Roman" w:cs="Times New Roman"/>
          <w:sz w:val="28"/>
          <w:szCs w:val="28"/>
          <w:lang w:val="kk-KZ"/>
        </w:rPr>
        <w:lastRenderedPageBreak/>
        <w:t>Т</w:t>
      </w:r>
      <w:r w:rsidR="00D76ADF">
        <w:rPr>
          <w:rFonts w:ascii="Times New Roman" w:hAnsi="Times New Roman" w:cs="Times New Roman"/>
          <w:sz w:val="28"/>
          <w:szCs w:val="28"/>
          <w:lang w:val="kk-KZ"/>
        </w:rPr>
        <w:t xml:space="preserve">аблица 7 – </w:t>
      </w:r>
      <w:r w:rsidR="000547B4" w:rsidRPr="000547B4">
        <w:rPr>
          <w:rFonts w:ascii="Times New Roman" w:hAnsi="Times New Roman" w:cs="Times New Roman"/>
          <w:sz w:val="28"/>
          <w:szCs w:val="28"/>
          <w:lang w:val="kk-KZ"/>
        </w:rPr>
        <w:t>Сравнительный анализ практик проектирования инновационного потенциала в развитых и развивающихся странах</w:t>
      </w:r>
    </w:p>
    <w:p w14:paraId="1EC25339" w14:textId="3C59F53B" w:rsidR="00F343EF" w:rsidRDefault="005051D4" w:rsidP="002F33D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6221A3F6" wp14:editId="1A056A9F">
                <wp:simplePos x="0" y="0"/>
                <wp:positionH relativeFrom="column">
                  <wp:posOffset>-381381</wp:posOffset>
                </wp:positionH>
                <wp:positionV relativeFrom="paragraph">
                  <wp:posOffset>2762885</wp:posOffset>
                </wp:positionV>
                <wp:extent cx="457200" cy="246888"/>
                <wp:effectExtent l="0" t="0" r="0" b="0"/>
                <wp:wrapNone/>
                <wp:docPr id="169" name="Надпись 169"/>
                <wp:cNvGraphicFramePr/>
                <a:graphic xmlns:a="http://schemas.openxmlformats.org/drawingml/2006/main">
                  <a:graphicData uri="http://schemas.microsoft.com/office/word/2010/wordprocessingShape">
                    <wps:wsp>
                      <wps:cNvSpPr txBox="1"/>
                      <wps:spPr>
                        <a:xfrm rot="5400000">
                          <a:off x="0" y="0"/>
                          <a:ext cx="457200" cy="24688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2C17CAD" w14:textId="003C70A3" w:rsidR="001D4931" w:rsidRPr="00A64D4E" w:rsidRDefault="001D4931" w:rsidP="005051D4">
                            <w:pPr>
                              <w:jc w:val="center"/>
                              <w:rPr>
                                <w:rFonts w:ascii="Times New Roman" w:hAnsi="Times New Roman" w:cs="Times New Roman"/>
                                <w:color w:val="404040" w:themeColor="text1" w:themeTint="BF"/>
                                <w:lang w:val="kk-KZ"/>
                              </w:rPr>
                            </w:pPr>
                            <w:r w:rsidRPr="00A64D4E">
                              <w:rPr>
                                <w:rFonts w:ascii="Times New Roman" w:hAnsi="Times New Roman" w:cs="Times New Roman"/>
                                <w:color w:val="404040" w:themeColor="text1" w:themeTint="BF"/>
                                <w:lang w:val="kk-KZ"/>
                              </w:rPr>
                              <w:t>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1A3F6" id="Надпись 169" o:spid="_x0000_s1068" type="#_x0000_t202" style="position:absolute;left:0;text-align:left;margin-left:-30.05pt;margin-top:217.55pt;width:36pt;height:19.45pt;rotation:9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jRLnAIAAHMFAAAOAAAAZHJzL2Uyb0RvYy54bWysVM1uEzEQviPxDpbvdJMoLWnUTRVaFSFV&#10;bUWLena8drLC6zFjJ7vhxp1X4B04cODGK6RvxNibDaFwKWIPlnd+Ps9889knp01l2EqhL8HmvH/Q&#10;40xZCUVp5zl/d3fxYsSZD8IWwoBVOV8rz08nz5+d1G6sBrAAUyhkBGL9uHY5X4Tgxlnm5UJVwh+A&#10;U5acGrASgX5xnhUoakKvTDbo9Y6yGrBwCFJ5T9bz1sknCV9rJcO11l4FZnJOtYW0Ylpncc0mJ2I8&#10;R+EWpdyWIf6hikqUlg7dQZ2LINgSyz+gqlIieNDhQEKVgdalVKkH6qbfe9TN7UI4lXohcrzb0eT/&#10;H6y8Wt0gKwua3dExZ1ZUNKTNl83XzbfNj833h08Pn1n0EE+182MKv3WUEJpX0FBOZ/dkjO03GiuG&#10;QDQfDnvxS6RQm4yiif/1jnPVBCbJODx8SXPkTJJrMDwajUYRM2uhIqRDH14rqFjc5BxppAlUrC59&#10;aEO7kBhu4aI0Jo3V2N8MhBktWeyjrTftwtqoGGfsW6WJiVRoNHiJ89mZQdbKhfRMZXaiSWCUEAM1&#10;HfjE3G1KzFZJpU/M3yWl88GGXX5VWsBEULpDKjawEqT+4n2aFhWu2/iOipaAyEVoZk2rhd3AZ1Cs&#10;ad5ppNS+d/KipDlcCh9uBNJVISNd/3BNizZQ5xy2O84WgB//Zo/xpGDyclbT1cu5/7AUqDgzbyxp&#10;+7g/HBJsSD9JH5zhvme277HL6gyov36qLm0pGYPpthqhuqdXYhpPJZewks7Oeei2Z6GdML0yUk2n&#10;KYhupxPh0t46GaEjzVFld829QLeVYiANX0F3ScX4kSLb2JhpYboMoMsk10h0y+p2AHSzk+C3r1B8&#10;Ovb/U9Svt3LyEwAA//8DAFBLAwQUAAYACAAAACEAttvnAt8AAAAKAQAADwAAAGRycy9kb3ducmV2&#10;LnhtbEyPz06DQBCH7ya+w2ZMvNEFJbQiS6NN6kG5tPoAW3YEIjtL2KWgT+94qrf58+U33xTbxfbi&#10;jKPvHClIVjEIpNqZjhoFH+/7aAPCB01G945QwTd62JbXV4XOjZvpgOdjaASHkM+1gjaEIZfS1y1a&#10;7VduQOLdpxutDtyOjTSjnjnc9vIujjNpdUd8odUD7lqsv46TVTDNbz3tXqvqJVv/HPZVnVTLc6LU&#10;7c3y9Agi4BIuMPzpszqU7HRyExkvegVRep8xqiBNNlwwEaVrECcePMQZyLKQ/18ofwEAAP//AwBQ&#10;SwECLQAUAAYACAAAACEAtoM4kv4AAADhAQAAEwAAAAAAAAAAAAAAAAAAAAAAW0NvbnRlbnRfVHlw&#10;ZXNdLnhtbFBLAQItABQABgAIAAAAIQA4/SH/1gAAAJQBAAALAAAAAAAAAAAAAAAAAC8BAABfcmVs&#10;cy8ucmVsc1BLAQItABQABgAIAAAAIQCk5jRLnAIAAHMFAAAOAAAAAAAAAAAAAAAAAC4CAABkcnMv&#10;ZTJvRG9jLnhtbFBLAQItABQABgAIAAAAIQC22+cC3wAAAAoBAAAPAAAAAAAAAAAAAAAAAPYEAABk&#10;cnMvZG93bnJldi54bWxQSwUGAAAAAAQABADzAAAAAgYAAAAA&#10;" filled="f" stroked="f">
                <v:textbox>
                  <w:txbxContent>
                    <w:p w14:paraId="62C17CAD" w14:textId="003C70A3" w:rsidR="001D4931" w:rsidRPr="00A64D4E" w:rsidRDefault="001D4931" w:rsidP="005051D4">
                      <w:pPr>
                        <w:jc w:val="center"/>
                        <w:rPr>
                          <w:rFonts w:ascii="Times New Roman" w:hAnsi="Times New Roman" w:cs="Times New Roman"/>
                          <w:color w:val="404040" w:themeColor="text1" w:themeTint="BF"/>
                          <w:lang w:val="kk-KZ"/>
                        </w:rPr>
                      </w:pPr>
                      <w:r w:rsidRPr="00A64D4E">
                        <w:rPr>
                          <w:rFonts w:ascii="Times New Roman" w:hAnsi="Times New Roman" w:cs="Times New Roman"/>
                          <w:color w:val="404040" w:themeColor="text1" w:themeTint="BF"/>
                          <w:lang w:val="kk-KZ"/>
                        </w:rPr>
                        <w:t>54</w:t>
                      </w:r>
                    </w:p>
                  </w:txbxContent>
                </v:textbox>
              </v:shape>
            </w:pict>
          </mc:Fallback>
        </mc:AlternateContent>
      </w:r>
    </w:p>
    <w:tbl>
      <w:tblPr>
        <w:tblStyle w:val="a5"/>
        <w:tblW w:w="0" w:type="auto"/>
        <w:tblLook w:val="04A0" w:firstRow="1" w:lastRow="0" w:firstColumn="1" w:lastColumn="0" w:noHBand="0" w:noVBand="1"/>
      </w:tblPr>
      <w:tblGrid>
        <w:gridCol w:w="1205"/>
        <w:gridCol w:w="1407"/>
        <w:gridCol w:w="2079"/>
        <w:gridCol w:w="2445"/>
        <w:gridCol w:w="2346"/>
        <w:gridCol w:w="2143"/>
        <w:gridCol w:w="2935"/>
      </w:tblGrid>
      <w:tr w:rsidR="000547B4" w:rsidRPr="00937878" w14:paraId="7D45C967" w14:textId="77777777" w:rsidTr="000547B4">
        <w:tc>
          <w:tcPr>
            <w:tcW w:w="0" w:type="auto"/>
            <w:hideMark/>
          </w:tcPr>
          <w:p w14:paraId="1338F2CE" w14:textId="77777777" w:rsidR="000547B4" w:rsidRPr="00937878" w:rsidRDefault="000547B4" w:rsidP="002F33D0">
            <w:pPr>
              <w:ind w:firstLine="0"/>
              <w:jc w:val="center"/>
              <w:rPr>
                <w:rFonts w:eastAsia="Times New Roman"/>
                <w:bCs/>
                <w:szCs w:val="24"/>
                <w:lang w:eastAsia="ru-RU"/>
              </w:rPr>
            </w:pPr>
            <w:r w:rsidRPr="00937878">
              <w:rPr>
                <w:rFonts w:eastAsia="Times New Roman"/>
                <w:bCs/>
                <w:szCs w:val="24"/>
                <w:lang w:eastAsia="ru-RU"/>
              </w:rPr>
              <w:t>Группа стран</w:t>
            </w:r>
          </w:p>
        </w:tc>
        <w:tc>
          <w:tcPr>
            <w:tcW w:w="0" w:type="auto"/>
            <w:hideMark/>
          </w:tcPr>
          <w:p w14:paraId="0AC78A8D" w14:textId="77777777" w:rsidR="000547B4" w:rsidRPr="00937878" w:rsidRDefault="000547B4" w:rsidP="002F33D0">
            <w:pPr>
              <w:ind w:firstLine="0"/>
              <w:jc w:val="center"/>
              <w:rPr>
                <w:rFonts w:eastAsia="Times New Roman"/>
                <w:bCs/>
                <w:szCs w:val="24"/>
                <w:lang w:eastAsia="ru-RU"/>
              </w:rPr>
            </w:pPr>
            <w:r w:rsidRPr="00937878">
              <w:rPr>
                <w:rFonts w:eastAsia="Times New Roman"/>
                <w:bCs/>
                <w:szCs w:val="24"/>
                <w:lang w:eastAsia="ru-RU"/>
              </w:rPr>
              <w:t>Страна</w:t>
            </w:r>
          </w:p>
        </w:tc>
        <w:tc>
          <w:tcPr>
            <w:tcW w:w="0" w:type="auto"/>
            <w:hideMark/>
          </w:tcPr>
          <w:p w14:paraId="241B022A" w14:textId="77777777" w:rsidR="000547B4" w:rsidRPr="00937878" w:rsidRDefault="000547B4" w:rsidP="002F33D0">
            <w:pPr>
              <w:ind w:firstLine="0"/>
              <w:jc w:val="center"/>
              <w:rPr>
                <w:rFonts w:eastAsia="Times New Roman"/>
                <w:bCs/>
                <w:szCs w:val="24"/>
                <w:lang w:eastAsia="ru-RU"/>
              </w:rPr>
            </w:pPr>
            <w:r w:rsidRPr="00937878">
              <w:rPr>
                <w:rFonts w:eastAsia="Times New Roman"/>
                <w:bCs/>
                <w:szCs w:val="24"/>
                <w:lang w:eastAsia="ru-RU"/>
              </w:rPr>
              <w:t>Национальные стратегии и программы</w:t>
            </w:r>
          </w:p>
        </w:tc>
        <w:tc>
          <w:tcPr>
            <w:tcW w:w="0" w:type="auto"/>
            <w:hideMark/>
          </w:tcPr>
          <w:p w14:paraId="3B2ECEEA" w14:textId="77777777" w:rsidR="000547B4" w:rsidRPr="00937878" w:rsidRDefault="000547B4" w:rsidP="002F33D0">
            <w:pPr>
              <w:ind w:firstLine="0"/>
              <w:jc w:val="center"/>
              <w:rPr>
                <w:rFonts w:eastAsia="Times New Roman"/>
                <w:bCs/>
                <w:szCs w:val="24"/>
                <w:lang w:eastAsia="ru-RU"/>
              </w:rPr>
            </w:pPr>
            <w:r w:rsidRPr="00937878">
              <w:rPr>
                <w:rFonts w:eastAsia="Times New Roman"/>
                <w:bCs/>
                <w:szCs w:val="24"/>
                <w:lang w:eastAsia="ru-RU"/>
              </w:rPr>
              <w:t>Ключевые механизмы проектирования</w:t>
            </w:r>
          </w:p>
        </w:tc>
        <w:tc>
          <w:tcPr>
            <w:tcW w:w="0" w:type="auto"/>
            <w:hideMark/>
          </w:tcPr>
          <w:p w14:paraId="0DC4AFB1" w14:textId="77777777" w:rsidR="000547B4" w:rsidRPr="00937878" w:rsidRDefault="000547B4" w:rsidP="002F33D0">
            <w:pPr>
              <w:ind w:firstLine="0"/>
              <w:jc w:val="center"/>
              <w:rPr>
                <w:rFonts w:eastAsia="Times New Roman"/>
                <w:bCs/>
                <w:szCs w:val="24"/>
                <w:lang w:eastAsia="ru-RU"/>
              </w:rPr>
            </w:pPr>
            <w:r w:rsidRPr="00937878">
              <w:rPr>
                <w:rFonts w:eastAsia="Times New Roman"/>
                <w:bCs/>
                <w:szCs w:val="24"/>
                <w:lang w:eastAsia="ru-RU"/>
              </w:rPr>
              <w:t>Уровень координации</w:t>
            </w:r>
          </w:p>
        </w:tc>
        <w:tc>
          <w:tcPr>
            <w:tcW w:w="0" w:type="auto"/>
            <w:hideMark/>
          </w:tcPr>
          <w:p w14:paraId="4D94D41E" w14:textId="77777777" w:rsidR="000547B4" w:rsidRPr="00937878" w:rsidRDefault="000547B4" w:rsidP="002F33D0">
            <w:pPr>
              <w:ind w:firstLine="0"/>
              <w:jc w:val="center"/>
              <w:rPr>
                <w:rFonts w:eastAsia="Times New Roman"/>
                <w:bCs/>
                <w:szCs w:val="24"/>
                <w:lang w:eastAsia="ru-RU"/>
              </w:rPr>
            </w:pPr>
            <w:r w:rsidRPr="00937878">
              <w:rPr>
                <w:rFonts w:eastAsia="Times New Roman"/>
                <w:bCs/>
                <w:szCs w:val="24"/>
                <w:lang w:eastAsia="ru-RU"/>
              </w:rPr>
              <w:t>Основные инструменты</w:t>
            </w:r>
          </w:p>
        </w:tc>
        <w:tc>
          <w:tcPr>
            <w:tcW w:w="0" w:type="auto"/>
            <w:hideMark/>
          </w:tcPr>
          <w:p w14:paraId="619A734A" w14:textId="77777777" w:rsidR="000547B4" w:rsidRPr="00937878" w:rsidRDefault="000547B4" w:rsidP="002F33D0">
            <w:pPr>
              <w:ind w:firstLine="0"/>
              <w:jc w:val="center"/>
              <w:rPr>
                <w:rFonts w:eastAsia="Times New Roman"/>
                <w:bCs/>
                <w:szCs w:val="24"/>
                <w:lang w:eastAsia="ru-RU"/>
              </w:rPr>
            </w:pPr>
            <w:r w:rsidRPr="00937878">
              <w:rPr>
                <w:rFonts w:eastAsia="Times New Roman"/>
                <w:bCs/>
                <w:szCs w:val="24"/>
                <w:lang w:eastAsia="ru-RU"/>
              </w:rPr>
              <w:t>Особенности, релевантные для адаптации в Казахстане</w:t>
            </w:r>
          </w:p>
        </w:tc>
      </w:tr>
      <w:tr w:rsidR="00937878" w:rsidRPr="00937878" w14:paraId="2ED032FC" w14:textId="77777777" w:rsidTr="000547B4">
        <w:tc>
          <w:tcPr>
            <w:tcW w:w="0" w:type="auto"/>
          </w:tcPr>
          <w:p w14:paraId="0FD5BC75" w14:textId="245A0053" w:rsidR="00937878" w:rsidRPr="00937878" w:rsidRDefault="00937878" w:rsidP="00937878">
            <w:pPr>
              <w:ind w:firstLine="0"/>
              <w:jc w:val="center"/>
              <w:rPr>
                <w:rFonts w:eastAsia="Times New Roman"/>
                <w:bCs/>
                <w:szCs w:val="24"/>
                <w:lang w:eastAsia="ru-RU"/>
              </w:rPr>
            </w:pPr>
            <w:r>
              <w:rPr>
                <w:rFonts w:eastAsia="Times New Roman"/>
                <w:bCs/>
                <w:szCs w:val="24"/>
                <w:lang w:eastAsia="ru-RU"/>
              </w:rPr>
              <w:t>1</w:t>
            </w:r>
          </w:p>
        </w:tc>
        <w:tc>
          <w:tcPr>
            <w:tcW w:w="0" w:type="auto"/>
          </w:tcPr>
          <w:p w14:paraId="15AB9BD7" w14:textId="411FA626" w:rsidR="00937878" w:rsidRPr="00937878" w:rsidRDefault="00937878" w:rsidP="00937878">
            <w:pPr>
              <w:ind w:firstLine="0"/>
              <w:jc w:val="center"/>
              <w:rPr>
                <w:rFonts w:eastAsia="Times New Roman"/>
                <w:bCs/>
                <w:szCs w:val="24"/>
                <w:lang w:eastAsia="ru-RU"/>
              </w:rPr>
            </w:pPr>
            <w:r>
              <w:rPr>
                <w:rFonts w:eastAsia="Times New Roman"/>
                <w:bCs/>
                <w:szCs w:val="24"/>
                <w:lang w:eastAsia="ru-RU"/>
              </w:rPr>
              <w:t>2</w:t>
            </w:r>
          </w:p>
        </w:tc>
        <w:tc>
          <w:tcPr>
            <w:tcW w:w="0" w:type="auto"/>
          </w:tcPr>
          <w:p w14:paraId="73863795" w14:textId="0DB23485" w:rsidR="00937878" w:rsidRPr="00937878" w:rsidRDefault="00937878" w:rsidP="00937878">
            <w:pPr>
              <w:ind w:firstLine="0"/>
              <w:jc w:val="center"/>
              <w:rPr>
                <w:rFonts w:eastAsia="Times New Roman"/>
                <w:bCs/>
                <w:szCs w:val="24"/>
                <w:lang w:eastAsia="ru-RU"/>
              </w:rPr>
            </w:pPr>
            <w:r>
              <w:rPr>
                <w:rFonts w:eastAsia="Times New Roman"/>
                <w:bCs/>
                <w:szCs w:val="24"/>
                <w:lang w:eastAsia="ru-RU"/>
              </w:rPr>
              <w:t>3</w:t>
            </w:r>
          </w:p>
        </w:tc>
        <w:tc>
          <w:tcPr>
            <w:tcW w:w="0" w:type="auto"/>
          </w:tcPr>
          <w:p w14:paraId="7F0F3CF8" w14:textId="50B9179B" w:rsidR="00937878" w:rsidRPr="00937878" w:rsidRDefault="00937878" w:rsidP="00937878">
            <w:pPr>
              <w:ind w:firstLine="0"/>
              <w:jc w:val="center"/>
              <w:rPr>
                <w:rFonts w:eastAsia="Times New Roman"/>
                <w:bCs/>
                <w:szCs w:val="24"/>
                <w:lang w:eastAsia="ru-RU"/>
              </w:rPr>
            </w:pPr>
            <w:r>
              <w:rPr>
                <w:rFonts w:eastAsia="Times New Roman"/>
                <w:bCs/>
                <w:szCs w:val="24"/>
                <w:lang w:eastAsia="ru-RU"/>
              </w:rPr>
              <w:t>4</w:t>
            </w:r>
          </w:p>
        </w:tc>
        <w:tc>
          <w:tcPr>
            <w:tcW w:w="0" w:type="auto"/>
          </w:tcPr>
          <w:p w14:paraId="06A30164" w14:textId="15A93419" w:rsidR="00937878" w:rsidRPr="00937878" w:rsidRDefault="00937878" w:rsidP="00937878">
            <w:pPr>
              <w:ind w:firstLine="0"/>
              <w:jc w:val="center"/>
              <w:rPr>
                <w:rFonts w:eastAsia="Times New Roman"/>
                <w:bCs/>
                <w:szCs w:val="24"/>
                <w:lang w:eastAsia="ru-RU"/>
              </w:rPr>
            </w:pPr>
            <w:r>
              <w:rPr>
                <w:rFonts w:eastAsia="Times New Roman"/>
                <w:bCs/>
                <w:szCs w:val="24"/>
                <w:lang w:eastAsia="ru-RU"/>
              </w:rPr>
              <w:t>5</w:t>
            </w:r>
          </w:p>
        </w:tc>
        <w:tc>
          <w:tcPr>
            <w:tcW w:w="0" w:type="auto"/>
          </w:tcPr>
          <w:p w14:paraId="36790038" w14:textId="59120289" w:rsidR="00937878" w:rsidRPr="00937878" w:rsidRDefault="00937878" w:rsidP="00937878">
            <w:pPr>
              <w:ind w:firstLine="0"/>
              <w:jc w:val="center"/>
              <w:rPr>
                <w:rFonts w:eastAsia="Times New Roman"/>
                <w:bCs/>
                <w:szCs w:val="24"/>
                <w:lang w:eastAsia="ru-RU"/>
              </w:rPr>
            </w:pPr>
            <w:r>
              <w:rPr>
                <w:rFonts w:eastAsia="Times New Roman"/>
                <w:bCs/>
                <w:szCs w:val="24"/>
                <w:lang w:eastAsia="ru-RU"/>
              </w:rPr>
              <w:t>6</w:t>
            </w:r>
          </w:p>
        </w:tc>
        <w:tc>
          <w:tcPr>
            <w:tcW w:w="0" w:type="auto"/>
          </w:tcPr>
          <w:p w14:paraId="5B0A223C" w14:textId="0E70953E" w:rsidR="00937878" w:rsidRPr="00937878" w:rsidRDefault="00937878" w:rsidP="00937878">
            <w:pPr>
              <w:ind w:firstLine="0"/>
              <w:jc w:val="center"/>
              <w:rPr>
                <w:rFonts w:eastAsia="Times New Roman"/>
                <w:bCs/>
                <w:szCs w:val="24"/>
                <w:lang w:eastAsia="ru-RU"/>
              </w:rPr>
            </w:pPr>
            <w:r>
              <w:rPr>
                <w:rFonts w:eastAsia="Times New Roman"/>
                <w:bCs/>
                <w:szCs w:val="24"/>
                <w:lang w:eastAsia="ru-RU"/>
              </w:rPr>
              <w:t>7</w:t>
            </w:r>
          </w:p>
        </w:tc>
      </w:tr>
      <w:tr w:rsidR="000547B4" w:rsidRPr="00937878" w14:paraId="78F031AC" w14:textId="77777777" w:rsidTr="000547B4">
        <w:tc>
          <w:tcPr>
            <w:tcW w:w="0" w:type="auto"/>
            <w:hideMark/>
          </w:tcPr>
          <w:p w14:paraId="794C675B" w14:textId="77777777" w:rsidR="000547B4" w:rsidRPr="00937878" w:rsidRDefault="000547B4" w:rsidP="002F33D0">
            <w:pPr>
              <w:ind w:firstLine="0"/>
              <w:rPr>
                <w:rFonts w:eastAsia="Times New Roman"/>
                <w:szCs w:val="24"/>
                <w:lang w:eastAsia="ru-RU"/>
              </w:rPr>
            </w:pPr>
            <w:r w:rsidRPr="00937878">
              <w:rPr>
                <w:rFonts w:eastAsia="Times New Roman"/>
                <w:bCs/>
                <w:szCs w:val="24"/>
                <w:lang w:eastAsia="ru-RU"/>
              </w:rPr>
              <w:t>Развитые</w:t>
            </w:r>
          </w:p>
        </w:tc>
        <w:tc>
          <w:tcPr>
            <w:tcW w:w="0" w:type="auto"/>
            <w:hideMark/>
          </w:tcPr>
          <w:p w14:paraId="0326007A"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Германия</w:t>
            </w:r>
          </w:p>
        </w:tc>
        <w:tc>
          <w:tcPr>
            <w:tcW w:w="0" w:type="auto"/>
            <w:hideMark/>
          </w:tcPr>
          <w:p w14:paraId="63ED09E1" w14:textId="77777777" w:rsidR="000547B4" w:rsidRPr="00937878" w:rsidRDefault="000547B4" w:rsidP="002F33D0">
            <w:pPr>
              <w:ind w:firstLine="0"/>
              <w:rPr>
                <w:rFonts w:eastAsia="Times New Roman"/>
                <w:szCs w:val="24"/>
                <w:lang w:eastAsia="ru-RU"/>
              </w:rPr>
            </w:pPr>
            <w:r w:rsidRPr="00937878">
              <w:rPr>
                <w:rFonts w:eastAsia="Times New Roman"/>
                <w:i/>
                <w:iCs/>
                <w:szCs w:val="24"/>
                <w:lang w:eastAsia="ru-RU"/>
              </w:rPr>
              <w:t>Платформа «Индустрия 4.0»</w:t>
            </w:r>
          </w:p>
        </w:tc>
        <w:tc>
          <w:tcPr>
            <w:tcW w:w="0" w:type="auto"/>
            <w:hideMark/>
          </w:tcPr>
          <w:p w14:paraId="17A0FA79"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Цифровые хабы, центры компетенций, кластеры</w:t>
            </w:r>
          </w:p>
        </w:tc>
        <w:tc>
          <w:tcPr>
            <w:tcW w:w="0" w:type="auto"/>
            <w:hideMark/>
          </w:tcPr>
          <w:p w14:paraId="15B5B67F"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Государство – отрасли – предприятия</w:t>
            </w:r>
          </w:p>
        </w:tc>
        <w:tc>
          <w:tcPr>
            <w:tcW w:w="0" w:type="auto"/>
            <w:hideMark/>
          </w:tcPr>
          <w:p w14:paraId="7726E500"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Дорожные карты, стандарты цифровизации</w:t>
            </w:r>
          </w:p>
        </w:tc>
        <w:tc>
          <w:tcPr>
            <w:tcW w:w="0" w:type="auto"/>
            <w:hideMark/>
          </w:tcPr>
          <w:p w14:paraId="2A2C1A0D"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Модель межуровневого цифрового взаимодействия</w:t>
            </w:r>
          </w:p>
        </w:tc>
      </w:tr>
      <w:tr w:rsidR="000547B4" w:rsidRPr="00937878" w14:paraId="7D070845" w14:textId="77777777" w:rsidTr="000547B4">
        <w:tc>
          <w:tcPr>
            <w:tcW w:w="0" w:type="auto"/>
            <w:hideMark/>
          </w:tcPr>
          <w:p w14:paraId="31AE823B" w14:textId="77777777" w:rsidR="000547B4" w:rsidRPr="00937878" w:rsidRDefault="000547B4" w:rsidP="002F33D0">
            <w:pPr>
              <w:ind w:firstLine="0"/>
              <w:rPr>
                <w:rFonts w:eastAsia="Times New Roman"/>
                <w:szCs w:val="24"/>
                <w:lang w:eastAsia="ru-RU"/>
              </w:rPr>
            </w:pPr>
          </w:p>
        </w:tc>
        <w:tc>
          <w:tcPr>
            <w:tcW w:w="0" w:type="auto"/>
            <w:hideMark/>
          </w:tcPr>
          <w:p w14:paraId="0EC6D6E5"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Финляндия</w:t>
            </w:r>
          </w:p>
        </w:tc>
        <w:tc>
          <w:tcPr>
            <w:tcW w:w="0" w:type="auto"/>
            <w:hideMark/>
          </w:tcPr>
          <w:p w14:paraId="7D2ED146" w14:textId="45A04F61" w:rsidR="000547B4" w:rsidRPr="00937878" w:rsidRDefault="000547B4" w:rsidP="002F33D0">
            <w:pPr>
              <w:ind w:firstLine="0"/>
              <w:rPr>
                <w:rFonts w:eastAsia="Times New Roman"/>
                <w:szCs w:val="24"/>
                <w:lang w:eastAsia="ru-RU"/>
              </w:rPr>
            </w:pPr>
            <w:r w:rsidRPr="00937878">
              <w:rPr>
                <w:rFonts w:eastAsia="Times New Roman"/>
                <w:i/>
                <w:iCs/>
                <w:szCs w:val="24"/>
                <w:lang w:eastAsia="ru-RU"/>
              </w:rPr>
              <w:t>Business Finland</w:t>
            </w:r>
          </w:p>
        </w:tc>
        <w:tc>
          <w:tcPr>
            <w:tcW w:w="0" w:type="auto"/>
            <w:hideMark/>
          </w:tcPr>
          <w:p w14:paraId="081F7294"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Инновационные гранты, акселераторы, форсайт</w:t>
            </w:r>
          </w:p>
        </w:tc>
        <w:tc>
          <w:tcPr>
            <w:tcW w:w="0" w:type="auto"/>
            <w:hideMark/>
          </w:tcPr>
          <w:p w14:paraId="397B4CE4"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Государство – наука – бизнес</w:t>
            </w:r>
          </w:p>
        </w:tc>
        <w:tc>
          <w:tcPr>
            <w:tcW w:w="0" w:type="auto"/>
            <w:hideMark/>
          </w:tcPr>
          <w:p w14:paraId="4A41985A"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Foresight-программы, инновационные сервисы</w:t>
            </w:r>
          </w:p>
        </w:tc>
        <w:tc>
          <w:tcPr>
            <w:tcW w:w="0" w:type="auto"/>
            <w:hideMark/>
          </w:tcPr>
          <w:p w14:paraId="517E8026"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Интеграция науки и предпринимательства через финансирование</w:t>
            </w:r>
          </w:p>
        </w:tc>
      </w:tr>
      <w:tr w:rsidR="000547B4" w:rsidRPr="00937878" w14:paraId="3B69AA72" w14:textId="77777777" w:rsidTr="000547B4">
        <w:tc>
          <w:tcPr>
            <w:tcW w:w="0" w:type="auto"/>
            <w:hideMark/>
          </w:tcPr>
          <w:p w14:paraId="11D53070" w14:textId="77777777" w:rsidR="000547B4" w:rsidRPr="00937878" w:rsidRDefault="000547B4" w:rsidP="002F33D0">
            <w:pPr>
              <w:ind w:firstLine="0"/>
              <w:rPr>
                <w:rFonts w:eastAsia="Times New Roman"/>
                <w:szCs w:val="24"/>
                <w:lang w:eastAsia="ru-RU"/>
              </w:rPr>
            </w:pPr>
          </w:p>
        </w:tc>
        <w:tc>
          <w:tcPr>
            <w:tcW w:w="0" w:type="auto"/>
            <w:hideMark/>
          </w:tcPr>
          <w:p w14:paraId="3AAFE56C"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США</w:t>
            </w:r>
          </w:p>
        </w:tc>
        <w:tc>
          <w:tcPr>
            <w:tcW w:w="0" w:type="auto"/>
            <w:hideMark/>
          </w:tcPr>
          <w:p w14:paraId="09012493" w14:textId="77777777" w:rsidR="000547B4" w:rsidRPr="00937878" w:rsidRDefault="000547B4" w:rsidP="002F33D0">
            <w:pPr>
              <w:ind w:firstLine="0"/>
              <w:rPr>
                <w:rFonts w:eastAsia="Times New Roman"/>
                <w:szCs w:val="24"/>
                <w:lang w:val="en-US" w:eastAsia="ru-RU"/>
              </w:rPr>
            </w:pPr>
            <w:r w:rsidRPr="00937878">
              <w:rPr>
                <w:rFonts w:eastAsia="Times New Roman"/>
                <w:i/>
                <w:iCs/>
                <w:szCs w:val="24"/>
                <w:lang w:val="en-US" w:eastAsia="ru-RU"/>
              </w:rPr>
              <w:t>DARPA</w:t>
            </w:r>
            <w:r w:rsidRPr="00937878">
              <w:rPr>
                <w:rFonts w:eastAsia="Times New Roman"/>
                <w:szCs w:val="24"/>
                <w:lang w:val="en-US" w:eastAsia="ru-RU"/>
              </w:rPr>
              <w:t xml:space="preserve">, </w:t>
            </w:r>
            <w:r w:rsidRPr="00937878">
              <w:rPr>
                <w:rFonts w:eastAsia="Times New Roman"/>
                <w:i/>
                <w:iCs/>
                <w:szCs w:val="24"/>
                <w:lang w:val="en-US" w:eastAsia="ru-RU"/>
              </w:rPr>
              <w:t>Small Business Innovation Research Program</w:t>
            </w:r>
          </w:p>
        </w:tc>
        <w:tc>
          <w:tcPr>
            <w:tcW w:w="0" w:type="auto"/>
            <w:hideMark/>
          </w:tcPr>
          <w:p w14:paraId="0BE4C1B2"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Военно-гражданская трансферная модель, венчурная поддержка</w:t>
            </w:r>
          </w:p>
        </w:tc>
        <w:tc>
          <w:tcPr>
            <w:tcW w:w="0" w:type="auto"/>
            <w:hideMark/>
          </w:tcPr>
          <w:p w14:paraId="61E7762B"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Государственные агентства, стартап-среда</w:t>
            </w:r>
          </w:p>
        </w:tc>
        <w:tc>
          <w:tcPr>
            <w:tcW w:w="0" w:type="auto"/>
            <w:hideMark/>
          </w:tcPr>
          <w:p w14:paraId="07AD4BC8"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Контракты, частное инвестирование</w:t>
            </w:r>
          </w:p>
        </w:tc>
        <w:tc>
          <w:tcPr>
            <w:tcW w:w="0" w:type="auto"/>
            <w:hideMark/>
          </w:tcPr>
          <w:p w14:paraId="1E40EA4F"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Гибкость в поддержке прорывных технологий</w:t>
            </w:r>
          </w:p>
        </w:tc>
      </w:tr>
      <w:tr w:rsidR="000547B4" w:rsidRPr="00937878" w14:paraId="7AF18B0B" w14:textId="77777777" w:rsidTr="000547B4">
        <w:tc>
          <w:tcPr>
            <w:tcW w:w="0" w:type="auto"/>
            <w:hideMark/>
          </w:tcPr>
          <w:p w14:paraId="5FBCB7C5" w14:textId="77777777" w:rsidR="000547B4" w:rsidRPr="00937878" w:rsidRDefault="000547B4" w:rsidP="002F33D0">
            <w:pPr>
              <w:ind w:firstLine="0"/>
              <w:rPr>
                <w:rFonts w:eastAsia="Times New Roman"/>
                <w:szCs w:val="24"/>
                <w:lang w:eastAsia="ru-RU"/>
              </w:rPr>
            </w:pPr>
          </w:p>
        </w:tc>
        <w:tc>
          <w:tcPr>
            <w:tcW w:w="0" w:type="auto"/>
            <w:hideMark/>
          </w:tcPr>
          <w:p w14:paraId="65E2F108"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Япония</w:t>
            </w:r>
          </w:p>
        </w:tc>
        <w:tc>
          <w:tcPr>
            <w:tcW w:w="0" w:type="auto"/>
            <w:hideMark/>
          </w:tcPr>
          <w:p w14:paraId="4E45B265" w14:textId="77777777" w:rsidR="000547B4" w:rsidRPr="00937878" w:rsidRDefault="000547B4" w:rsidP="002F33D0">
            <w:pPr>
              <w:ind w:firstLine="0"/>
              <w:rPr>
                <w:rFonts w:eastAsia="Times New Roman"/>
                <w:szCs w:val="24"/>
                <w:lang w:eastAsia="ru-RU"/>
              </w:rPr>
            </w:pPr>
            <w:r w:rsidRPr="00937878">
              <w:rPr>
                <w:rFonts w:eastAsia="Times New Roman"/>
                <w:i/>
                <w:iCs/>
                <w:szCs w:val="24"/>
                <w:lang w:eastAsia="ru-RU"/>
              </w:rPr>
              <w:t>Keidanren Innovation Policies</w:t>
            </w:r>
            <w:r w:rsidRPr="00937878">
              <w:rPr>
                <w:rFonts w:eastAsia="Times New Roman"/>
                <w:szCs w:val="24"/>
                <w:lang w:eastAsia="ru-RU"/>
              </w:rPr>
              <w:t xml:space="preserve">, </w:t>
            </w:r>
            <w:r w:rsidRPr="00937878">
              <w:rPr>
                <w:rFonts w:eastAsia="Times New Roman"/>
                <w:i/>
                <w:iCs/>
                <w:szCs w:val="24"/>
                <w:lang w:eastAsia="ru-RU"/>
              </w:rPr>
              <w:t>Society 5.0</w:t>
            </w:r>
          </w:p>
        </w:tc>
        <w:tc>
          <w:tcPr>
            <w:tcW w:w="0" w:type="auto"/>
            <w:hideMark/>
          </w:tcPr>
          <w:p w14:paraId="62D9BB82"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Корпоративные альянсы, консорциумы</w:t>
            </w:r>
          </w:p>
        </w:tc>
        <w:tc>
          <w:tcPr>
            <w:tcW w:w="0" w:type="auto"/>
            <w:hideMark/>
          </w:tcPr>
          <w:p w14:paraId="55FB5CDE"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Бизнес – государство – университеты</w:t>
            </w:r>
          </w:p>
        </w:tc>
        <w:tc>
          <w:tcPr>
            <w:tcW w:w="0" w:type="auto"/>
            <w:hideMark/>
          </w:tcPr>
          <w:p w14:paraId="2726870B"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Платформы открытых инноваций</w:t>
            </w:r>
          </w:p>
        </w:tc>
        <w:tc>
          <w:tcPr>
            <w:tcW w:w="0" w:type="auto"/>
            <w:hideMark/>
          </w:tcPr>
          <w:p w14:paraId="0C177509"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Культура долгосрочных научно-производственных партнёрств</w:t>
            </w:r>
          </w:p>
        </w:tc>
      </w:tr>
      <w:tr w:rsidR="000547B4" w:rsidRPr="00937878" w14:paraId="010E4123" w14:textId="77777777" w:rsidTr="00937878">
        <w:tc>
          <w:tcPr>
            <w:tcW w:w="0" w:type="auto"/>
            <w:tcBorders>
              <w:bottom w:val="single" w:sz="4" w:space="0" w:color="auto"/>
            </w:tcBorders>
            <w:hideMark/>
          </w:tcPr>
          <w:p w14:paraId="1F702EB7" w14:textId="77777777" w:rsidR="000547B4" w:rsidRPr="00937878" w:rsidRDefault="000547B4" w:rsidP="002F33D0">
            <w:pPr>
              <w:ind w:firstLine="0"/>
              <w:rPr>
                <w:rFonts w:eastAsia="Times New Roman"/>
                <w:szCs w:val="24"/>
                <w:lang w:eastAsia="ru-RU"/>
              </w:rPr>
            </w:pPr>
          </w:p>
        </w:tc>
        <w:tc>
          <w:tcPr>
            <w:tcW w:w="0" w:type="auto"/>
            <w:tcBorders>
              <w:bottom w:val="single" w:sz="4" w:space="0" w:color="auto"/>
            </w:tcBorders>
            <w:hideMark/>
          </w:tcPr>
          <w:p w14:paraId="2DBCF6ED"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Южная Корея</w:t>
            </w:r>
          </w:p>
        </w:tc>
        <w:tc>
          <w:tcPr>
            <w:tcW w:w="0" w:type="auto"/>
            <w:tcBorders>
              <w:bottom w:val="single" w:sz="4" w:space="0" w:color="auto"/>
            </w:tcBorders>
            <w:hideMark/>
          </w:tcPr>
          <w:p w14:paraId="4559B0C6" w14:textId="77777777" w:rsidR="000547B4" w:rsidRPr="00937878" w:rsidRDefault="000547B4" w:rsidP="002F33D0">
            <w:pPr>
              <w:ind w:firstLine="0"/>
              <w:rPr>
                <w:rFonts w:eastAsia="Times New Roman"/>
                <w:szCs w:val="24"/>
                <w:lang w:eastAsia="ru-RU"/>
              </w:rPr>
            </w:pPr>
            <w:r w:rsidRPr="00937878">
              <w:rPr>
                <w:rFonts w:eastAsia="Times New Roman"/>
                <w:i/>
                <w:iCs/>
                <w:szCs w:val="24"/>
                <w:lang w:eastAsia="ru-RU"/>
              </w:rPr>
              <w:t>K-Innovation Framework</w:t>
            </w:r>
          </w:p>
        </w:tc>
        <w:tc>
          <w:tcPr>
            <w:tcW w:w="0" w:type="auto"/>
            <w:tcBorders>
              <w:bottom w:val="single" w:sz="4" w:space="0" w:color="auto"/>
            </w:tcBorders>
            <w:hideMark/>
          </w:tcPr>
          <w:p w14:paraId="1CDF6B22"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Государственные программы, трансфер технологий</w:t>
            </w:r>
          </w:p>
        </w:tc>
        <w:tc>
          <w:tcPr>
            <w:tcW w:w="0" w:type="auto"/>
            <w:tcBorders>
              <w:bottom w:val="single" w:sz="4" w:space="0" w:color="auto"/>
            </w:tcBorders>
            <w:hideMark/>
          </w:tcPr>
          <w:p w14:paraId="421DAA9A"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Государство – МСП – университеты</w:t>
            </w:r>
          </w:p>
        </w:tc>
        <w:tc>
          <w:tcPr>
            <w:tcW w:w="0" w:type="auto"/>
            <w:tcBorders>
              <w:bottom w:val="single" w:sz="4" w:space="0" w:color="auto"/>
            </w:tcBorders>
            <w:hideMark/>
          </w:tcPr>
          <w:p w14:paraId="0726B914"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Цифровые парки, стартап-хабы</w:t>
            </w:r>
          </w:p>
        </w:tc>
        <w:tc>
          <w:tcPr>
            <w:tcW w:w="0" w:type="auto"/>
            <w:tcBorders>
              <w:bottom w:val="single" w:sz="4" w:space="0" w:color="auto"/>
            </w:tcBorders>
            <w:hideMark/>
          </w:tcPr>
          <w:p w14:paraId="7396F3A7"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Системное развитие предпринимательства на базе ИТ-инфраструктуры</w:t>
            </w:r>
          </w:p>
        </w:tc>
      </w:tr>
      <w:tr w:rsidR="000547B4" w:rsidRPr="00937878" w14:paraId="2A760DE2" w14:textId="77777777" w:rsidTr="00937878">
        <w:tc>
          <w:tcPr>
            <w:tcW w:w="0" w:type="auto"/>
            <w:tcBorders>
              <w:bottom w:val="nil"/>
            </w:tcBorders>
            <w:hideMark/>
          </w:tcPr>
          <w:p w14:paraId="1AE58BBF" w14:textId="77777777" w:rsidR="000547B4" w:rsidRPr="00937878" w:rsidRDefault="000547B4" w:rsidP="002F33D0">
            <w:pPr>
              <w:ind w:firstLine="0"/>
              <w:rPr>
                <w:rFonts w:eastAsia="Times New Roman"/>
                <w:szCs w:val="24"/>
                <w:lang w:eastAsia="ru-RU"/>
              </w:rPr>
            </w:pPr>
          </w:p>
        </w:tc>
        <w:tc>
          <w:tcPr>
            <w:tcW w:w="0" w:type="auto"/>
            <w:tcBorders>
              <w:bottom w:val="nil"/>
            </w:tcBorders>
            <w:hideMark/>
          </w:tcPr>
          <w:p w14:paraId="732EE26C"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Сингапур</w:t>
            </w:r>
          </w:p>
        </w:tc>
        <w:tc>
          <w:tcPr>
            <w:tcW w:w="0" w:type="auto"/>
            <w:tcBorders>
              <w:bottom w:val="nil"/>
            </w:tcBorders>
            <w:hideMark/>
          </w:tcPr>
          <w:p w14:paraId="68B12BE0" w14:textId="77777777" w:rsidR="000547B4" w:rsidRPr="00937878" w:rsidRDefault="000547B4" w:rsidP="002F33D0">
            <w:pPr>
              <w:ind w:firstLine="0"/>
              <w:rPr>
                <w:rFonts w:eastAsia="Times New Roman"/>
                <w:szCs w:val="24"/>
                <w:lang w:eastAsia="ru-RU"/>
              </w:rPr>
            </w:pPr>
            <w:r w:rsidRPr="00937878">
              <w:rPr>
                <w:rFonts w:eastAsia="Times New Roman"/>
                <w:i/>
                <w:iCs/>
                <w:szCs w:val="24"/>
                <w:lang w:eastAsia="ru-RU"/>
              </w:rPr>
              <w:t>Smart Nation Singapore</w:t>
            </w:r>
          </w:p>
        </w:tc>
        <w:tc>
          <w:tcPr>
            <w:tcW w:w="0" w:type="auto"/>
            <w:tcBorders>
              <w:bottom w:val="nil"/>
            </w:tcBorders>
            <w:hideMark/>
          </w:tcPr>
          <w:p w14:paraId="6FED227D"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Цифровые сервисы, ИИ-аналитика, нац. платформы</w:t>
            </w:r>
          </w:p>
        </w:tc>
        <w:tc>
          <w:tcPr>
            <w:tcW w:w="0" w:type="auto"/>
            <w:tcBorders>
              <w:bottom w:val="nil"/>
            </w:tcBorders>
            <w:hideMark/>
          </w:tcPr>
          <w:p w14:paraId="775107BF"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Централизованное гос. управление</w:t>
            </w:r>
          </w:p>
        </w:tc>
        <w:tc>
          <w:tcPr>
            <w:tcW w:w="0" w:type="auto"/>
            <w:tcBorders>
              <w:bottom w:val="nil"/>
            </w:tcBorders>
            <w:hideMark/>
          </w:tcPr>
          <w:p w14:paraId="7AA331C7"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Единная цифровая платформа управления</w:t>
            </w:r>
          </w:p>
        </w:tc>
        <w:tc>
          <w:tcPr>
            <w:tcW w:w="0" w:type="auto"/>
            <w:tcBorders>
              <w:bottom w:val="nil"/>
            </w:tcBorders>
            <w:hideMark/>
          </w:tcPr>
          <w:p w14:paraId="61B9A82F"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Высокая цифровая зрелость и прозрачность стратегических приоритетов</w:t>
            </w:r>
          </w:p>
        </w:tc>
      </w:tr>
    </w:tbl>
    <w:p w14:paraId="7CE3B895" w14:textId="32920954" w:rsidR="00937878" w:rsidRDefault="00A64D4E">
      <w:r>
        <w:rPr>
          <w:noProof/>
          <w:lang w:eastAsia="ru-RU"/>
        </w:rPr>
        <mc:AlternateContent>
          <mc:Choice Requires="wps">
            <w:drawing>
              <wp:anchor distT="0" distB="0" distL="114300" distR="114300" simplePos="0" relativeHeight="251688960" behindDoc="0" locked="0" layoutInCell="1" allowOverlap="1" wp14:anchorId="21928DEA" wp14:editId="5C502445">
                <wp:simplePos x="0" y="0"/>
                <wp:positionH relativeFrom="column">
                  <wp:posOffset>4438650</wp:posOffset>
                </wp:positionH>
                <wp:positionV relativeFrom="paragraph">
                  <wp:posOffset>302006</wp:posOffset>
                </wp:positionV>
                <wp:extent cx="312420" cy="297180"/>
                <wp:effectExtent l="0" t="0" r="11430" b="26670"/>
                <wp:wrapNone/>
                <wp:docPr id="50" name="Прямоугольник 50"/>
                <wp:cNvGraphicFramePr/>
                <a:graphic xmlns:a="http://schemas.openxmlformats.org/drawingml/2006/main">
                  <a:graphicData uri="http://schemas.microsoft.com/office/word/2010/wordprocessingShape">
                    <wps:wsp>
                      <wps:cNvSpPr/>
                      <wps:spPr>
                        <a:xfrm>
                          <a:off x="0" y="0"/>
                          <a:ext cx="312420" cy="2971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7C9288" id="Прямоугольник 50" o:spid="_x0000_s1026" style="position:absolute;margin-left:349.5pt;margin-top:23.8pt;width:24.6pt;height:23.4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j3JuAIAAL4FAAAOAAAAZHJzL2Uyb0RvYy54bWysVM1OGzEQvlfqO1i+l82moUDEBkUgqkoI&#10;UKHi7HjtrCWv7dpONumpUq9IfYQ+RC9Vf3iGzRt17P0JpagH1Byc8c7MNzOfZ+bwaFVKtGTWCa0y&#10;nO4MMGKK6lyoeYbfXZ++2MfIeaJyIrViGV4zh48mz58dVmbMhrrQMmcWAYhy48pkuPDejJPE0YKV&#10;xO1owxQoubYl8XC18yS3pAL0UibDweBVUmmbG6spcw6+njRKPIn4nDPqLzh3zCOZYcjNx9PGcxbO&#10;ZHJIxnNLTCFomwZ5QhYlEQqC9lAnxBO0sOIvqFJQq53mfofqMtGcC8piDVBNOnhQzVVBDIu1ADnO&#10;9DS5/wdLz5eXFok8w7tAjyIlvFH9ZfNx87n+Wd9tPtVf67v6x+a2/lV/q78jMALGKuPG4HhlLm17&#10;cyCG8lfcluEfCkOryPK6Z5mtPKLw8WU6HA0hGAXV8GAv3Y+YydbZWOdfM12iIGTYwiNGbsnyzHkI&#10;CKadSYjltBT5qZAyXkLjsGNp0ZLAk8/maUgYPP6wkupJjgATPJNQf1NxlPxasoAn1VvGgUuocRgT&#10;jl28TYZQypRPG1VBctbkuDuAX5dll37MOQIGZA7V9dgtQGfZgHTYTbGtfXBlcQh658G/Emuce48Y&#10;WSvfO5dCafsYgISq2siNfUdSQ01gaabzNXSa1c0IOkNPBTzvGXH+kliYOegI2CP+Ag4udZVh3UoY&#10;Fdp+eOx7sIdRAC1GFcxwht37BbEMI/lGwZAcpKNRGPp4Ge3uha6z9zWz+xq1KI819EwKG8vQKAZ7&#10;LzuRW13ewLqZhqigIopC7AxTb7vLsW92CywsyqbTaAaDbog/U1eGBvDAamjf69UNsabtcQ/Dca67&#10;eSfjB63e2AZPpacLr7mIc7DlteUblkRsnHahhS10/x6ttmt38hsAAP//AwBQSwMEFAAGAAgAAAAh&#10;AKlpWtrfAAAACQEAAA8AAABkcnMvZG93bnJldi54bWxMj09LxDAUxO+C3yE8wZubWkq7rX1dRBQR&#10;POiuoMds8/oHm5fSpN367Y0n9zjMMPObcreaQSw0ud4ywu0mAkFcW91zi/BxeLrZgnBesVaDZUL4&#10;IQe76vKiVIW2J36nZe9bEUrYFQqh834spHR1R0a5jR2Jg9fYySgf5NRKPalTKDeDjKMolUb1HBY6&#10;NdJDR/X3fjYIX416Pjy+uFfZxEuT92/zZ5PNiNdX6/0dCE+r/w/DH35AhyowHe3M2okBIc3z8MUj&#10;JFkKIgSyZBuDOCLkSQKyKuX5g+oXAAD//wMAUEsBAi0AFAAGAAgAAAAhALaDOJL+AAAA4QEAABMA&#10;AAAAAAAAAAAAAAAAAAAAAFtDb250ZW50X1R5cGVzXS54bWxQSwECLQAUAAYACAAAACEAOP0h/9YA&#10;AACUAQAACwAAAAAAAAAAAAAAAAAvAQAAX3JlbHMvLnJlbHNQSwECLQAUAAYACAAAACEA0c49ybgC&#10;AAC+BQAADgAAAAAAAAAAAAAAAAAuAgAAZHJzL2Uyb0RvYy54bWxQSwECLQAUAAYACAAAACEAqWla&#10;2t8AAAAJAQAADwAAAAAAAAAAAAAAAAASBQAAZHJzL2Rvd25yZXYueG1sUEsFBgAAAAAEAAQA8wAA&#10;AB4GAAAAAA==&#10;" fillcolor="white [3212]" strokecolor="white [3212]" strokeweight="1pt"/>
            </w:pict>
          </mc:Fallback>
        </mc:AlternateContent>
      </w:r>
    </w:p>
    <w:p w14:paraId="0C70FCC0" w14:textId="2B9FF54B" w:rsidR="00937878" w:rsidRPr="00937878" w:rsidRDefault="00A64D4E">
      <w:pPr>
        <w:rPr>
          <w:rFonts w:ascii="Times New Roman" w:hAnsi="Times New Roman" w:cs="Times New Roman"/>
          <w:sz w:val="28"/>
          <w:szCs w:val="28"/>
        </w:rPr>
      </w:pPr>
      <w:r>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705344" behindDoc="0" locked="0" layoutInCell="1" allowOverlap="1" wp14:anchorId="1F8B6C59" wp14:editId="421C6484">
                <wp:simplePos x="0" y="0"/>
                <wp:positionH relativeFrom="column">
                  <wp:posOffset>-338963</wp:posOffset>
                </wp:positionH>
                <wp:positionV relativeFrom="paragraph">
                  <wp:posOffset>2678684</wp:posOffset>
                </wp:positionV>
                <wp:extent cx="457200" cy="246888"/>
                <wp:effectExtent l="0" t="0" r="0" b="0"/>
                <wp:wrapNone/>
                <wp:docPr id="170" name="Надпись 170"/>
                <wp:cNvGraphicFramePr/>
                <a:graphic xmlns:a="http://schemas.openxmlformats.org/drawingml/2006/main">
                  <a:graphicData uri="http://schemas.microsoft.com/office/word/2010/wordprocessingShape">
                    <wps:wsp>
                      <wps:cNvSpPr txBox="1"/>
                      <wps:spPr>
                        <a:xfrm rot="5400000">
                          <a:off x="0" y="0"/>
                          <a:ext cx="457200" cy="24688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4F2473B" w14:textId="77B202C1" w:rsidR="001D4931" w:rsidRPr="00A64D4E" w:rsidRDefault="001D4931" w:rsidP="00A64D4E">
                            <w:pPr>
                              <w:jc w:val="center"/>
                              <w:rPr>
                                <w:rFonts w:ascii="Times New Roman" w:hAnsi="Times New Roman" w:cs="Times New Roman"/>
                                <w:color w:val="404040" w:themeColor="text1" w:themeTint="BF"/>
                                <w:lang w:val="kk-KZ"/>
                              </w:rPr>
                            </w:pPr>
                            <w:r w:rsidRPr="00A64D4E">
                              <w:rPr>
                                <w:rFonts w:ascii="Times New Roman" w:hAnsi="Times New Roman" w:cs="Times New Roman"/>
                                <w:color w:val="404040" w:themeColor="text1" w:themeTint="BF"/>
                                <w:lang w:val="kk-KZ"/>
                              </w:rPr>
                              <w:t>5</w:t>
                            </w:r>
                            <w:r>
                              <w:rPr>
                                <w:rFonts w:ascii="Times New Roman" w:hAnsi="Times New Roman" w:cs="Times New Roman"/>
                                <w:color w:val="404040" w:themeColor="text1" w:themeTint="BF"/>
                                <w:lang w:val="kk-KZ"/>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B6C59" id="Надпись 170" o:spid="_x0000_s1069" type="#_x0000_t202" style="position:absolute;margin-left:-26.7pt;margin-top:210.9pt;width:36pt;height:19.45pt;rotation:9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gCEnAIAAHMFAAAOAAAAZHJzL2Uyb0RvYy54bWysVM1uEzEQviPxDpbvdJMobUPUTRVaFSFV&#10;bUWKena8drLC6zFjJ7vhxp1X4B04cODGK6RvxNibDaVwKWIPlnd+Ps9889knp01l2FqhL8HmvH/Q&#10;40xZCUVpFzl/d3vxYsSZD8IWwoBVOd8oz08nz5+d1G6sBrAEUyhkBGL9uHY5X4bgxlnm5VJVwh+A&#10;U5acGrASgX5xkRUoakKvTDbo9Y6yGrBwCFJ5T9bz1sknCV9rJcO11l4FZnJOtYW0Ylrncc0mJ2K8&#10;QOGWpdyVIf6hikqUlg7dQ52LINgKyz+gqlIieNDhQEKVgdalVKkH6qbfe9TNbCmcSr0QOd7tafL/&#10;D1ZerW+QlQXN7pj4saKiIW2/bL9uv21/bL/ff7r/zKKHeKqdH1P4zFFCaF5BQzmd3ZMxtt9orBgC&#10;0Xw47MUvkUJtMoom/M2ec9UEJsk4PDymOXImyTUYHo1Go4iZtVAR0qEPrxVULG5yjjTSBCrWlz60&#10;oV1IDLdwURqTxmrsbwbCjJYs9tHWm3ZhY1SMM/at0sREKjQavMTF/Mwga+VCeqYyO9EkMEqIgZoO&#10;fGLuLiVmq6TSJ+bvk9L5YMM+vyotYCIo3SEVG1gLUn/xPk2LCtdtfEdFS0DkIjTzJmlhsB/4HIoN&#10;zTuNlNr3Tl6UNIdL4cONQLoqZKTrH65p0QbqnMNux9kS8OPf7DGeFExezmq6ejn3H1YCFWfmjSVt&#10;v+wPhwQb0k/SB2f40DN/6LGr6gyov36qLm0pGYPpthqhuqNXYhpPJZewks7Oeei2Z6GdML0yUk2n&#10;KYhupxPh0s6cjNCR5qiy2+ZOoNtJMZCGr6C7pGL8SJFtbMy0MF0F0GWSayS6ZXU3ALrZSfC7Vyg+&#10;HQ//U9Svt3LyEwAA//8DAFBLAwQUAAYACAAAACEALaQ2qt4AAAAJAQAADwAAAGRycy9kb3ducmV2&#10;LnhtbEyPwU6DQBCG7ya+w2ZMvLULRUGRpdEm9aBcWn2ALTsCkZ0l7FLQp3c86fHPfPnn+4vtYntx&#10;xtF3jhTE6wgEUu1MR42C97f96g6ED5qM7h2hgi/0sC0vLwqdGzfTAc/H0AguIZ9rBW0IQy6lr1u0&#10;2q/dgMS3DzdaHTiOjTSjnrnc9nITRam0uiP+0OoBdy3Wn8fJKpjm1552L1X1nGbfh31Vx9XyFCt1&#10;fbU8PoAIuIQ/GH71WR1Kdjq5iYwXvYJVkt4zquAmuk1AMLHhbSfOWZaALAv5f0H5AwAA//8DAFBL&#10;AQItABQABgAIAAAAIQC2gziS/gAAAOEBAAATAAAAAAAAAAAAAAAAAAAAAABbQ29udGVudF9UeXBl&#10;c10ueG1sUEsBAi0AFAAGAAgAAAAhADj9If/WAAAAlAEAAAsAAAAAAAAAAAAAAAAALwEAAF9yZWxz&#10;Ly5yZWxzUEsBAi0AFAAGAAgAAAAhAFu6AIScAgAAcwUAAA4AAAAAAAAAAAAAAAAALgIAAGRycy9l&#10;Mm9Eb2MueG1sUEsBAi0AFAAGAAgAAAAhAC2kNqreAAAACQEAAA8AAAAAAAAAAAAAAAAA9gQAAGRy&#10;cy9kb3ducmV2LnhtbFBLBQYAAAAABAAEAPMAAAABBgAAAAA=&#10;" filled="f" stroked="f">
                <v:textbox>
                  <w:txbxContent>
                    <w:p w14:paraId="24F2473B" w14:textId="77B202C1" w:rsidR="001D4931" w:rsidRPr="00A64D4E" w:rsidRDefault="001D4931" w:rsidP="00A64D4E">
                      <w:pPr>
                        <w:jc w:val="center"/>
                        <w:rPr>
                          <w:rFonts w:ascii="Times New Roman" w:hAnsi="Times New Roman" w:cs="Times New Roman"/>
                          <w:color w:val="404040" w:themeColor="text1" w:themeTint="BF"/>
                          <w:lang w:val="kk-KZ"/>
                        </w:rPr>
                      </w:pPr>
                      <w:r w:rsidRPr="00A64D4E">
                        <w:rPr>
                          <w:rFonts w:ascii="Times New Roman" w:hAnsi="Times New Roman" w:cs="Times New Roman"/>
                          <w:color w:val="404040" w:themeColor="text1" w:themeTint="BF"/>
                          <w:lang w:val="kk-KZ"/>
                        </w:rPr>
                        <w:t>5</w:t>
                      </w:r>
                      <w:r>
                        <w:rPr>
                          <w:rFonts w:ascii="Times New Roman" w:hAnsi="Times New Roman" w:cs="Times New Roman"/>
                          <w:color w:val="404040" w:themeColor="text1" w:themeTint="BF"/>
                          <w:lang w:val="kk-KZ"/>
                        </w:rPr>
                        <w:t>5</w:t>
                      </w:r>
                    </w:p>
                  </w:txbxContent>
                </v:textbox>
              </v:shape>
            </w:pict>
          </mc:Fallback>
        </mc:AlternateContent>
      </w:r>
      <w:r w:rsidR="00937878" w:rsidRPr="00937878">
        <w:rPr>
          <w:rFonts w:ascii="Times New Roman" w:hAnsi="Times New Roman" w:cs="Times New Roman"/>
          <w:sz w:val="28"/>
          <w:szCs w:val="28"/>
        </w:rPr>
        <w:t>Продолжение таблицы 7</w:t>
      </w:r>
    </w:p>
    <w:tbl>
      <w:tblPr>
        <w:tblStyle w:val="a5"/>
        <w:tblW w:w="0" w:type="auto"/>
        <w:tblLook w:val="04A0" w:firstRow="1" w:lastRow="0" w:firstColumn="1" w:lastColumn="0" w:noHBand="0" w:noVBand="1"/>
      </w:tblPr>
      <w:tblGrid>
        <w:gridCol w:w="1829"/>
        <w:gridCol w:w="1225"/>
        <w:gridCol w:w="1954"/>
        <w:gridCol w:w="2363"/>
        <w:gridCol w:w="1819"/>
        <w:gridCol w:w="2748"/>
        <w:gridCol w:w="2622"/>
      </w:tblGrid>
      <w:tr w:rsidR="00937878" w:rsidRPr="00937878" w14:paraId="5CB4BBBF" w14:textId="77777777" w:rsidTr="00937878">
        <w:tc>
          <w:tcPr>
            <w:tcW w:w="0" w:type="auto"/>
          </w:tcPr>
          <w:p w14:paraId="2090B846" w14:textId="77777777" w:rsidR="00937878" w:rsidRPr="00937878" w:rsidRDefault="00937878" w:rsidP="00937878">
            <w:pPr>
              <w:ind w:firstLine="0"/>
              <w:jc w:val="center"/>
              <w:rPr>
                <w:rFonts w:eastAsia="Times New Roman"/>
                <w:bCs/>
                <w:szCs w:val="24"/>
                <w:lang w:eastAsia="ru-RU"/>
              </w:rPr>
            </w:pPr>
            <w:r>
              <w:rPr>
                <w:rFonts w:eastAsia="Times New Roman"/>
                <w:bCs/>
                <w:szCs w:val="24"/>
                <w:lang w:eastAsia="ru-RU"/>
              </w:rPr>
              <w:t>1</w:t>
            </w:r>
          </w:p>
        </w:tc>
        <w:tc>
          <w:tcPr>
            <w:tcW w:w="0" w:type="auto"/>
          </w:tcPr>
          <w:p w14:paraId="6AFA0B3A" w14:textId="77777777" w:rsidR="00937878" w:rsidRPr="00937878" w:rsidRDefault="00937878" w:rsidP="00937878">
            <w:pPr>
              <w:ind w:firstLine="0"/>
              <w:jc w:val="center"/>
              <w:rPr>
                <w:rFonts w:eastAsia="Times New Roman"/>
                <w:bCs/>
                <w:szCs w:val="24"/>
                <w:lang w:eastAsia="ru-RU"/>
              </w:rPr>
            </w:pPr>
            <w:r>
              <w:rPr>
                <w:rFonts w:eastAsia="Times New Roman"/>
                <w:bCs/>
                <w:szCs w:val="24"/>
                <w:lang w:eastAsia="ru-RU"/>
              </w:rPr>
              <w:t>2</w:t>
            </w:r>
          </w:p>
        </w:tc>
        <w:tc>
          <w:tcPr>
            <w:tcW w:w="0" w:type="auto"/>
          </w:tcPr>
          <w:p w14:paraId="158DB0F3" w14:textId="77777777" w:rsidR="00937878" w:rsidRPr="00937878" w:rsidRDefault="00937878" w:rsidP="00937878">
            <w:pPr>
              <w:ind w:firstLine="0"/>
              <w:jc w:val="center"/>
              <w:rPr>
                <w:rFonts w:eastAsia="Times New Roman"/>
                <w:bCs/>
                <w:szCs w:val="24"/>
                <w:lang w:eastAsia="ru-RU"/>
              </w:rPr>
            </w:pPr>
            <w:r>
              <w:rPr>
                <w:rFonts w:eastAsia="Times New Roman"/>
                <w:bCs/>
                <w:szCs w:val="24"/>
                <w:lang w:eastAsia="ru-RU"/>
              </w:rPr>
              <w:t>3</w:t>
            </w:r>
          </w:p>
        </w:tc>
        <w:tc>
          <w:tcPr>
            <w:tcW w:w="0" w:type="auto"/>
          </w:tcPr>
          <w:p w14:paraId="77CA1DEF" w14:textId="2BD70C2F" w:rsidR="00937878" w:rsidRPr="00937878" w:rsidRDefault="00937878" w:rsidP="00937878">
            <w:pPr>
              <w:ind w:firstLine="0"/>
              <w:jc w:val="center"/>
              <w:rPr>
                <w:rFonts w:eastAsia="Times New Roman"/>
                <w:bCs/>
                <w:szCs w:val="24"/>
                <w:lang w:eastAsia="ru-RU"/>
              </w:rPr>
            </w:pPr>
            <w:r>
              <w:rPr>
                <w:rFonts w:eastAsia="Times New Roman"/>
                <w:bCs/>
                <w:szCs w:val="24"/>
                <w:lang w:eastAsia="ru-RU"/>
              </w:rPr>
              <w:t>4</w:t>
            </w:r>
          </w:p>
        </w:tc>
        <w:tc>
          <w:tcPr>
            <w:tcW w:w="0" w:type="auto"/>
          </w:tcPr>
          <w:p w14:paraId="1FEB5ADA" w14:textId="77777777" w:rsidR="00937878" w:rsidRPr="00937878" w:rsidRDefault="00937878" w:rsidP="00937878">
            <w:pPr>
              <w:ind w:firstLine="0"/>
              <w:jc w:val="center"/>
              <w:rPr>
                <w:rFonts w:eastAsia="Times New Roman"/>
                <w:bCs/>
                <w:szCs w:val="24"/>
                <w:lang w:eastAsia="ru-RU"/>
              </w:rPr>
            </w:pPr>
            <w:r>
              <w:rPr>
                <w:rFonts w:eastAsia="Times New Roman"/>
                <w:bCs/>
                <w:szCs w:val="24"/>
                <w:lang w:eastAsia="ru-RU"/>
              </w:rPr>
              <w:t>5</w:t>
            </w:r>
          </w:p>
        </w:tc>
        <w:tc>
          <w:tcPr>
            <w:tcW w:w="0" w:type="auto"/>
          </w:tcPr>
          <w:p w14:paraId="23092EF2" w14:textId="77777777" w:rsidR="00937878" w:rsidRPr="00937878" w:rsidRDefault="00937878" w:rsidP="00937878">
            <w:pPr>
              <w:ind w:firstLine="0"/>
              <w:jc w:val="center"/>
              <w:rPr>
                <w:rFonts w:eastAsia="Times New Roman"/>
                <w:bCs/>
                <w:szCs w:val="24"/>
                <w:lang w:eastAsia="ru-RU"/>
              </w:rPr>
            </w:pPr>
            <w:r>
              <w:rPr>
                <w:rFonts w:eastAsia="Times New Roman"/>
                <w:bCs/>
                <w:szCs w:val="24"/>
                <w:lang w:eastAsia="ru-RU"/>
              </w:rPr>
              <w:t>6</w:t>
            </w:r>
          </w:p>
        </w:tc>
        <w:tc>
          <w:tcPr>
            <w:tcW w:w="0" w:type="auto"/>
          </w:tcPr>
          <w:p w14:paraId="325AB3E9" w14:textId="77777777" w:rsidR="00937878" w:rsidRPr="00937878" w:rsidRDefault="00937878" w:rsidP="00937878">
            <w:pPr>
              <w:ind w:firstLine="0"/>
              <w:jc w:val="center"/>
              <w:rPr>
                <w:rFonts w:eastAsia="Times New Roman"/>
                <w:bCs/>
                <w:szCs w:val="24"/>
                <w:lang w:eastAsia="ru-RU"/>
              </w:rPr>
            </w:pPr>
            <w:r>
              <w:rPr>
                <w:rFonts w:eastAsia="Times New Roman"/>
                <w:bCs/>
                <w:szCs w:val="24"/>
                <w:lang w:eastAsia="ru-RU"/>
              </w:rPr>
              <w:t>7</w:t>
            </w:r>
          </w:p>
        </w:tc>
      </w:tr>
      <w:tr w:rsidR="000547B4" w:rsidRPr="00937878" w14:paraId="351F2AA2" w14:textId="77777777" w:rsidTr="000547B4">
        <w:tc>
          <w:tcPr>
            <w:tcW w:w="0" w:type="auto"/>
            <w:hideMark/>
          </w:tcPr>
          <w:p w14:paraId="0DFF65C8" w14:textId="77777777" w:rsidR="000547B4" w:rsidRPr="00937878" w:rsidRDefault="000547B4" w:rsidP="002F33D0">
            <w:pPr>
              <w:ind w:firstLine="0"/>
              <w:rPr>
                <w:rFonts w:eastAsia="Times New Roman"/>
                <w:szCs w:val="24"/>
                <w:lang w:eastAsia="ru-RU"/>
              </w:rPr>
            </w:pPr>
            <w:r w:rsidRPr="00937878">
              <w:rPr>
                <w:rFonts w:eastAsia="Times New Roman"/>
                <w:bCs/>
                <w:szCs w:val="24"/>
                <w:lang w:eastAsia="ru-RU"/>
              </w:rPr>
              <w:t>Развивающиеся</w:t>
            </w:r>
          </w:p>
        </w:tc>
        <w:tc>
          <w:tcPr>
            <w:tcW w:w="0" w:type="auto"/>
            <w:hideMark/>
          </w:tcPr>
          <w:p w14:paraId="19F0527F"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Китай</w:t>
            </w:r>
          </w:p>
        </w:tc>
        <w:tc>
          <w:tcPr>
            <w:tcW w:w="0" w:type="auto"/>
            <w:hideMark/>
          </w:tcPr>
          <w:p w14:paraId="33998564" w14:textId="77777777" w:rsidR="000547B4" w:rsidRPr="00937878" w:rsidRDefault="000547B4" w:rsidP="002F33D0">
            <w:pPr>
              <w:ind w:firstLine="0"/>
              <w:rPr>
                <w:rFonts w:eastAsia="Times New Roman"/>
                <w:szCs w:val="24"/>
                <w:lang w:val="en-US" w:eastAsia="ru-RU"/>
              </w:rPr>
            </w:pPr>
            <w:r w:rsidRPr="00937878">
              <w:rPr>
                <w:rFonts w:eastAsia="Times New Roman"/>
                <w:i/>
                <w:iCs/>
                <w:szCs w:val="24"/>
                <w:lang w:val="en-US" w:eastAsia="ru-RU"/>
              </w:rPr>
              <w:t>Made in China 2025</w:t>
            </w:r>
            <w:r w:rsidRPr="00937878">
              <w:rPr>
                <w:rFonts w:eastAsia="Times New Roman"/>
                <w:szCs w:val="24"/>
                <w:lang w:val="en-US" w:eastAsia="ru-RU"/>
              </w:rPr>
              <w:t xml:space="preserve">, </w:t>
            </w:r>
            <w:r w:rsidRPr="00937878">
              <w:rPr>
                <w:rFonts w:eastAsia="Times New Roman"/>
                <w:i/>
                <w:iCs/>
                <w:szCs w:val="24"/>
                <w:lang w:val="en-US" w:eastAsia="ru-RU"/>
              </w:rPr>
              <w:t>Medium-Long Term S&amp;T Plan</w:t>
            </w:r>
          </w:p>
        </w:tc>
        <w:tc>
          <w:tcPr>
            <w:tcW w:w="0" w:type="auto"/>
            <w:hideMark/>
          </w:tcPr>
          <w:p w14:paraId="239F0A19"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Технопарки, инвестиции в НИОКР</w:t>
            </w:r>
          </w:p>
        </w:tc>
        <w:tc>
          <w:tcPr>
            <w:tcW w:w="0" w:type="auto"/>
            <w:hideMark/>
          </w:tcPr>
          <w:p w14:paraId="27532079"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Государство – отрасли</w:t>
            </w:r>
          </w:p>
        </w:tc>
        <w:tc>
          <w:tcPr>
            <w:tcW w:w="0" w:type="auto"/>
            <w:hideMark/>
          </w:tcPr>
          <w:p w14:paraId="3B118F0F"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Субсидии, госфонды, региональные ЦКП</w:t>
            </w:r>
          </w:p>
        </w:tc>
        <w:tc>
          <w:tcPr>
            <w:tcW w:w="0" w:type="auto"/>
            <w:hideMark/>
          </w:tcPr>
          <w:p w14:paraId="2BAA08C5"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Сильная вертикаль стратегического управления</w:t>
            </w:r>
          </w:p>
        </w:tc>
      </w:tr>
      <w:tr w:rsidR="000547B4" w:rsidRPr="00937878" w14:paraId="1AC5BA78" w14:textId="77777777" w:rsidTr="000547B4">
        <w:tc>
          <w:tcPr>
            <w:tcW w:w="0" w:type="auto"/>
            <w:hideMark/>
          </w:tcPr>
          <w:p w14:paraId="07B3641E" w14:textId="77777777" w:rsidR="000547B4" w:rsidRPr="00937878" w:rsidRDefault="000547B4" w:rsidP="002F33D0">
            <w:pPr>
              <w:ind w:firstLine="0"/>
              <w:rPr>
                <w:rFonts w:eastAsia="Times New Roman"/>
                <w:szCs w:val="24"/>
                <w:lang w:eastAsia="ru-RU"/>
              </w:rPr>
            </w:pPr>
          </w:p>
        </w:tc>
        <w:tc>
          <w:tcPr>
            <w:tcW w:w="0" w:type="auto"/>
            <w:hideMark/>
          </w:tcPr>
          <w:p w14:paraId="08148F85"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Индия</w:t>
            </w:r>
          </w:p>
        </w:tc>
        <w:tc>
          <w:tcPr>
            <w:tcW w:w="0" w:type="auto"/>
            <w:hideMark/>
          </w:tcPr>
          <w:p w14:paraId="17D292C6" w14:textId="77777777" w:rsidR="000547B4" w:rsidRPr="00937878" w:rsidRDefault="000547B4" w:rsidP="002F33D0">
            <w:pPr>
              <w:ind w:firstLine="0"/>
              <w:rPr>
                <w:rFonts w:eastAsia="Times New Roman"/>
                <w:szCs w:val="24"/>
                <w:lang w:eastAsia="ru-RU"/>
              </w:rPr>
            </w:pPr>
            <w:r w:rsidRPr="00937878">
              <w:rPr>
                <w:rFonts w:eastAsia="Times New Roman"/>
                <w:i/>
                <w:iCs/>
                <w:szCs w:val="24"/>
                <w:lang w:eastAsia="ru-RU"/>
              </w:rPr>
              <w:t>Digital India</w:t>
            </w:r>
            <w:r w:rsidRPr="00937878">
              <w:rPr>
                <w:rFonts w:eastAsia="Times New Roman"/>
                <w:szCs w:val="24"/>
                <w:lang w:eastAsia="ru-RU"/>
              </w:rPr>
              <w:t xml:space="preserve">, </w:t>
            </w:r>
            <w:r w:rsidRPr="00937878">
              <w:rPr>
                <w:rFonts w:eastAsia="Times New Roman"/>
                <w:i/>
                <w:iCs/>
                <w:szCs w:val="24"/>
                <w:lang w:eastAsia="ru-RU"/>
              </w:rPr>
              <w:t>Startup India</w:t>
            </w:r>
          </w:p>
        </w:tc>
        <w:tc>
          <w:tcPr>
            <w:tcW w:w="0" w:type="auto"/>
            <w:hideMark/>
          </w:tcPr>
          <w:p w14:paraId="045564EA"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Упрощённый доступ к ресурсам, платформа «единого окна»</w:t>
            </w:r>
          </w:p>
        </w:tc>
        <w:tc>
          <w:tcPr>
            <w:tcW w:w="0" w:type="auto"/>
            <w:hideMark/>
          </w:tcPr>
          <w:p w14:paraId="5B0D1436"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Государство – МСП</w:t>
            </w:r>
          </w:p>
        </w:tc>
        <w:tc>
          <w:tcPr>
            <w:tcW w:w="0" w:type="auto"/>
            <w:hideMark/>
          </w:tcPr>
          <w:p w14:paraId="1FCD4618"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Национальные акселераторы, субсидии</w:t>
            </w:r>
          </w:p>
        </w:tc>
        <w:tc>
          <w:tcPr>
            <w:tcW w:w="0" w:type="auto"/>
            <w:hideMark/>
          </w:tcPr>
          <w:p w14:paraId="2106BE78"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Модель поддержки бережливых цифровых инноваций</w:t>
            </w:r>
          </w:p>
        </w:tc>
      </w:tr>
      <w:tr w:rsidR="000547B4" w:rsidRPr="00937878" w14:paraId="108B7631" w14:textId="77777777" w:rsidTr="000547B4">
        <w:tc>
          <w:tcPr>
            <w:tcW w:w="0" w:type="auto"/>
            <w:hideMark/>
          </w:tcPr>
          <w:p w14:paraId="2E8F3BE7" w14:textId="77777777" w:rsidR="000547B4" w:rsidRPr="00937878" w:rsidRDefault="000547B4" w:rsidP="002F33D0">
            <w:pPr>
              <w:ind w:firstLine="0"/>
              <w:rPr>
                <w:rFonts w:eastAsia="Times New Roman"/>
                <w:szCs w:val="24"/>
                <w:lang w:eastAsia="ru-RU"/>
              </w:rPr>
            </w:pPr>
          </w:p>
        </w:tc>
        <w:tc>
          <w:tcPr>
            <w:tcW w:w="0" w:type="auto"/>
            <w:hideMark/>
          </w:tcPr>
          <w:p w14:paraId="47F9CA22"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Малайзия</w:t>
            </w:r>
          </w:p>
        </w:tc>
        <w:tc>
          <w:tcPr>
            <w:tcW w:w="0" w:type="auto"/>
            <w:hideMark/>
          </w:tcPr>
          <w:p w14:paraId="54CC638D" w14:textId="77777777" w:rsidR="000547B4" w:rsidRPr="00937878" w:rsidRDefault="000547B4" w:rsidP="002F33D0">
            <w:pPr>
              <w:ind w:firstLine="0"/>
              <w:rPr>
                <w:rFonts w:eastAsia="Times New Roman"/>
                <w:szCs w:val="24"/>
                <w:lang w:eastAsia="ru-RU"/>
              </w:rPr>
            </w:pPr>
            <w:r w:rsidRPr="00937878">
              <w:rPr>
                <w:rFonts w:eastAsia="Times New Roman"/>
                <w:i/>
                <w:iCs/>
                <w:szCs w:val="24"/>
                <w:lang w:eastAsia="ru-RU"/>
              </w:rPr>
              <w:t>MyDIGITAL Blueprint</w:t>
            </w:r>
          </w:p>
        </w:tc>
        <w:tc>
          <w:tcPr>
            <w:tcW w:w="0" w:type="auto"/>
            <w:hideMark/>
          </w:tcPr>
          <w:p w14:paraId="4013F2F6"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Региональные центры цифровой трансформации</w:t>
            </w:r>
          </w:p>
        </w:tc>
        <w:tc>
          <w:tcPr>
            <w:tcW w:w="0" w:type="auto"/>
            <w:hideMark/>
          </w:tcPr>
          <w:p w14:paraId="585C9FEE"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Государство – частный сектор</w:t>
            </w:r>
          </w:p>
        </w:tc>
        <w:tc>
          <w:tcPr>
            <w:tcW w:w="0" w:type="auto"/>
            <w:hideMark/>
          </w:tcPr>
          <w:p w14:paraId="7470621F"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Индекс цифровой зрелости, дашборды</w:t>
            </w:r>
          </w:p>
        </w:tc>
        <w:tc>
          <w:tcPr>
            <w:tcW w:w="0" w:type="auto"/>
            <w:hideMark/>
          </w:tcPr>
          <w:p w14:paraId="16713859"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Централизация цифрового мониторинга и поддержки МСП</w:t>
            </w:r>
          </w:p>
        </w:tc>
      </w:tr>
      <w:tr w:rsidR="000547B4" w:rsidRPr="00937878" w14:paraId="64E5241E" w14:textId="77777777" w:rsidTr="000547B4">
        <w:tc>
          <w:tcPr>
            <w:tcW w:w="0" w:type="auto"/>
            <w:hideMark/>
          </w:tcPr>
          <w:p w14:paraId="5141F0B2" w14:textId="77777777" w:rsidR="000547B4" w:rsidRPr="00937878" w:rsidRDefault="000547B4" w:rsidP="002F33D0">
            <w:pPr>
              <w:ind w:firstLine="0"/>
              <w:rPr>
                <w:rFonts w:eastAsia="Times New Roman"/>
                <w:szCs w:val="24"/>
                <w:lang w:eastAsia="ru-RU"/>
              </w:rPr>
            </w:pPr>
          </w:p>
        </w:tc>
        <w:tc>
          <w:tcPr>
            <w:tcW w:w="0" w:type="auto"/>
            <w:hideMark/>
          </w:tcPr>
          <w:p w14:paraId="69BBADA9"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Польша</w:t>
            </w:r>
          </w:p>
        </w:tc>
        <w:tc>
          <w:tcPr>
            <w:tcW w:w="0" w:type="auto"/>
            <w:hideMark/>
          </w:tcPr>
          <w:p w14:paraId="600213CB" w14:textId="77777777" w:rsidR="000547B4" w:rsidRPr="00937878" w:rsidRDefault="000547B4" w:rsidP="002F33D0">
            <w:pPr>
              <w:ind w:firstLine="0"/>
              <w:rPr>
                <w:rFonts w:eastAsia="Times New Roman"/>
                <w:szCs w:val="24"/>
                <w:lang w:eastAsia="ru-RU"/>
              </w:rPr>
            </w:pPr>
            <w:r w:rsidRPr="00937878">
              <w:rPr>
                <w:rFonts w:eastAsia="Times New Roman"/>
                <w:i/>
                <w:iCs/>
                <w:szCs w:val="24"/>
                <w:lang w:eastAsia="ru-RU"/>
              </w:rPr>
              <w:t>Smart Specialisation Strategy</w:t>
            </w:r>
          </w:p>
        </w:tc>
        <w:tc>
          <w:tcPr>
            <w:tcW w:w="0" w:type="auto"/>
            <w:hideMark/>
          </w:tcPr>
          <w:p w14:paraId="4ABE460F"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Еврофонды, региональные приоритеты</w:t>
            </w:r>
          </w:p>
        </w:tc>
        <w:tc>
          <w:tcPr>
            <w:tcW w:w="0" w:type="auto"/>
            <w:hideMark/>
          </w:tcPr>
          <w:p w14:paraId="00929C33"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Регион – наука – бизнес</w:t>
            </w:r>
          </w:p>
        </w:tc>
        <w:tc>
          <w:tcPr>
            <w:tcW w:w="0" w:type="auto"/>
            <w:hideMark/>
          </w:tcPr>
          <w:p w14:paraId="137EEF7A"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Специализированные хабы, инвестиционные карты</w:t>
            </w:r>
          </w:p>
        </w:tc>
        <w:tc>
          <w:tcPr>
            <w:tcW w:w="0" w:type="auto"/>
            <w:hideMark/>
          </w:tcPr>
          <w:p w14:paraId="07B5CF7A"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Механизмы региональной интеллектуальной специализации</w:t>
            </w:r>
          </w:p>
        </w:tc>
      </w:tr>
      <w:tr w:rsidR="000547B4" w:rsidRPr="00937878" w14:paraId="6D550873" w14:textId="77777777" w:rsidTr="000547B4">
        <w:tc>
          <w:tcPr>
            <w:tcW w:w="0" w:type="auto"/>
            <w:hideMark/>
          </w:tcPr>
          <w:p w14:paraId="45A77C36" w14:textId="77777777" w:rsidR="000547B4" w:rsidRPr="00937878" w:rsidRDefault="000547B4" w:rsidP="002F33D0">
            <w:pPr>
              <w:ind w:firstLine="0"/>
              <w:rPr>
                <w:rFonts w:eastAsia="Times New Roman"/>
                <w:szCs w:val="24"/>
                <w:lang w:eastAsia="ru-RU"/>
              </w:rPr>
            </w:pPr>
          </w:p>
        </w:tc>
        <w:tc>
          <w:tcPr>
            <w:tcW w:w="0" w:type="auto"/>
            <w:hideMark/>
          </w:tcPr>
          <w:p w14:paraId="4554F597"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Чехия</w:t>
            </w:r>
          </w:p>
        </w:tc>
        <w:tc>
          <w:tcPr>
            <w:tcW w:w="0" w:type="auto"/>
            <w:hideMark/>
          </w:tcPr>
          <w:p w14:paraId="675E70C1" w14:textId="77777777" w:rsidR="000547B4" w:rsidRPr="00937878" w:rsidRDefault="000547B4" w:rsidP="002F33D0">
            <w:pPr>
              <w:ind w:firstLine="0"/>
              <w:rPr>
                <w:rFonts w:eastAsia="Times New Roman"/>
                <w:szCs w:val="24"/>
                <w:lang w:val="en-US" w:eastAsia="ru-RU"/>
              </w:rPr>
            </w:pPr>
            <w:r w:rsidRPr="00937878">
              <w:rPr>
                <w:rFonts w:eastAsia="Times New Roman"/>
                <w:i/>
                <w:iCs/>
                <w:szCs w:val="24"/>
                <w:lang w:val="en-US" w:eastAsia="ru-RU"/>
              </w:rPr>
              <w:t>Innovation Strategy of the Czech Republic 2030</w:t>
            </w:r>
          </w:p>
        </w:tc>
        <w:tc>
          <w:tcPr>
            <w:tcW w:w="0" w:type="auto"/>
            <w:hideMark/>
          </w:tcPr>
          <w:p w14:paraId="2D188038"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Цифровые кластеры, государственно-частное планирование</w:t>
            </w:r>
          </w:p>
        </w:tc>
        <w:tc>
          <w:tcPr>
            <w:tcW w:w="0" w:type="auto"/>
            <w:hideMark/>
          </w:tcPr>
          <w:p w14:paraId="1FFBB199"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Государство – университеты</w:t>
            </w:r>
          </w:p>
        </w:tc>
        <w:tc>
          <w:tcPr>
            <w:tcW w:w="0" w:type="auto"/>
            <w:hideMark/>
          </w:tcPr>
          <w:p w14:paraId="15D8F87A"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ЦКП, цифровые индексы</w:t>
            </w:r>
          </w:p>
        </w:tc>
        <w:tc>
          <w:tcPr>
            <w:tcW w:w="0" w:type="auto"/>
            <w:hideMark/>
          </w:tcPr>
          <w:p w14:paraId="3FC11525"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Переход к экосистемному подходу в промышленной политике</w:t>
            </w:r>
          </w:p>
        </w:tc>
      </w:tr>
      <w:tr w:rsidR="000547B4" w:rsidRPr="00937878" w14:paraId="491FECCB" w14:textId="77777777" w:rsidTr="000547B4">
        <w:tc>
          <w:tcPr>
            <w:tcW w:w="0" w:type="auto"/>
            <w:hideMark/>
          </w:tcPr>
          <w:p w14:paraId="72322613" w14:textId="77777777" w:rsidR="000547B4" w:rsidRPr="00937878" w:rsidRDefault="000547B4" w:rsidP="002F33D0">
            <w:pPr>
              <w:ind w:firstLine="0"/>
              <w:rPr>
                <w:rFonts w:eastAsia="Times New Roman"/>
                <w:szCs w:val="24"/>
                <w:lang w:eastAsia="ru-RU"/>
              </w:rPr>
            </w:pPr>
          </w:p>
        </w:tc>
        <w:tc>
          <w:tcPr>
            <w:tcW w:w="0" w:type="auto"/>
            <w:hideMark/>
          </w:tcPr>
          <w:p w14:paraId="08EBA250"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Эстония</w:t>
            </w:r>
          </w:p>
        </w:tc>
        <w:tc>
          <w:tcPr>
            <w:tcW w:w="0" w:type="auto"/>
            <w:hideMark/>
          </w:tcPr>
          <w:p w14:paraId="52BE90D5" w14:textId="77777777" w:rsidR="000547B4" w:rsidRPr="00937878" w:rsidRDefault="000547B4" w:rsidP="002F33D0">
            <w:pPr>
              <w:ind w:firstLine="0"/>
              <w:rPr>
                <w:rFonts w:eastAsia="Times New Roman"/>
                <w:szCs w:val="24"/>
                <w:lang w:val="en-US" w:eastAsia="ru-RU"/>
              </w:rPr>
            </w:pPr>
            <w:r w:rsidRPr="00937878">
              <w:rPr>
                <w:rFonts w:eastAsia="Times New Roman"/>
                <w:i/>
                <w:iCs/>
                <w:szCs w:val="24"/>
                <w:lang w:val="en-US" w:eastAsia="ru-RU"/>
              </w:rPr>
              <w:t>e-Estonia Strategy</w:t>
            </w:r>
            <w:r w:rsidRPr="00937878">
              <w:rPr>
                <w:rFonts w:eastAsia="Times New Roman"/>
                <w:szCs w:val="24"/>
                <w:lang w:val="en-US" w:eastAsia="ru-RU"/>
              </w:rPr>
              <w:t xml:space="preserve">, </w:t>
            </w:r>
            <w:r w:rsidRPr="00937878">
              <w:rPr>
                <w:rFonts w:eastAsia="Times New Roman"/>
                <w:i/>
                <w:iCs/>
                <w:szCs w:val="24"/>
                <w:lang w:val="en-US" w:eastAsia="ru-RU"/>
              </w:rPr>
              <w:t>Digital Agenda 2030</w:t>
            </w:r>
          </w:p>
        </w:tc>
        <w:tc>
          <w:tcPr>
            <w:tcW w:w="0" w:type="auto"/>
            <w:hideMark/>
          </w:tcPr>
          <w:p w14:paraId="73C716F0"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Упор на цифровизацию госуслуг, стартап-среду</w:t>
            </w:r>
          </w:p>
        </w:tc>
        <w:tc>
          <w:tcPr>
            <w:tcW w:w="0" w:type="auto"/>
            <w:hideMark/>
          </w:tcPr>
          <w:p w14:paraId="37C7F40B"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Государство – ИТ-бизнес</w:t>
            </w:r>
          </w:p>
        </w:tc>
        <w:tc>
          <w:tcPr>
            <w:tcW w:w="0" w:type="auto"/>
            <w:hideMark/>
          </w:tcPr>
          <w:p w14:paraId="0CEA1168"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Электронное правительство, стартап-платформы</w:t>
            </w:r>
          </w:p>
        </w:tc>
        <w:tc>
          <w:tcPr>
            <w:tcW w:w="0" w:type="auto"/>
            <w:hideMark/>
          </w:tcPr>
          <w:p w14:paraId="0AAA7A3B" w14:textId="77777777" w:rsidR="000547B4" w:rsidRPr="00937878" w:rsidRDefault="000547B4" w:rsidP="002F33D0">
            <w:pPr>
              <w:ind w:firstLine="0"/>
              <w:rPr>
                <w:rFonts w:eastAsia="Times New Roman"/>
                <w:szCs w:val="24"/>
                <w:lang w:eastAsia="ru-RU"/>
              </w:rPr>
            </w:pPr>
            <w:r w:rsidRPr="00937878">
              <w:rPr>
                <w:rFonts w:eastAsia="Times New Roman"/>
                <w:szCs w:val="24"/>
                <w:lang w:eastAsia="ru-RU"/>
              </w:rPr>
              <w:t>Применимость для цифровизации управления МСП и университетов</w:t>
            </w:r>
          </w:p>
        </w:tc>
      </w:tr>
      <w:tr w:rsidR="00A12459" w:rsidRPr="00937878" w14:paraId="3CCD5271" w14:textId="77777777" w:rsidTr="002B4A03">
        <w:tc>
          <w:tcPr>
            <w:tcW w:w="0" w:type="auto"/>
            <w:gridSpan w:val="7"/>
          </w:tcPr>
          <w:p w14:paraId="707E6A9F" w14:textId="68FFC75D" w:rsidR="00A12459" w:rsidRPr="00A12459" w:rsidRDefault="00A12459" w:rsidP="000F3C80">
            <w:pPr>
              <w:ind w:firstLine="601"/>
            </w:pPr>
            <w:r>
              <w:rPr>
                <w:rFonts w:eastAsia="Times New Roman"/>
                <w:szCs w:val="24"/>
                <w:lang w:val="kk-KZ" w:eastAsia="ru-RU"/>
              </w:rPr>
              <w:t xml:space="preserve">Примечание – </w:t>
            </w:r>
            <w:r w:rsidR="000F3C80">
              <w:rPr>
                <w:rFonts w:eastAsia="Times New Roman"/>
                <w:szCs w:val="24"/>
                <w:lang w:val="kk-KZ" w:eastAsia="ru-RU"/>
              </w:rPr>
              <w:t>С</w:t>
            </w:r>
            <w:r>
              <w:rPr>
                <w:rFonts w:eastAsia="Times New Roman"/>
                <w:szCs w:val="24"/>
                <w:lang w:val="kk-KZ" w:eastAsia="ru-RU"/>
              </w:rPr>
              <w:t xml:space="preserve">оставлено автором на основе источников </w:t>
            </w:r>
            <w:r w:rsidRPr="00A12459">
              <w:t>[</w:t>
            </w:r>
            <w:r>
              <w:rPr>
                <w:lang w:val="kk-KZ"/>
              </w:rPr>
              <w:t>150-175</w:t>
            </w:r>
            <w:r w:rsidRPr="00A12459">
              <w:t>]</w:t>
            </w:r>
          </w:p>
        </w:tc>
      </w:tr>
    </w:tbl>
    <w:p w14:paraId="1E079061" w14:textId="4850B59E" w:rsidR="000547B4" w:rsidRDefault="00C465CD" w:rsidP="002F33D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5B54458A" wp14:editId="01471375">
                <wp:simplePos x="0" y="0"/>
                <wp:positionH relativeFrom="column">
                  <wp:posOffset>4472178</wp:posOffset>
                </wp:positionH>
                <wp:positionV relativeFrom="paragraph">
                  <wp:posOffset>550799</wp:posOffset>
                </wp:positionV>
                <wp:extent cx="281940" cy="304800"/>
                <wp:effectExtent l="0" t="0" r="22860" b="19050"/>
                <wp:wrapNone/>
                <wp:docPr id="51" name="Прямоугольник 51"/>
                <wp:cNvGraphicFramePr/>
                <a:graphic xmlns:a="http://schemas.openxmlformats.org/drawingml/2006/main">
                  <a:graphicData uri="http://schemas.microsoft.com/office/word/2010/wordprocessingShape">
                    <wps:wsp>
                      <wps:cNvSpPr/>
                      <wps:spPr>
                        <a:xfrm>
                          <a:off x="0" y="0"/>
                          <a:ext cx="281940"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0A3ECF" id="Прямоугольник 51" o:spid="_x0000_s1026" style="position:absolute;margin-left:352.15pt;margin-top:43.35pt;width:22.2pt;height:24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fgtwIAAL4FAAAOAAAAZHJzL2Uyb0RvYy54bWysVM1uEzEQviPxDpbvdDchhTbqpopaFSFV&#10;bUSLena8dnYl/2E72YQTElckHoGH4IL46TNs3oix9yelVBwqcnA8OzPfzHyemaPjtRRoxawrtcrw&#10;YC/FiCmq81ItMvz2+uzZAUbOE5UToRXL8IY5fDx5+uSoMmM21IUWObMIQJQbVybDhfdmnCSOFkwS&#10;t6cNU6Dk2kriQbSLJLekAnQpkmGavkgqbXNjNWXOwdfTRoknEZ9zRv0l5455JDIMufl42njOw5lM&#10;jsh4YYkpStqmQR6RhSSlgqA91CnxBC1t+ReULKnVTnO/R7VMNOclZbEGqGaQ3qvmqiCGxVqAHGd6&#10;mtz/g6UXq5lFZZ7h/QFGikh4o/rL9sP2c/2zvt1+rL/Wt/WP7af6V/2t/o7ACBirjBuD45WZ2VZy&#10;cA3lr7mV4R8KQ+vI8qZnma09ovBxeDA4HMFbUFA9T0cHaXyFZOdsrPOvmJYoXDJs4REjt2R17jwE&#10;BNPOJMRyWpT5WSlEFELjsBNh0YrAk88XMWHw+MNKqEc5AkzwTEL9TcXx5jeCBTyh3jAOXIYaY8Kx&#10;i3fJEEqZ8oNGVZCcNTnup/ALtIYsu/SjFAEDMofqeuwWoLNsQDrsBqa1D64sDkHvnP4rsca594iR&#10;tfK9syyVtg8BCKiqjdzYdyQ11ASW5jrfQKdZ3YygM/SshOc9J87PiIWZg46APeIv4eBCVxnW7Q2j&#10;Qtv3D30P9jAKoMWoghnOsHu3JJZhJF4rGJLDwSg0mo/CaP/lEAR7VzO/q1FLeaKhZ2AOILt4DfZe&#10;dFdutbyBdTMNUUFFFIXYGabedsKJb3YLLCzKptNoBoNuiD9XV4YG8MBqaN/r9Q2xpu1xD8Nxobt5&#10;J+N7rd7YBk+lp0uveRnnYMdryzcsidg47UILW+iuHK12a3fyGwAA//8DAFBLAwQUAAYACAAAACEA&#10;TOmYWuAAAAAKAQAADwAAAGRycy9kb3ducmV2LnhtbEyPwUrEMBCG74LvEEbw5qbulm2tTRcRRQQP&#10;uivocbZJ2mIzKU3arW/veNLbDPPxz/eXu8X1YjZj6DwpuF4lIAzVXnfUKHg/PF7lIEJE0th7Mgq+&#10;TYBddX5WYqH9id7MvI+N4BAKBSpoYxwKKUPdGodh5QdDfLN+dBh5HRupRzxxuOvlOkm20mFH/KHF&#10;wdy3pv7aT07Bp8Wnw8NzeJF2Pdub7nX6sNmk1OXFcncLIpol/sHwq8/qULHT0U+kg+gVZEm6YVRB&#10;vs1AMJClOQ9HJjdpBrIq5f8K1Q8AAAD//wMAUEsBAi0AFAAGAAgAAAAhALaDOJL+AAAA4QEAABMA&#10;AAAAAAAAAAAAAAAAAAAAAFtDb250ZW50X1R5cGVzXS54bWxQSwECLQAUAAYACAAAACEAOP0h/9YA&#10;AACUAQAACwAAAAAAAAAAAAAAAAAvAQAAX3JlbHMvLnJlbHNQSwECLQAUAAYACAAAACEA2/4X4LcC&#10;AAC+BQAADgAAAAAAAAAAAAAAAAAuAgAAZHJzL2Uyb0RvYy54bWxQSwECLQAUAAYACAAAACEATOmY&#10;WuAAAAAKAQAADwAAAAAAAAAAAAAAAAARBQAAZHJzL2Rvd25yZXYueG1sUEsFBgAAAAAEAAQA8wAA&#10;AB4GAAAAAA==&#10;" fillcolor="white [3212]" strokecolor="white [3212]" strokeweight="1pt"/>
            </w:pict>
          </mc:Fallback>
        </mc:AlternateContent>
      </w:r>
    </w:p>
    <w:p w14:paraId="736F9F5D" w14:textId="7A110452" w:rsidR="000547B4" w:rsidRDefault="000547B4" w:rsidP="002F33D0">
      <w:pPr>
        <w:spacing w:after="0" w:line="240" w:lineRule="auto"/>
        <w:rPr>
          <w:rFonts w:ascii="Times New Roman" w:hAnsi="Times New Roman" w:cs="Times New Roman"/>
          <w:sz w:val="28"/>
          <w:szCs w:val="28"/>
          <w:lang w:val="kk-KZ"/>
        </w:rPr>
        <w:sectPr w:rsidR="000547B4" w:rsidSect="00A64D4E">
          <w:pgSz w:w="16838" w:h="11906" w:orient="landscape"/>
          <w:pgMar w:top="1701" w:right="1134" w:bottom="567" w:left="1134" w:header="709" w:footer="709" w:gutter="0"/>
          <w:cols w:space="708"/>
          <w:docGrid w:linePitch="360"/>
        </w:sectPr>
      </w:pPr>
    </w:p>
    <w:p w14:paraId="3D930ECE" w14:textId="78E63749" w:rsidR="000547B4" w:rsidRDefault="000547B4" w:rsidP="002F33D0">
      <w:pPr>
        <w:spacing w:after="0" w:line="240" w:lineRule="auto"/>
        <w:ind w:firstLine="567"/>
        <w:jc w:val="both"/>
        <w:rPr>
          <w:rFonts w:ascii="Times New Roman" w:hAnsi="Times New Roman" w:cs="Times New Roman"/>
          <w:sz w:val="28"/>
          <w:szCs w:val="28"/>
          <w:lang w:val="kk-KZ"/>
        </w:rPr>
      </w:pPr>
      <w:r w:rsidRPr="000547B4">
        <w:rPr>
          <w:rFonts w:ascii="Times New Roman" w:hAnsi="Times New Roman" w:cs="Times New Roman"/>
          <w:sz w:val="28"/>
          <w:szCs w:val="28"/>
          <w:lang w:val="kk-KZ"/>
        </w:rPr>
        <w:lastRenderedPageBreak/>
        <w:t>Сравнительный анализ показывает, что развитые страны опираются на устойчивые инновационные экосистемы, цифровые платформы и долгосрочные стратегии, тогда как развивающиеся фокусируются на базовой инфраструктуре, институциональном укреплении и адаптации внешнего опыта. Общими чертами остаются приоритет цифровизации, комплексность подхода, поддержка МСП и координация на всех уровнях.</w:t>
      </w:r>
    </w:p>
    <w:p w14:paraId="163C4A50" w14:textId="68A88B91" w:rsidR="00BC76B6" w:rsidRPr="00660037" w:rsidRDefault="00BC76B6" w:rsidP="00BC76B6">
      <w:pPr>
        <w:spacing w:after="0" w:line="240" w:lineRule="auto"/>
        <w:ind w:firstLine="567"/>
        <w:jc w:val="both"/>
        <w:rPr>
          <w:rFonts w:ascii="Times New Roman" w:hAnsi="Times New Roman" w:cs="Times New Roman"/>
          <w:sz w:val="28"/>
          <w:szCs w:val="28"/>
          <w:lang w:val="kk-KZ"/>
        </w:rPr>
      </w:pPr>
      <w:r w:rsidRPr="00660037">
        <w:rPr>
          <w:rFonts w:ascii="Times New Roman" w:hAnsi="Times New Roman" w:cs="Times New Roman"/>
          <w:sz w:val="28"/>
          <w:szCs w:val="28"/>
          <w:lang w:val="kk-KZ"/>
        </w:rPr>
        <w:t xml:space="preserve">Критический анализ зарубежного опыта формирования и развития инновационного потенциала, реализованный нами в работах </w:t>
      </w:r>
      <w:r w:rsidRPr="00660037">
        <w:rPr>
          <w:rFonts w:ascii="Times New Roman" w:hAnsi="Times New Roman" w:cs="Times New Roman"/>
          <w:sz w:val="28"/>
          <w:szCs w:val="28"/>
          <w:lang w:val="kk-KZ"/>
        </w:rPr>
        <w:fldChar w:fldCharType="begin"/>
      </w:r>
      <w:r w:rsidR="009C6DCA" w:rsidRPr="00660037">
        <w:rPr>
          <w:rFonts w:ascii="Times New Roman" w:hAnsi="Times New Roman" w:cs="Times New Roman"/>
          <w:sz w:val="28"/>
          <w:szCs w:val="28"/>
          <w:lang w:val="kk-KZ"/>
        </w:rPr>
        <w:instrText xml:space="preserve"> ADDIN ZOTERO_ITEM CSL_CITATION {"citationID":"a1bn1hkc9o3","properties":{"formattedCitation":"[182,183]","plainCitation":"[182,183]","noteIndex":0},"citationItems":[{"id":378,"uris":["http://zotero.org/users/16887523/items/IKVT9Z59"],"itemData":{"id":378,"type":"article-journal","abstract":"The article examines the foreign experience of the formation and development of the innovative potential of entrepreneurial structures. The purpose of this study is to develop new recommendations for the formation, development and stimulation of the innovative potential of entrepreneurial structures in Kazakhstan based on the analysis of foreign experience. Given the rather rich world experience in the formation and development of the innovative potential of entrepreneurial structures, many economists believe that if we implement successful world experience and take into account the mistakes of other countries, we can accelerate the process of forming an innovative economy. In the article, the authors highlighted the experience of countries such as the USA, Japan and the EU countries, since these countries are the base of modernization, it is there that the centers of advanced technologies are located. The study showed that the decisive role in the formation and development of innovative entrepreneurship is played by the state, which, on the one hand, establishes the rules for the functioning of the national innovation system, on the other hand, provides a resource component, including financing. Therefore, in Western countries, special attention is paid to issues of state support for innovative entrepreneurship. The article also discusses the practices of creating industry development (growth) centers that provide comprehensive scientific, technical, financial, production, and information support for the innovation activities of business structures, creating a single operator for the development of innovations by merging development institutions, creating an information retrieval specialized independent platform for advanced technologies and innovative developments, the so-called Innovation Observatory. This study made it possible to develop a number of recommendations that are most adaptive to Kazakhstan to stimulate the innovative activity of business structures.","container-title":"Вестник университета Туран","DOI":"10.46914/1562-2959-2022-1-4-211-225","ISSN":"1562-2959","issue":"4","journalAbbreviation":"jour","license":"CC0 1.0 Universal Public Domain Dedication","page":"211-225","source":"DOI.org (Crossref)","title":"Адаптация успешных мировых практик в целях повышения инновационного потенциала предпринимательских структур Казахстана","URL":"https://vestnik.turan-edu.kz/jour/article/view/3025","volume":"96","author":[{"family":"Саденова","given":"A. M."},{"family":"Рахимова","given":"С. A."},{"family":"Суйеубаева","given":"С. Н."}],"accessed":{"date-parts":[["2025",12,13]]},"issued":{"date-parts":[["2022"]]}}},{"id":584,"uris":["http://zotero.org/users/16887523/items/BKX9BHYZ"],"itemData":{"id":584,"type":"paper-conference","event-title":"Қазақстанның инновациялық дамуына жастардың шығармашылығы: Студенттердің, магистранттардың және жас ғалымдардың VIІІ Халықаралық ҒТК материалдары","page":"79-83","publisher":"Д. Серікбаев атындағы Шығыс Қазақстан техникалық университеті","publisher-place":"Өскемен","title":"Кәсіпорынның инновациялық әлеуетті дамытудың шетел тәжірибесі","volume":"5","author":[{"family":"Дәулетжарова","given":"А."},{"family":"Саденова","given":"А.М."}],"issued":{"date-parts":[["2022"]],"season":"8"}}}],"schema":"https://github.com/citation-style-language/schema/raw/master/csl-citation.json"} </w:instrText>
      </w:r>
      <w:r w:rsidRPr="00660037">
        <w:rPr>
          <w:rFonts w:ascii="Times New Roman" w:hAnsi="Times New Roman" w:cs="Times New Roman"/>
          <w:sz w:val="28"/>
          <w:szCs w:val="28"/>
          <w:lang w:val="kk-KZ"/>
        </w:rPr>
        <w:fldChar w:fldCharType="separate"/>
      </w:r>
      <w:r w:rsidR="009C6DCA" w:rsidRPr="00660037">
        <w:rPr>
          <w:rFonts w:ascii="Times New Roman" w:hAnsi="Times New Roman" w:cs="Times New Roman"/>
          <w:sz w:val="28"/>
        </w:rPr>
        <w:t>[182,183]</w:t>
      </w:r>
      <w:r w:rsidRPr="00660037">
        <w:rPr>
          <w:rFonts w:ascii="Times New Roman" w:hAnsi="Times New Roman" w:cs="Times New Roman"/>
          <w:sz w:val="28"/>
          <w:szCs w:val="28"/>
          <w:lang w:val="kk-KZ"/>
        </w:rPr>
        <w:fldChar w:fldCharType="end"/>
      </w:r>
      <w:r w:rsidRPr="00660037">
        <w:rPr>
          <w:rFonts w:ascii="Times New Roman" w:hAnsi="Times New Roman" w:cs="Times New Roman"/>
          <w:sz w:val="28"/>
          <w:szCs w:val="28"/>
          <w:lang w:val="kk-KZ"/>
        </w:rPr>
        <w:t>, показал, что решающую роль в этом процессе играет государство, которое устанавливает правила функционирования национальной инновационной системы и обеспечивает ресурсную составляющую. Сопоставление финансовых показателей подтвердило, что в развитых странах (Япония, Корея, Германия, США) основная доля расходов на НИОКР финансируется частным бизнесом (до 79,1% в Японии, 62,4% в США), тогда как в развивающихся экономиках преобладает государственное финансирование (до 97,3% в Ираке и 95,4% в Египте).</w:t>
      </w:r>
      <w:r w:rsidR="00660037">
        <w:rPr>
          <w:rFonts w:ascii="Times New Roman" w:hAnsi="Times New Roman" w:cs="Times New Roman"/>
          <w:sz w:val="28"/>
          <w:szCs w:val="28"/>
          <w:lang w:val="kk-KZ"/>
        </w:rPr>
        <w:t xml:space="preserve"> </w:t>
      </w:r>
      <w:r w:rsidRPr="00660037">
        <w:rPr>
          <w:rFonts w:ascii="Times New Roman" w:hAnsi="Times New Roman" w:cs="Times New Roman"/>
          <w:sz w:val="28"/>
          <w:szCs w:val="28"/>
          <w:lang w:val="kk-KZ"/>
        </w:rPr>
        <w:t>Этот опыт обосновывает необходимость перехода Казахстана к модели, стимулирующей частные инвестиции в инновации, что является ключевым направлением проектирования. Для стимулирования инновационной активности МСП необходимо адаптировать успешные механизмы поддержки, такие как трехэтапная программа грантового финансирования SBIR в США, а также модель бесплатных консультаций SCORE.</w:t>
      </w:r>
    </w:p>
    <w:p w14:paraId="2F1C689A" w14:textId="77777777" w:rsidR="00660037" w:rsidRDefault="00251026" w:rsidP="00660037">
      <w:pPr>
        <w:spacing w:after="0" w:line="240" w:lineRule="auto"/>
        <w:ind w:firstLine="567"/>
        <w:jc w:val="both"/>
        <w:rPr>
          <w:rFonts w:ascii="Times New Roman" w:hAnsi="Times New Roman" w:cs="Times New Roman"/>
          <w:color w:val="FF0000"/>
          <w:sz w:val="28"/>
          <w:szCs w:val="28"/>
          <w:lang w:val="kk-KZ"/>
        </w:rPr>
      </w:pPr>
      <w:r w:rsidRPr="00251026">
        <w:rPr>
          <w:rFonts w:ascii="Times New Roman" w:hAnsi="Times New Roman" w:cs="Times New Roman"/>
          <w:sz w:val="28"/>
          <w:szCs w:val="28"/>
          <w:lang w:val="kk-KZ"/>
        </w:rPr>
        <w:t>Независимо от уровня социально-экономического развития стран, в международной практике прослеживается общая логика проектирования инновационного потенциала предприятий, основанная на поэтапной реа</w:t>
      </w:r>
      <w:r>
        <w:rPr>
          <w:rFonts w:ascii="Times New Roman" w:hAnsi="Times New Roman" w:cs="Times New Roman"/>
          <w:sz w:val="28"/>
          <w:szCs w:val="28"/>
          <w:lang w:val="kk-KZ"/>
        </w:rPr>
        <w:t>лизации управленческих решений –</w:t>
      </w:r>
      <w:r w:rsidRPr="00251026">
        <w:rPr>
          <w:rFonts w:ascii="Times New Roman" w:hAnsi="Times New Roman" w:cs="Times New Roman"/>
          <w:sz w:val="28"/>
          <w:szCs w:val="28"/>
          <w:lang w:val="kk-KZ"/>
        </w:rPr>
        <w:t xml:space="preserve"> от стратегического планирования до оценки результативности. Данный подход предполагает вовлечение различных групп участников инновационного процесса, а также использование адаптивных инструментов, учитывающих особенности институциональной и цифровой среды. В целях его систематизации в таблице 8 представлены ключевые этапы, субъекты и инструменты, формирующие основу процессов развития инновационного потенциала в странах с различным уровнем цифровой зрелости и институционального развития.</w:t>
      </w:r>
    </w:p>
    <w:p w14:paraId="687EEAD8" w14:textId="30DF42F2" w:rsidR="00413424" w:rsidRPr="00660037" w:rsidRDefault="00660037" w:rsidP="00660037">
      <w:pPr>
        <w:spacing w:after="0" w:line="240" w:lineRule="auto"/>
        <w:ind w:firstLine="567"/>
        <w:jc w:val="both"/>
        <w:rPr>
          <w:rFonts w:ascii="Times New Roman" w:hAnsi="Times New Roman" w:cs="Times New Roman"/>
          <w:color w:val="FF0000"/>
          <w:sz w:val="28"/>
          <w:szCs w:val="28"/>
          <w:lang w:val="kk-KZ"/>
        </w:rPr>
      </w:pPr>
      <w:r w:rsidRPr="004D1E51">
        <w:rPr>
          <w:rFonts w:ascii="Times New Roman" w:hAnsi="Times New Roman" w:cs="Times New Roman"/>
          <w:sz w:val="28"/>
          <w:szCs w:val="28"/>
        </w:rPr>
        <w:t xml:space="preserve">Таким образом, практика зарубежных стран демонстрирует наличие последовательной логики в проектировании инновационного потенциала предприятий: от диагностики текущего состояния до постоянного мониторинга и адаптации. В процесс вовлекаются ключевые акторы инновационной экосистемы, включая государственные органы, бизнес-структуры, образовательные и научные организации, а также международные партнёрства. Используемые инструменты варьируются от стратегических планов и цифровых платформ до гибких механизмов поддержки, что позволяет эффективно управлять трансформацией потенциала в устойчивые инновационные результаты в условиях перехода мировой экономики к этапу Globalization 4.0, характеризующемуся усилением технологической </w:t>
      </w:r>
      <w:r w:rsidRPr="004D1E51">
        <w:rPr>
          <w:rFonts w:ascii="Times New Roman" w:hAnsi="Times New Roman" w:cs="Times New Roman"/>
          <w:sz w:val="28"/>
          <w:szCs w:val="28"/>
        </w:rPr>
        <w:lastRenderedPageBreak/>
        <w:t>взаимозависимости, ростом роли инноваций и необходимостью согласования национальных и глобальных траекторий развития</w:t>
      </w:r>
      <w:r>
        <w:rPr>
          <w:rFonts w:ascii="Times New Roman" w:hAnsi="Times New Roman" w:cs="Times New Roman"/>
          <w:sz w:val="28"/>
          <w:szCs w:val="28"/>
          <w:lang w:val="kk-KZ"/>
        </w:rPr>
        <w:t xml:space="preserve"> </w:t>
      </w:r>
      <w:r>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{"citationID":"a2b3mc8qrcs","properties":{"formattedCitation":"[184]","plainCitation":"[184]","noteIndex":0},"citationItems":[{"id":583,"uris":["http://zotero.org/users/16887523/items/YDLDWI8Z"],"itemData":{"id":583,"type":"paper-conference","event-title":"Proceedings of the 8th International Scientific Conference «Scientific Results»","page":"289-299","publisher":"Publisher.agency","publisher-place":"Rome, Italy","title":"Globalization 4.0 and the World Econo-my: Challenges and New Growth Models","URL":"https://ojs.publisher.agency/index.php/SR/article/view/4566","author":[{"family":"Sadenova","given":"A."},{"family":"Suieubayeva","given":"S."}],"issued":{"date-parts":[["2024",11,7]]}}}],"schema":"https://github.com/citation-style-language/schema/raw/master/csl-citation.json"} </w:instrText>
      </w:r>
      <w:r>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[184]</w:t>
      </w:r>
      <w:r>
        <w:rPr>
          <w:rFonts w:ascii="Times New Roman" w:hAnsi="Times New Roman" w:cs="Times New Roman"/>
          <w:sz w:val="28"/>
          <w:szCs w:val="28"/>
          <w:lang w:val="kk-KZ"/>
        </w:rPr>
        <w:fldChar w:fldCharType="end"/>
      </w:r>
      <w:r>
        <w:rPr>
          <w:rFonts w:ascii="Times New Roman" w:hAnsi="Times New Roman" w:cs="Times New Roman"/>
          <w:sz w:val="28"/>
          <w:szCs w:val="28"/>
          <w:lang w:val="kk-KZ"/>
        </w:rPr>
        <w:t>.</w:t>
      </w:r>
    </w:p>
    <w:p w14:paraId="66A7464F" w14:textId="77777777" w:rsidR="00660037" w:rsidRDefault="00660037" w:rsidP="002F33D0">
      <w:pPr>
        <w:spacing w:after="0" w:line="240" w:lineRule="auto"/>
        <w:jc w:val="both"/>
        <w:rPr>
          <w:rFonts w:ascii="Times New Roman" w:hAnsi="Times New Roman" w:cs="Times New Roman"/>
          <w:sz w:val="28"/>
          <w:szCs w:val="28"/>
          <w:lang w:val="kk-KZ"/>
        </w:rPr>
      </w:pPr>
    </w:p>
    <w:p w14:paraId="074476F4" w14:textId="56A081FA" w:rsidR="00413424" w:rsidRDefault="00413424" w:rsidP="002F33D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Таблица 8 – </w:t>
      </w:r>
      <w:r w:rsidRPr="00413424">
        <w:rPr>
          <w:rFonts w:ascii="Times New Roman" w:hAnsi="Times New Roman" w:cs="Times New Roman"/>
          <w:sz w:val="28"/>
          <w:szCs w:val="28"/>
          <w:lang w:val="kk-KZ"/>
        </w:rPr>
        <w:t>Этапы, участники и инструменты проектирования инновационного потенциала предприятий</w:t>
      </w:r>
    </w:p>
    <w:p w14:paraId="711A5046" w14:textId="77777777" w:rsidR="00F343EF" w:rsidRDefault="00F343EF" w:rsidP="002F33D0">
      <w:pPr>
        <w:spacing w:after="0" w:line="240" w:lineRule="auto"/>
        <w:jc w:val="both"/>
        <w:rPr>
          <w:rFonts w:ascii="Times New Roman" w:hAnsi="Times New Roman" w:cs="Times New Roman"/>
          <w:sz w:val="28"/>
          <w:szCs w:val="28"/>
          <w:lang w:val="kk-KZ"/>
        </w:rPr>
      </w:pPr>
    </w:p>
    <w:tbl>
      <w:tblPr>
        <w:tblStyle w:val="a5"/>
        <w:tblW w:w="9587" w:type="dxa"/>
        <w:tblLook w:val="04A0" w:firstRow="1" w:lastRow="0" w:firstColumn="1" w:lastColumn="0" w:noHBand="0" w:noVBand="1"/>
      </w:tblPr>
      <w:tblGrid>
        <w:gridCol w:w="1914"/>
        <w:gridCol w:w="2901"/>
        <w:gridCol w:w="4772"/>
      </w:tblGrid>
      <w:tr w:rsidR="00413424" w:rsidRPr="00413424" w14:paraId="22005BAE" w14:textId="77777777" w:rsidTr="00D06D1F">
        <w:tc>
          <w:tcPr>
            <w:tcW w:w="1914" w:type="dxa"/>
            <w:hideMark/>
          </w:tcPr>
          <w:p w14:paraId="7FB30C11" w14:textId="77777777" w:rsidR="00413424" w:rsidRPr="00413424" w:rsidRDefault="00413424" w:rsidP="002F33D0">
            <w:pPr>
              <w:ind w:firstLine="0"/>
              <w:jc w:val="center"/>
              <w:rPr>
                <w:rFonts w:eastAsia="Times New Roman"/>
                <w:bCs/>
                <w:szCs w:val="24"/>
                <w:lang w:eastAsia="ru-RU"/>
              </w:rPr>
            </w:pPr>
            <w:r w:rsidRPr="00413424">
              <w:rPr>
                <w:rFonts w:eastAsia="Times New Roman"/>
                <w:bCs/>
                <w:szCs w:val="24"/>
                <w:lang w:eastAsia="ru-RU"/>
              </w:rPr>
              <w:t>Этап проектирования</w:t>
            </w:r>
          </w:p>
        </w:tc>
        <w:tc>
          <w:tcPr>
            <w:tcW w:w="2901" w:type="dxa"/>
            <w:hideMark/>
          </w:tcPr>
          <w:p w14:paraId="12E2F0D9" w14:textId="77777777" w:rsidR="00413424" w:rsidRPr="00413424" w:rsidRDefault="00413424" w:rsidP="002F33D0">
            <w:pPr>
              <w:ind w:firstLine="0"/>
              <w:jc w:val="center"/>
              <w:rPr>
                <w:rFonts w:eastAsia="Times New Roman"/>
                <w:bCs/>
                <w:szCs w:val="24"/>
                <w:lang w:eastAsia="ru-RU"/>
              </w:rPr>
            </w:pPr>
            <w:r w:rsidRPr="00413424">
              <w:rPr>
                <w:rFonts w:eastAsia="Times New Roman"/>
                <w:bCs/>
                <w:szCs w:val="24"/>
                <w:lang w:eastAsia="ru-RU"/>
              </w:rPr>
              <w:t>Ключевые участники</w:t>
            </w:r>
          </w:p>
        </w:tc>
        <w:tc>
          <w:tcPr>
            <w:tcW w:w="4772" w:type="dxa"/>
            <w:hideMark/>
          </w:tcPr>
          <w:p w14:paraId="273E744C" w14:textId="77777777" w:rsidR="00413424" w:rsidRPr="00413424" w:rsidRDefault="00413424" w:rsidP="002F33D0">
            <w:pPr>
              <w:ind w:firstLine="0"/>
              <w:jc w:val="center"/>
              <w:rPr>
                <w:rFonts w:eastAsia="Times New Roman"/>
                <w:bCs/>
                <w:szCs w:val="24"/>
                <w:lang w:eastAsia="ru-RU"/>
              </w:rPr>
            </w:pPr>
            <w:r w:rsidRPr="00413424">
              <w:rPr>
                <w:rFonts w:eastAsia="Times New Roman"/>
                <w:bCs/>
                <w:szCs w:val="24"/>
                <w:lang w:eastAsia="ru-RU"/>
              </w:rPr>
              <w:t>Основные инструменты и механизмы</w:t>
            </w:r>
          </w:p>
        </w:tc>
      </w:tr>
      <w:tr w:rsidR="00413424" w:rsidRPr="00413424" w14:paraId="3B58722D" w14:textId="77777777" w:rsidTr="00D06D1F">
        <w:tc>
          <w:tcPr>
            <w:tcW w:w="1914" w:type="dxa"/>
            <w:hideMark/>
          </w:tcPr>
          <w:p w14:paraId="02C9F469" w14:textId="77777777" w:rsidR="00413424" w:rsidRPr="00413424" w:rsidRDefault="00413424" w:rsidP="002F33D0">
            <w:pPr>
              <w:ind w:firstLine="0"/>
              <w:rPr>
                <w:rFonts w:eastAsia="Times New Roman"/>
                <w:szCs w:val="24"/>
                <w:lang w:eastAsia="ru-RU"/>
              </w:rPr>
            </w:pPr>
            <w:r w:rsidRPr="00413424">
              <w:rPr>
                <w:rFonts w:eastAsia="Times New Roman"/>
                <w:bCs/>
                <w:szCs w:val="24"/>
                <w:lang w:eastAsia="ru-RU"/>
              </w:rPr>
              <w:t>1. Диагностика и оценка текущего состояния</w:t>
            </w:r>
          </w:p>
        </w:tc>
        <w:tc>
          <w:tcPr>
            <w:tcW w:w="2901" w:type="dxa"/>
            <w:hideMark/>
          </w:tcPr>
          <w:p w14:paraId="18B21D97" w14:textId="77777777" w:rsidR="00413424" w:rsidRPr="00413424" w:rsidRDefault="00413424" w:rsidP="002F33D0">
            <w:pPr>
              <w:ind w:firstLine="0"/>
              <w:rPr>
                <w:rFonts w:eastAsia="Times New Roman"/>
                <w:szCs w:val="24"/>
                <w:lang w:eastAsia="ru-RU"/>
              </w:rPr>
            </w:pPr>
            <w:r w:rsidRPr="00413424">
              <w:rPr>
                <w:rFonts w:eastAsia="Times New Roman"/>
                <w:szCs w:val="24"/>
                <w:lang w:eastAsia="ru-RU"/>
              </w:rPr>
              <w:t>Государственные агентства, отраслевые ассоциации, университеты, консалтинговые центры</w:t>
            </w:r>
          </w:p>
        </w:tc>
        <w:tc>
          <w:tcPr>
            <w:tcW w:w="4772" w:type="dxa"/>
            <w:hideMark/>
          </w:tcPr>
          <w:p w14:paraId="0425DB3D" w14:textId="77777777" w:rsidR="00413424" w:rsidRPr="00413424" w:rsidRDefault="00413424" w:rsidP="002F33D0">
            <w:pPr>
              <w:ind w:firstLine="0"/>
              <w:rPr>
                <w:rFonts w:eastAsia="Times New Roman"/>
                <w:szCs w:val="24"/>
                <w:lang w:eastAsia="ru-RU"/>
              </w:rPr>
            </w:pPr>
            <w:r w:rsidRPr="00413424">
              <w:rPr>
                <w:rFonts w:eastAsia="Times New Roman"/>
                <w:szCs w:val="24"/>
                <w:lang w:eastAsia="ru-RU"/>
              </w:rPr>
              <w:t>Индексы цифровой зрелости, карты компетенций, опросы МСП, инновационные аудиты, региональные и отраслевые обзоры, цифровые панели мониторинга</w:t>
            </w:r>
          </w:p>
        </w:tc>
      </w:tr>
      <w:tr w:rsidR="00413424" w:rsidRPr="00413424" w14:paraId="0F6D3D9A" w14:textId="77777777" w:rsidTr="00D06D1F">
        <w:tc>
          <w:tcPr>
            <w:tcW w:w="1914" w:type="dxa"/>
            <w:hideMark/>
          </w:tcPr>
          <w:p w14:paraId="4B20F8F8" w14:textId="2B01E6F9" w:rsidR="00413424" w:rsidRPr="00413424" w:rsidRDefault="00413424" w:rsidP="002F33D0">
            <w:pPr>
              <w:ind w:firstLine="0"/>
              <w:rPr>
                <w:rFonts w:eastAsia="Times New Roman"/>
                <w:szCs w:val="24"/>
                <w:lang w:eastAsia="ru-RU"/>
              </w:rPr>
            </w:pPr>
            <w:r w:rsidRPr="00413424">
              <w:rPr>
                <w:rFonts w:eastAsia="Times New Roman"/>
                <w:bCs/>
                <w:szCs w:val="24"/>
                <w:lang w:eastAsia="ru-RU"/>
              </w:rPr>
              <w:t>2. Формирова</w:t>
            </w:r>
            <w:r w:rsidR="00D06D1F">
              <w:rPr>
                <w:rFonts w:eastAsia="Times New Roman"/>
                <w:bCs/>
                <w:szCs w:val="24"/>
                <w:lang w:val="kk-KZ" w:eastAsia="ru-RU"/>
              </w:rPr>
              <w:t xml:space="preserve"> </w:t>
            </w:r>
            <w:r w:rsidRPr="00413424">
              <w:rPr>
                <w:rFonts w:eastAsia="Times New Roman"/>
                <w:bCs/>
                <w:szCs w:val="24"/>
                <w:lang w:eastAsia="ru-RU"/>
              </w:rPr>
              <w:t>ние стратегичес</w:t>
            </w:r>
            <w:r w:rsidR="00D06D1F">
              <w:rPr>
                <w:rFonts w:eastAsia="Times New Roman"/>
                <w:bCs/>
                <w:szCs w:val="24"/>
                <w:lang w:val="kk-KZ" w:eastAsia="ru-RU"/>
              </w:rPr>
              <w:t xml:space="preserve"> </w:t>
            </w:r>
            <w:r w:rsidRPr="00413424">
              <w:rPr>
                <w:rFonts w:eastAsia="Times New Roman"/>
                <w:bCs/>
                <w:szCs w:val="24"/>
                <w:lang w:eastAsia="ru-RU"/>
              </w:rPr>
              <w:t>ких приорите</w:t>
            </w:r>
            <w:r w:rsidR="00D06D1F">
              <w:rPr>
                <w:rFonts w:eastAsia="Times New Roman"/>
                <w:bCs/>
                <w:szCs w:val="24"/>
                <w:lang w:val="kk-KZ" w:eastAsia="ru-RU"/>
              </w:rPr>
              <w:t xml:space="preserve"> </w:t>
            </w:r>
            <w:r w:rsidRPr="00413424">
              <w:rPr>
                <w:rFonts w:eastAsia="Times New Roman"/>
                <w:bCs/>
                <w:szCs w:val="24"/>
                <w:lang w:eastAsia="ru-RU"/>
              </w:rPr>
              <w:t>тов</w:t>
            </w:r>
          </w:p>
        </w:tc>
        <w:tc>
          <w:tcPr>
            <w:tcW w:w="2901" w:type="dxa"/>
            <w:hideMark/>
          </w:tcPr>
          <w:p w14:paraId="4AFC2D04" w14:textId="77777777" w:rsidR="00413424" w:rsidRPr="00413424" w:rsidRDefault="00413424" w:rsidP="002F33D0">
            <w:pPr>
              <w:ind w:firstLine="0"/>
              <w:rPr>
                <w:rFonts w:eastAsia="Times New Roman"/>
                <w:szCs w:val="24"/>
                <w:lang w:eastAsia="ru-RU"/>
              </w:rPr>
            </w:pPr>
            <w:r w:rsidRPr="00413424">
              <w:rPr>
                <w:rFonts w:eastAsia="Times New Roman"/>
                <w:szCs w:val="24"/>
                <w:lang w:eastAsia="ru-RU"/>
              </w:rPr>
              <w:t>Министерства, государственные фонды, бизнес-сообщества, НИИ, международные эксперты</w:t>
            </w:r>
          </w:p>
        </w:tc>
        <w:tc>
          <w:tcPr>
            <w:tcW w:w="4772" w:type="dxa"/>
            <w:hideMark/>
          </w:tcPr>
          <w:p w14:paraId="4757D402" w14:textId="77777777" w:rsidR="00413424" w:rsidRPr="00413424" w:rsidRDefault="00413424" w:rsidP="002F33D0">
            <w:pPr>
              <w:ind w:firstLine="0"/>
              <w:rPr>
                <w:rFonts w:eastAsia="Times New Roman"/>
                <w:szCs w:val="24"/>
                <w:lang w:eastAsia="ru-RU"/>
              </w:rPr>
            </w:pPr>
            <w:r w:rsidRPr="00413424">
              <w:rPr>
                <w:rFonts w:eastAsia="Times New Roman"/>
                <w:szCs w:val="24"/>
                <w:lang w:eastAsia="ru-RU"/>
              </w:rPr>
              <w:t>Национальные и региональные стратегии (например, «Smart Specialisation», «Made in China 2025»), форсайт-сессии, цифровые дорожные карты, SWOT-анализ, KPI-матрицы</w:t>
            </w:r>
          </w:p>
        </w:tc>
      </w:tr>
      <w:tr w:rsidR="00413424" w:rsidRPr="00413424" w14:paraId="6ACCF5AC" w14:textId="77777777" w:rsidTr="00D06D1F">
        <w:tc>
          <w:tcPr>
            <w:tcW w:w="1914" w:type="dxa"/>
            <w:hideMark/>
          </w:tcPr>
          <w:p w14:paraId="6CE0ED7F" w14:textId="1A71F5D9" w:rsidR="00413424" w:rsidRPr="00413424" w:rsidRDefault="00413424" w:rsidP="002F33D0">
            <w:pPr>
              <w:ind w:firstLine="0"/>
              <w:rPr>
                <w:rFonts w:eastAsia="Times New Roman"/>
                <w:szCs w:val="24"/>
                <w:lang w:eastAsia="ru-RU"/>
              </w:rPr>
            </w:pPr>
            <w:r w:rsidRPr="00413424">
              <w:rPr>
                <w:rFonts w:eastAsia="Times New Roman"/>
                <w:bCs/>
                <w:szCs w:val="24"/>
                <w:lang w:eastAsia="ru-RU"/>
              </w:rPr>
              <w:t>3. Проектиро</w:t>
            </w:r>
            <w:r w:rsidR="00D06D1F">
              <w:rPr>
                <w:rFonts w:eastAsia="Times New Roman"/>
                <w:bCs/>
                <w:szCs w:val="24"/>
                <w:lang w:val="kk-KZ" w:eastAsia="ru-RU"/>
              </w:rPr>
              <w:t xml:space="preserve"> </w:t>
            </w:r>
            <w:r w:rsidRPr="00413424">
              <w:rPr>
                <w:rFonts w:eastAsia="Times New Roman"/>
                <w:bCs/>
                <w:szCs w:val="24"/>
                <w:lang w:eastAsia="ru-RU"/>
              </w:rPr>
              <w:t>вание механизмов развития</w:t>
            </w:r>
          </w:p>
        </w:tc>
        <w:tc>
          <w:tcPr>
            <w:tcW w:w="2901" w:type="dxa"/>
            <w:hideMark/>
          </w:tcPr>
          <w:p w14:paraId="0C0415F4" w14:textId="77777777" w:rsidR="00413424" w:rsidRPr="00413424" w:rsidRDefault="00413424" w:rsidP="002F33D0">
            <w:pPr>
              <w:ind w:firstLine="0"/>
              <w:rPr>
                <w:rFonts w:eastAsia="Times New Roman"/>
                <w:szCs w:val="24"/>
                <w:lang w:eastAsia="ru-RU"/>
              </w:rPr>
            </w:pPr>
            <w:r w:rsidRPr="00413424">
              <w:rPr>
                <w:rFonts w:eastAsia="Times New Roman"/>
                <w:szCs w:val="24"/>
                <w:lang w:eastAsia="ru-RU"/>
              </w:rPr>
              <w:t>Экономические министерства, технопарки, акселераторы, финансовые институты</w:t>
            </w:r>
          </w:p>
        </w:tc>
        <w:tc>
          <w:tcPr>
            <w:tcW w:w="4772" w:type="dxa"/>
            <w:hideMark/>
          </w:tcPr>
          <w:p w14:paraId="13CAEC03" w14:textId="77777777" w:rsidR="00413424" w:rsidRPr="00413424" w:rsidRDefault="00413424" w:rsidP="002F33D0">
            <w:pPr>
              <w:ind w:firstLine="0"/>
              <w:rPr>
                <w:rFonts w:eastAsia="Times New Roman"/>
                <w:szCs w:val="24"/>
                <w:lang w:eastAsia="ru-RU"/>
              </w:rPr>
            </w:pPr>
            <w:r w:rsidRPr="00413424">
              <w:rPr>
                <w:rFonts w:eastAsia="Times New Roman"/>
                <w:szCs w:val="24"/>
                <w:lang w:eastAsia="ru-RU"/>
              </w:rPr>
              <w:t>Инновационные гранты, государственно-частные фонды, программы поддержки МСП, цифровые платформы управления инновациями, платформы открытых инноваций</w:t>
            </w:r>
          </w:p>
        </w:tc>
      </w:tr>
      <w:tr w:rsidR="00413424" w:rsidRPr="00413424" w14:paraId="7BDE8F0F" w14:textId="77777777" w:rsidTr="00D06D1F">
        <w:tc>
          <w:tcPr>
            <w:tcW w:w="1914" w:type="dxa"/>
            <w:hideMark/>
          </w:tcPr>
          <w:p w14:paraId="53F9A55E" w14:textId="77777777" w:rsidR="00413424" w:rsidRPr="00413424" w:rsidRDefault="00413424" w:rsidP="002F33D0">
            <w:pPr>
              <w:ind w:firstLine="0"/>
              <w:rPr>
                <w:rFonts w:eastAsia="Times New Roman"/>
                <w:szCs w:val="24"/>
                <w:lang w:eastAsia="ru-RU"/>
              </w:rPr>
            </w:pPr>
            <w:r w:rsidRPr="00413424">
              <w:rPr>
                <w:rFonts w:eastAsia="Times New Roman"/>
                <w:bCs/>
                <w:szCs w:val="24"/>
                <w:lang w:eastAsia="ru-RU"/>
              </w:rPr>
              <w:t>4. Реализация и сопровождение инновационного развития</w:t>
            </w:r>
          </w:p>
        </w:tc>
        <w:tc>
          <w:tcPr>
            <w:tcW w:w="2901" w:type="dxa"/>
            <w:hideMark/>
          </w:tcPr>
          <w:p w14:paraId="2B49F7EB" w14:textId="77777777" w:rsidR="00413424" w:rsidRPr="00413424" w:rsidRDefault="00413424" w:rsidP="002F33D0">
            <w:pPr>
              <w:ind w:firstLine="0"/>
              <w:rPr>
                <w:rFonts w:eastAsia="Times New Roman"/>
                <w:szCs w:val="24"/>
                <w:lang w:eastAsia="ru-RU"/>
              </w:rPr>
            </w:pPr>
            <w:r w:rsidRPr="00413424">
              <w:rPr>
                <w:rFonts w:eastAsia="Times New Roman"/>
                <w:szCs w:val="24"/>
                <w:lang w:eastAsia="ru-RU"/>
              </w:rPr>
              <w:t>Отраслевые компании, кластеры, вузы, инкубаторы, бизнес-ангелы, международные партнёры</w:t>
            </w:r>
          </w:p>
        </w:tc>
        <w:tc>
          <w:tcPr>
            <w:tcW w:w="4772" w:type="dxa"/>
            <w:hideMark/>
          </w:tcPr>
          <w:p w14:paraId="4FB8B402" w14:textId="77777777" w:rsidR="00413424" w:rsidRPr="00413424" w:rsidRDefault="00413424" w:rsidP="002F33D0">
            <w:pPr>
              <w:ind w:firstLine="0"/>
              <w:rPr>
                <w:rFonts w:eastAsia="Times New Roman"/>
                <w:szCs w:val="24"/>
                <w:lang w:eastAsia="ru-RU"/>
              </w:rPr>
            </w:pPr>
            <w:r w:rsidRPr="00413424">
              <w:rPr>
                <w:rFonts w:eastAsia="Times New Roman"/>
                <w:szCs w:val="24"/>
                <w:lang w:eastAsia="ru-RU"/>
              </w:rPr>
              <w:t>Университетские хабы, центры трансфера технологий, акселерационные программы, внедрение моделей «трех спиралей», цифровые партнёрские сети, смарт-контракты</w:t>
            </w:r>
          </w:p>
        </w:tc>
      </w:tr>
      <w:tr w:rsidR="00413424" w:rsidRPr="00413424" w14:paraId="67A31425" w14:textId="77777777" w:rsidTr="00D06D1F">
        <w:tc>
          <w:tcPr>
            <w:tcW w:w="1914" w:type="dxa"/>
            <w:hideMark/>
          </w:tcPr>
          <w:p w14:paraId="24232697" w14:textId="77777777" w:rsidR="00413424" w:rsidRPr="00413424" w:rsidRDefault="00413424" w:rsidP="002F33D0">
            <w:pPr>
              <w:ind w:firstLine="0"/>
              <w:rPr>
                <w:rFonts w:eastAsia="Times New Roman"/>
                <w:szCs w:val="24"/>
                <w:lang w:eastAsia="ru-RU"/>
              </w:rPr>
            </w:pPr>
            <w:r w:rsidRPr="00413424">
              <w:rPr>
                <w:rFonts w:eastAsia="Times New Roman"/>
                <w:bCs/>
                <w:szCs w:val="24"/>
                <w:lang w:eastAsia="ru-RU"/>
              </w:rPr>
              <w:t>5. Мониторинг, обратная связь и корректировка</w:t>
            </w:r>
          </w:p>
        </w:tc>
        <w:tc>
          <w:tcPr>
            <w:tcW w:w="2901" w:type="dxa"/>
            <w:hideMark/>
          </w:tcPr>
          <w:p w14:paraId="738C374F" w14:textId="77777777" w:rsidR="00413424" w:rsidRPr="00413424" w:rsidRDefault="00413424" w:rsidP="002F33D0">
            <w:pPr>
              <w:ind w:firstLine="0"/>
              <w:rPr>
                <w:rFonts w:eastAsia="Times New Roman"/>
                <w:szCs w:val="24"/>
                <w:lang w:eastAsia="ru-RU"/>
              </w:rPr>
            </w:pPr>
            <w:r w:rsidRPr="00413424">
              <w:rPr>
                <w:rFonts w:eastAsia="Times New Roman"/>
                <w:szCs w:val="24"/>
                <w:lang w:eastAsia="ru-RU"/>
              </w:rPr>
              <w:t>Органы мониторинга, аналитические центры, предприятия</w:t>
            </w:r>
          </w:p>
        </w:tc>
        <w:tc>
          <w:tcPr>
            <w:tcW w:w="4772" w:type="dxa"/>
            <w:hideMark/>
          </w:tcPr>
          <w:p w14:paraId="6532C456" w14:textId="77777777" w:rsidR="00413424" w:rsidRPr="00413424" w:rsidRDefault="00413424" w:rsidP="002F33D0">
            <w:pPr>
              <w:ind w:firstLine="0"/>
              <w:rPr>
                <w:rFonts w:eastAsia="Times New Roman"/>
                <w:szCs w:val="24"/>
                <w:lang w:eastAsia="ru-RU"/>
              </w:rPr>
            </w:pPr>
            <w:r w:rsidRPr="00413424">
              <w:rPr>
                <w:rFonts w:eastAsia="Times New Roman"/>
                <w:szCs w:val="24"/>
                <w:lang w:eastAsia="ru-RU"/>
              </w:rPr>
              <w:t>Системы сбалансированных показателей, регулярная переоценка стратегий, бенчмаркинг, обратная связь от МСП и потребителей, инструменты оценки возврата на инновации (ROI)</w:t>
            </w:r>
          </w:p>
        </w:tc>
      </w:tr>
      <w:tr w:rsidR="00413424" w:rsidRPr="00413424" w14:paraId="041EBB38" w14:textId="77777777" w:rsidTr="00D06D1F">
        <w:tc>
          <w:tcPr>
            <w:tcW w:w="9587" w:type="dxa"/>
            <w:gridSpan w:val="3"/>
          </w:tcPr>
          <w:p w14:paraId="154E9E61" w14:textId="27C7EE6F" w:rsidR="00413424" w:rsidRPr="00EE311D" w:rsidRDefault="00413424" w:rsidP="000F3C80">
            <w:pPr>
              <w:ind w:firstLine="601"/>
              <w:rPr>
                <w:rFonts w:eastAsia="Times New Roman"/>
                <w:szCs w:val="24"/>
                <w:lang w:val="kk-KZ" w:eastAsia="ru-RU"/>
              </w:rPr>
            </w:pPr>
            <w:r w:rsidRPr="00EE311D">
              <w:rPr>
                <w:rFonts w:eastAsia="Times New Roman"/>
                <w:szCs w:val="24"/>
                <w:lang w:val="kk-KZ" w:eastAsia="ru-RU"/>
              </w:rPr>
              <w:t>Приме</w:t>
            </w:r>
            <w:r w:rsidR="00A12459" w:rsidRPr="00EE311D">
              <w:rPr>
                <w:rFonts w:eastAsia="Times New Roman"/>
                <w:szCs w:val="24"/>
                <w:lang w:val="kk-KZ" w:eastAsia="ru-RU"/>
              </w:rPr>
              <w:t>чание</w:t>
            </w:r>
            <w:r w:rsidR="00A12459" w:rsidRPr="00EE311D">
              <w:rPr>
                <w:rFonts w:eastAsia="Times New Roman"/>
                <w:szCs w:val="24"/>
                <w:lang w:val="en-US" w:eastAsia="ru-RU"/>
              </w:rPr>
              <w:t xml:space="preserve"> –</w:t>
            </w:r>
            <w:r w:rsidRPr="00EE311D">
              <w:rPr>
                <w:rFonts w:eastAsia="Times New Roman"/>
                <w:szCs w:val="24"/>
                <w:lang w:val="kk-KZ" w:eastAsia="ru-RU"/>
              </w:rPr>
              <w:t xml:space="preserve"> </w:t>
            </w:r>
            <w:r w:rsidR="000F3C80" w:rsidRPr="00EE311D">
              <w:rPr>
                <w:rFonts w:eastAsia="Times New Roman"/>
                <w:szCs w:val="24"/>
                <w:lang w:val="kk-KZ" w:eastAsia="ru-RU"/>
              </w:rPr>
              <w:t>С</w:t>
            </w:r>
            <w:r w:rsidRPr="00EE311D">
              <w:rPr>
                <w:rFonts w:eastAsia="Times New Roman"/>
                <w:szCs w:val="24"/>
                <w:lang w:val="kk-KZ" w:eastAsia="ru-RU"/>
              </w:rPr>
              <w:t>оставлено автором</w:t>
            </w:r>
          </w:p>
        </w:tc>
      </w:tr>
    </w:tbl>
    <w:p w14:paraId="76705225" w14:textId="77777777" w:rsidR="00BC76B6" w:rsidRDefault="00BC76B6" w:rsidP="002F33D0">
      <w:pPr>
        <w:spacing w:after="0" w:line="240" w:lineRule="auto"/>
        <w:ind w:firstLine="567"/>
        <w:jc w:val="both"/>
        <w:rPr>
          <w:rFonts w:ascii="Times New Roman" w:hAnsi="Times New Roman" w:cs="Times New Roman"/>
          <w:sz w:val="28"/>
          <w:szCs w:val="28"/>
        </w:rPr>
      </w:pPr>
    </w:p>
    <w:p w14:paraId="6D62C440" w14:textId="78E34DE2" w:rsidR="00413424" w:rsidRPr="00413424" w:rsidRDefault="004D1E51" w:rsidP="002F33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413424" w:rsidRPr="00413424">
        <w:rPr>
          <w:rFonts w:ascii="Times New Roman" w:hAnsi="Times New Roman" w:cs="Times New Roman"/>
          <w:sz w:val="28"/>
          <w:szCs w:val="28"/>
        </w:rPr>
        <w:t>Для Казахстана, находящегося на этапе активного институционального и цифрового становления, целесообразно адаптировать наиболее результативные зарубежные практики. Это особенно актуально в контексте ресурсно-процессного подхода, который требует не только учета имеющихся ресурсов, но и выстраивания эффективных процессов взаимодействия между всеми участниками инновационной системы.</w:t>
      </w:r>
    </w:p>
    <w:p w14:paraId="08D24656" w14:textId="77777777" w:rsidR="009039F5" w:rsidRPr="009039F5" w:rsidRDefault="009039F5" w:rsidP="002F33D0">
      <w:pPr>
        <w:tabs>
          <w:tab w:val="left" w:pos="851"/>
        </w:tabs>
        <w:spacing w:after="0" w:line="240" w:lineRule="auto"/>
        <w:ind w:firstLine="567"/>
        <w:jc w:val="both"/>
        <w:rPr>
          <w:rFonts w:ascii="Times New Roman" w:hAnsi="Times New Roman" w:cs="Times New Roman"/>
          <w:sz w:val="28"/>
          <w:szCs w:val="28"/>
          <w:lang w:val="kk-KZ"/>
        </w:rPr>
      </w:pPr>
      <w:r w:rsidRPr="009039F5">
        <w:rPr>
          <w:rFonts w:ascii="Times New Roman" w:hAnsi="Times New Roman" w:cs="Times New Roman"/>
          <w:sz w:val="28"/>
          <w:szCs w:val="28"/>
          <w:lang w:val="kk-KZ"/>
        </w:rPr>
        <w:t>Анализ зарубежного опыта показывает, что успешное проектирование инновационного потенциала требует не только стратегических ориентиров, но и гибких, адаптивных механизмов, способных учитывать особенности конкретной страны, уровня развития её предпринимательского сектора и зрелости цифровой инфраструктуры. Применительно к Казахстану, целесообразно выделить несколько направлений, в которых возможно внедрение наиболее эффективных элементов международных моделей:</w:t>
      </w:r>
    </w:p>
    <w:p w14:paraId="23F4DEBA" w14:textId="5BEF94EA" w:rsidR="009039F5" w:rsidRPr="009039F5" w:rsidRDefault="009039F5" w:rsidP="007F5E68">
      <w:pPr>
        <w:pStyle w:val="a3"/>
        <w:numPr>
          <w:ilvl w:val="0"/>
          <w:numId w:val="6"/>
        </w:numPr>
        <w:tabs>
          <w:tab w:val="left" w:pos="851"/>
        </w:tabs>
        <w:spacing w:after="0" w:line="240" w:lineRule="auto"/>
        <w:ind w:left="0" w:firstLine="567"/>
        <w:jc w:val="both"/>
        <w:rPr>
          <w:rFonts w:ascii="Times New Roman" w:hAnsi="Times New Roman" w:cs="Times New Roman"/>
          <w:sz w:val="28"/>
          <w:szCs w:val="28"/>
          <w:lang w:val="kk-KZ"/>
        </w:rPr>
      </w:pPr>
      <w:r w:rsidRPr="009039F5">
        <w:rPr>
          <w:rFonts w:ascii="Times New Roman" w:hAnsi="Times New Roman" w:cs="Times New Roman"/>
          <w:sz w:val="28"/>
          <w:szCs w:val="28"/>
          <w:lang w:val="kk-KZ"/>
        </w:rPr>
        <w:lastRenderedPageBreak/>
        <w:t xml:space="preserve">Институциональная координация: создание или укрепление платформ межведомственного взаимодействия на уровне государства, науки и бизнеса, по аналогии с моделью </w:t>
      </w:r>
      <w:r w:rsidR="00D06D1F">
        <w:rPr>
          <w:rFonts w:ascii="Times New Roman" w:hAnsi="Times New Roman" w:cs="Times New Roman"/>
          <w:sz w:val="28"/>
          <w:szCs w:val="28"/>
          <w:lang w:val="kk-KZ"/>
        </w:rPr>
        <w:t>«</w:t>
      </w:r>
      <w:r w:rsidRPr="009039F5">
        <w:rPr>
          <w:rFonts w:ascii="Times New Roman" w:hAnsi="Times New Roman" w:cs="Times New Roman"/>
          <w:sz w:val="28"/>
          <w:szCs w:val="28"/>
          <w:lang w:val="kk-KZ"/>
        </w:rPr>
        <w:t>тройной спирали</w:t>
      </w:r>
      <w:r w:rsidR="00D06D1F">
        <w:rPr>
          <w:rFonts w:ascii="Times New Roman" w:hAnsi="Times New Roman" w:cs="Times New Roman"/>
          <w:sz w:val="28"/>
          <w:szCs w:val="28"/>
          <w:lang w:val="kk-KZ"/>
        </w:rPr>
        <w:t>»</w:t>
      </w:r>
      <w:r w:rsidRPr="009039F5">
        <w:rPr>
          <w:rFonts w:ascii="Times New Roman" w:hAnsi="Times New Roman" w:cs="Times New Roman"/>
          <w:sz w:val="28"/>
          <w:szCs w:val="28"/>
          <w:lang w:val="kk-KZ"/>
        </w:rPr>
        <w:t>, эффективно применяемой в странах ЕС, Сингапуре и Южной Корее.</w:t>
      </w:r>
    </w:p>
    <w:p w14:paraId="249B0977" w14:textId="77777777" w:rsidR="009039F5" w:rsidRPr="009039F5" w:rsidRDefault="009039F5" w:rsidP="007F5E68">
      <w:pPr>
        <w:pStyle w:val="a3"/>
        <w:numPr>
          <w:ilvl w:val="0"/>
          <w:numId w:val="6"/>
        </w:numPr>
        <w:tabs>
          <w:tab w:val="left" w:pos="851"/>
        </w:tabs>
        <w:spacing w:after="0" w:line="240" w:lineRule="auto"/>
        <w:ind w:left="0" w:firstLine="567"/>
        <w:jc w:val="both"/>
        <w:rPr>
          <w:rFonts w:ascii="Times New Roman" w:hAnsi="Times New Roman" w:cs="Times New Roman"/>
          <w:sz w:val="28"/>
          <w:szCs w:val="28"/>
          <w:lang w:val="kk-KZ"/>
        </w:rPr>
      </w:pPr>
      <w:r w:rsidRPr="009039F5">
        <w:rPr>
          <w:rFonts w:ascii="Times New Roman" w:hAnsi="Times New Roman" w:cs="Times New Roman"/>
          <w:sz w:val="28"/>
          <w:szCs w:val="28"/>
          <w:lang w:val="kk-KZ"/>
        </w:rPr>
        <w:t>Цифровое управление инновациями: внедрение цифровых панелей мониторинга, карт инновационного развития, а также индексов цифровой зрелости для различных типов предприятий.</w:t>
      </w:r>
    </w:p>
    <w:p w14:paraId="6807E7D6" w14:textId="691FD9A6" w:rsidR="009039F5" w:rsidRPr="009039F5" w:rsidRDefault="009039F5" w:rsidP="007F5E68">
      <w:pPr>
        <w:pStyle w:val="a3"/>
        <w:numPr>
          <w:ilvl w:val="0"/>
          <w:numId w:val="6"/>
        </w:numPr>
        <w:tabs>
          <w:tab w:val="left" w:pos="851"/>
        </w:tabs>
        <w:spacing w:after="0" w:line="240" w:lineRule="auto"/>
        <w:ind w:left="0" w:firstLine="567"/>
        <w:jc w:val="both"/>
        <w:rPr>
          <w:rFonts w:ascii="Times New Roman" w:hAnsi="Times New Roman" w:cs="Times New Roman"/>
          <w:sz w:val="28"/>
          <w:szCs w:val="28"/>
          <w:lang w:val="kk-KZ"/>
        </w:rPr>
      </w:pPr>
      <w:r w:rsidRPr="009039F5">
        <w:rPr>
          <w:rFonts w:ascii="Times New Roman" w:hAnsi="Times New Roman" w:cs="Times New Roman"/>
          <w:sz w:val="28"/>
          <w:szCs w:val="28"/>
          <w:lang w:val="kk-KZ"/>
        </w:rPr>
        <w:t xml:space="preserve">Гибкие меры поддержки МСП: разработка программ </w:t>
      </w:r>
      <w:r w:rsidR="00D06D1F">
        <w:rPr>
          <w:rFonts w:ascii="Times New Roman" w:hAnsi="Times New Roman" w:cs="Times New Roman"/>
          <w:sz w:val="28"/>
          <w:szCs w:val="28"/>
          <w:lang w:val="kk-KZ"/>
        </w:rPr>
        <w:t>«</w:t>
      </w:r>
      <w:r w:rsidRPr="009039F5">
        <w:rPr>
          <w:rFonts w:ascii="Times New Roman" w:hAnsi="Times New Roman" w:cs="Times New Roman"/>
          <w:sz w:val="28"/>
          <w:szCs w:val="28"/>
          <w:lang w:val="kk-KZ"/>
        </w:rPr>
        <w:t>мягкого сопровождения</w:t>
      </w:r>
      <w:r w:rsidR="00D06D1F">
        <w:rPr>
          <w:rFonts w:ascii="Times New Roman" w:hAnsi="Times New Roman" w:cs="Times New Roman"/>
          <w:sz w:val="28"/>
          <w:szCs w:val="28"/>
          <w:lang w:val="kk-KZ"/>
        </w:rPr>
        <w:t>»</w:t>
      </w:r>
      <w:r w:rsidRPr="009039F5">
        <w:rPr>
          <w:rFonts w:ascii="Times New Roman" w:hAnsi="Times New Roman" w:cs="Times New Roman"/>
          <w:sz w:val="28"/>
          <w:szCs w:val="28"/>
          <w:lang w:val="kk-KZ"/>
        </w:rPr>
        <w:t xml:space="preserve"> (менторство, акселерация, пилотные зоны), ориентированных на быстрое вовлечение МСП в инновационную и цифровую повестку.</w:t>
      </w:r>
    </w:p>
    <w:p w14:paraId="06EFABF0" w14:textId="77777777" w:rsidR="009039F5" w:rsidRPr="009039F5" w:rsidRDefault="009039F5" w:rsidP="007F5E68">
      <w:pPr>
        <w:pStyle w:val="a3"/>
        <w:numPr>
          <w:ilvl w:val="0"/>
          <w:numId w:val="6"/>
        </w:numPr>
        <w:tabs>
          <w:tab w:val="left" w:pos="851"/>
        </w:tabs>
        <w:spacing w:after="0" w:line="240" w:lineRule="auto"/>
        <w:ind w:left="0" w:firstLine="567"/>
        <w:jc w:val="both"/>
        <w:rPr>
          <w:rFonts w:ascii="Times New Roman" w:hAnsi="Times New Roman" w:cs="Times New Roman"/>
          <w:sz w:val="28"/>
          <w:szCs w:val="28"/>
          <w:lang w:val="kk-KZ"/>
        </w:rPr>
      </w:pPr>
      <w:r w:rsidRPr="009039F5">
        <w:rPr>
          <w:rFonts w:ascii="Times New Roman" w:hAnsi="Times New Roman" w:cs="Times New Roman"/>
          <w:sz w:val="28"/>
          <w:szCs w:val="28"/>
          <w:lang w:val="kk-KZ"/>
        </w:rPr>
        <w:t>Региональная специализация и кластеризация: реализация подходов пространственного проектирования, где регионы развивают уникальные инновационные специализации на основе потенциала человеческого капитала, ресурсов и научной инфраструктуры, как это реализовано в Польше и Финляндии.</w:t>
      </w:r>
    </w:p>
    <w:p w14:paraId="2B152C1B" w14:textId="77777777" w:rsidR="009039F5" w:rsidRPr="009039F5" w:rsidRDefault="009039F5" w:rsidP="007F5E68">
      <w:pPr>
        <w:pStyle w:val="a3"/>
        <w:numPr>
          <w:ilvl w:val="0"/>
          <w:numId w:val="6"/>
        </w:numPr>
        <w:tabs>
          <w:tab w:val="left" w:pos="851"/>
        </w:tabs>
        <w:spacing w:after="0" w:line="240" w:lineRule="auto"/>
        <w:ind w:left="0" w:firstLine="567"/>
        <w:jc w:val="both"/>
        <w:rPr>
          <w:rFonts w:ascii="Times New Roman" w:hAnsi="Times New Roman" w:cs="Times New Roman"/>
          <w:sz w:val="28"/>
          <w:szCs w:val="28"/>
          <w:lang w:val="kk-KZ"/>
        </w:rPr>
      </w:pPr>
      <w:r w:rsidRPr="009039F5">
        <w:rPr>
          <w:rFonts w:ascii="Times New Roman" w:hAnsi="Times New Roman" w:cs="Times New Roman"/>
          <w:sz w:val="28"/>
          <w:szCs w:val="28"/>
          <w:lang w:val="kk-KZ"/>
        </w:rPr>
        <w:t>Финансово-инвестиционные инструменты: активизация механизмов венчурного финансирования, государственных грантов и фондов, а также государственно-частных платформ для привлечения инвестиций в инновационные проекты, особенно в высокорисковых секторах.</w:t>
      </w:r>
    </w:p>
    <w:p w14:paraId="3B3FF087" w14:textId="77777777" w:rsidR="009039F5" w:rsidRPr="009039F5" w:rsidRDefault="009039F5" w:rsidP="002F33D0">
      <w:pPr>
        <w:tabs>
          <w:tab w:val="left" w:pos="851"/>
        </w:tabs>
        <w:spacing w:after="0" w:line="240" w:lineRule="auto"/>
        <w:ind w:firstLine="567"/>
        <w:jc w:val="both"/>
        <w:rPr>
          <w:rFonts w:ascii="Times New Roman" w:hAnsi="Times New Roman" w:cs="Times New Roman"/>
          <w:sz w:val="28"/>
          <w:szCs w:val="28"/>
          <w:lang w:val="kk-KZ"/>
        </w:rPr>
      </w:pPr>
      <w:r w:rsidRPr="009039F5">
        <w:rPr>
          <w:rFonts w:ascii="Times New Roman" w:hAnsi="Times New Roman" w:cs="Times New Roman"/>
          <w:sz w:val="28"/>
          <w:szCs w:val="28"/>
          <w:lang w:val="kk-KZ"/>
        </w:rPr>
        <w:t>Реализация указанных направлений в Казахстане должна основываться на согласовании с принципами ресурсно-процессного подхода, который фокусируется не только на наличии ресурсов, но и на эффективности их трансформации в инновационные продукты через организационно-управленческие и цифровые процессы. При этом особую роль играют инструменты цифровой оценки и планирования, направленные на выявление узких мест, формирование устойчивых стратегий и мониторинг прогресса.</w:t>
      </w:r>
    </w:p>
    <w:p w14:paraId="3AA7058D" w14:textId="00AD4A41" w:rsidR="009039F5" w:rsidRPr="00937878" w:rsidRDefault="009039F5" w:rsidP="002F33D0">
      <w:pPr>
        <w:spacing w:after="0" w:line="240" w:lineRule="auto"/>
        <w:ind w:firstLine="567"/>
        <w:jc w:val="both"/>
        <w:rPr>
          <w:rFonts w:ascii="Times New Roman" w:hAnsi="Times New Roman" w:cs="Times New Roman"/>
          <w:b/>
          <w:sz w:val="28"/>
          <w:szCs w:val="28"/>
          <w:lang w:val="kk-KZ"/>
        </w:rPr>
      </w:pPr>
      <w:r w:rsidRPr="009039F5">
        <w:rPr>
          <w:rFonts w:ascii="Times New Roman" w:hAnsi="Times New Roman" w:cs="Times New Roman"/>
          <w:b/>
          <w:sz w:val="28"/>
          <w:szCs w:val="28"/>
          <w:lang w:val="kk-KZ"/>
        </w:rPr>
        <w:t>Выводы по разделу 1.4</w:t>
      </w:r>
    </w:p>
    <w:p w14:paraId="04C85773" w14:textId="77777777" w:rsidR="001932FF" w:rsidRPr="001932FF" w:rsidRDefault="001932FF" w:rsidP="002F33D0">
      <w:pPr>
        <w:spacing w:after="0" w:line="240" w:lineRule="auto"/>
        <w:ind w:firstLine="567"/>
        <w:jc w:val="both"/>
        <w:rPr>
          <w:rFonts w:ascii="Times New Roman" w:hAnsi="Times New Roman" w:cs="Times New Roman"/>
          <w:sz w:val="28"/>
          <w:szCs w:val="28"/>
          <w:lang w:val="kk-KZ"/>
        </w:rPr>
      </w:pPr>
      <w:r w:rsidRPr="001932FF">
        <w:rPr>
          <w:rFonts w:ascii="Times New Roman" w:hAnsi="Times New Roman" w:cs="Times New Roman"/>
          <w:sz w:val="28"/>
          <w:szCs w:val="28"/>
          <w:lang w:val="kk-KZ"/>
        </w:rPr>
        <w:t>Таким образом, зарубежный опыт развития и проектирования инновационного потенциала подтверждает, что успешные практики базируются на системном подходе, охватывающем ресурсы, процессы и результаты инновационной деятельности. При этом проектирование трактуется не как разовая оценка, а как непрерывный процесс стратегического формирования и укрепления потенциала, включающего цифровую трансформацию, межсекторное взаимодействие и институциональную поддержку.</w:t>
      </w:r>
    </w:p>
    <w:p w14:paraId="7714C702" w14:textId="77777777" w:rsidR="001932FF" w:rsidRPr="001932FF" w:rsidRDefault="001932FF" w:rsidP="002F33D0">
      <w:pPr>
        <w:spacing w:after="0" w:line="240" w:lineRule="auto"/>
        <w:ind w:firstLine="567"/>
        <w:jc w:val="both"/>
        <w:rPr>
          <w:rFonts w:ascii="Times New Roman" w:hAnsi="Times New Roman" w:cs="Times New Roman"/>
          <w:sz w:val="28"/>
          <w:szCs w:val="28"/>
          <w:lang w:val="kk-KZ"/>
        </w:rPr>
      </w:pPr>
      <w:r w:rsidRPr="001932FF">
        <w:rPr>
          <w:rFonts w:ascii="Times New Roman" w:hAnsi="Times New Roman" w:cs="Times New Roman"/>
          <w:sz w:val="28"/>
          <w:szCs w:val="28"/>
          <w:lang w:val="kk-KZ"/>
        </w:rPr>
        <w:t>В странах с развитой инновационной системой акцент делается на экосистемное управление, цифровые платформы и долгосрочные стратегии, поддерживаемые через национальные программы и межотраслевые партнёрства. Развивающиеся экономики стремятся к восполнению институциональных и инфраструктурных дефицитов, заимствуя успешные инструменты, включая кластерные модели, дорожные карты и программы по развитию МСП.</w:t>
      </w:r>
    </w:p>
    <w:p w14:paraId="37BC14E1" w14:textId="77777777" w:rsidR="001932FF" w:rsidRPr="001932FF" w:rsidRDefault="001932FF" w:rsidP="002F33D0">
      <w:pPr>
        <w:spacing w:after="0" w:line="240" w:lineRule="auto"/>
        <w:ind w:firstLine="567"/>
        <w:jc w:val="both"/>
        <w:rPr>
          <w:rFonts w:ascii="Times New Roman" w:hAnsi="Times New Roman" w:cs="Times New Roman"/>
          <w:sz w:val="28"/>
          <w:szCs w:val="28"/>
          <w:lang w:val="kk-KZ"/>
        </w:rPr>
      </w:pPr>
      <w:r w:rsidRPr="001932FF">
        <w:rPr>
          <w:rFonts w:ascii="Times New Roman" w:hAnsi="Times New Roman" w:cs="Times New Roman"/>
          <w:sz w:val="28"/>
          <w:szCs w:val="28"/>
          <w:lang w:val="kk-KZ"/>
        </w:rPr>
        <w:lastRenderedPageBreak/>
        <w:t>Авторская интерпретация проектирования инновационного потенциала предполагает его понимание как целенаправленного процесса трансформации доступных ресурсов в устойчивую инновационную активность на основе процессного управления, цифровых решений и гибких механизмов взаимодействия участников.</w:t>
      </w:r>
    </w:p>
    <w:p w14:paraId="393D1DBB" w14:textId="77777777" w:rsidR="00684F36" w:rsidRDefault="001932FF" w:rsidP="002F33D0">
      <w:pPr>
        <w:spacing w:after="0" w:line="240" w:lineRule="auto"/>
        <w:ind w:firstLine="567"/>
        <w:jc w:val="both"/>
        <w:rPr>
          <w:rFonts w:ascii="Times New Roman" w:hAnsi="Times New Roman" w:cs="Times New Roman"/>
          <w:sz w:val="28"/>
          <w:szCs w:val="28"/>
          <w:lang w:val="kk-KZ"/>
        </w:rPr>
      </w:pPr>
      <w:r w:rsidRPr="001932FF">
        <w:rPr>
          <w:rFonts w:ascii="Times New Roman" w:hAnsi="Times New Roman" w:cs="Times New Roman"/>
          <w:sz w:val="28"/>
          <w:szCs w:val="28"/>
          <w:lang w:val="kk-KZ"/>
        </w:rPr>
        <w:t>Сформулированные в данном разделе подходы, инструменты и принципы проектирования создают основу для адаптации международного опыта к условиям Казахстана с учётом специфики ресурсно-процессного подхода</w:t>
      </w:r>
      <w:r w:rsidR="00684F36">
        <w:rPr>
          <w:rFonts w:ascii="Times New Roman" w:hAnsi="Times New Roman" w:cs="Times New Roman"/>
          <w:sz w:val="28"/>
          <w:szCs w:val="28"/>
          <w:lang w:val="kk-KZ"/>
        </w:rPr>
        <w:t>.</w:t>
      </w:r>
    </w:p>
    <w:p w14:paraId="74E202C0" w14:textId="5DA2F37C" w:rsidR="00684F36" w:rsidRDefault="00684F36" w:rsidP="002F33D0">
      <w:pPr>
        <w:spacing w:after="0" w:line="240" w:lineRule="auto"/>
        <w:ind w:firstLine="567"/>
        <w:jc w:val="both"/>
        <w:rPr>
          <w:rFonts w:ascii="Times New Roman" w:hAnsi="Times New Roman" w:cs="Times New Roman"/>
          <w:b/>
          <w:sz w:val="28"/>
          <w:szCs w:val="28"/>
          <w:lang w:val="kk-KZ"/>
        </w:rPr>
      </w:pPr>
      <w:r w:rsidRPr="00684F36">
        <w:rPr>
          <w:rFonts w:ascii="Times New Roman" w:hAnsi="Times New Roman" w:cs="Times New Roman"/>
          <w:b/>
          <w:sz w:val="28"/>
          <w:szCs w:val="28"/>
          <w:lang w:val="kk-KZ"/>
        </w:rPr>
        <w:t>Вывод по первой главе</w:t>
      </w:r>
    </w:p>
    <w:p w14:paraId="51B9F978" w14:textId="5F0A2A02" w:rsidR="00505AB7" w:rsidRDefault="00505AB7" w:rsidP="002F33D0">
      <w:pPr>
        <w:spacing w:after="0" w:line="240" w:lineRule="auto"/>
        <w:ind w:firstLine="567"/>
        <w:jc w:val="both"/>
        <w:rPr>
          <w:rFonts w:ascii="Times New Roman" w:hAnsi="Times New Roman" w:cs="Times New Roman"/>
          <w:sz w:val="28"/>
          <w:szCs w:val="28"/>
          <w:lang w:val="kk-KZ"/>
        </w:rPr>
      </w:pPr>
      <w:r w:rsidRPr="00505AB7">
        <w:rPr>
          <w:rFonts w:ascii="Times New Roman" w:hAnsi="Times New Roman" w:cs="Times New Roman"/>
          <w:sz w:val="28"/>
          <w:szCs w:val="28"/>
          <w:lang w:val="kk-KZ"/>
        </w:rPr>
        <w:t>Проведённый теоретико-методологический анализ позволил сформировать концептуальные основы проектирования инновационного потенциала предпринимательских структур в условиях цифровой трансформации и определить методологическую рамку для дальнейшего исследования</w:t>
      </w:r>
      <w:r>
        <w:rPr>
          <w:rFonts w:ascii="Times New Roman" w:hAnsi="Times New Roman" w:cs="Times New Roman"/>
          <w:sz w:val="28"/>
          <w:szCs w:val="28"/>
          <w:lang w:val="kk-KZ"/>
        </w:rPr>
        <w:t>.</w:t>
      </w:r>
    </w:p>
    <w:p w14:paraId="23FA850A" w14:textId="146E99B8" w:rsidR="00505AB7" w:rsidRDefault="00821180" w:rsidP="002F33D0">
      <w:pPr>
        <w:spacing w:after="0" w:line="240" w:lineRule="auto"/>
        <w:ind w:firstLine="567"/>
        <w:jc w:val="both"/>
        <w:rPr>
          <w:rFonts w:ascii="Times New Roman" w:hAnsi="Times New Roman" w:cs="Times New Roman"/>
          <w:sz w:val="28"/>
          <w:szCs w:val="28"/>
          <w:lang w:val="kk-KZ"/>
        </w:rPr>
      </w:pPr>
      <w:r w:rsidRPr="00821180">
        <w:rPr>
          <w:rFonts w:ascii="Times New Roman" w:hAnsi="Times New Roman" w:cs="Times New Roman"/>
          <w:sz w:val="28"/>
          <w:szCs w:val="28"/>
          <w:lang w:val="kk-KZ"/>
        </w:rPr>
        <w:t>Во-первых, на основе анализа эволюции предпринимательства (от исторического до цифрового инновационного этапа) было уточнено понятие предпринимательских структур как самостоятельно функционирующих экономических единиц, ориентированных на стратегическую адаптацию, инновационное обновление и обладающих институциональной легитимностью. В контексте исследования было подтверждено принципиальное различие между инновационным потенциалом (совокупностью ресурсов, возможностей и условий) и инновационной активностью (динамическим проявлением потенциала в виде конкретных действий и внедрений)</w:t>
      </w:r>
      <w:r>
        <w:rPr>
          <w:rFonts w:ascii="Times New Roman" w:hAnsi="Times New Roman" w:cs="Times New Roman"/>
          <w:sz w:val="28"/>
          <w:szCs w:val="28"/>
          <w:lang w:val="kk-KZ"/>
        </w:rPr>
        <w:t xml:space="preserve">. </w:t>
      </w:r>
    </w:p>
    <w:p w14:paraId="720BE49C" w14:textId="15833345" w:rsidR="00821180" w:rsidRDefault="00821180" w:rsidP="002F33D0">
      <w:pPr>
        <w:spacing w:after="0" w:line="240" w:lineRule="auto"/>
        <w:ind w:firstLine="567"/>
        <w:jc w:val="both"/>
        <w:rPr>
          <w:rFonts w:ascii="Times New Roman" w:hAnsi="Times New Roman" w:cs="Times New Roman"/>
          <w:sz w:val="28"/>
          <w:szCs w:val="28"/>
          <w:lang w:val="kk-KZ"/>
        </w:rPr>
      </w:pPr>
      <w:r w:rsidRPr="00821180">
        <w:rPr>
          <w:rFonts w:ascii="Times New Roman" w:hAnsi="Times New Roman" w:cs="Times New Roman"/>
          <w:sz w:val="28"/>
          <w:szCs w:val="28"/>
          <w:lang w:val="kk-KZ"/>
        </w:rPr>
        <w:t>Во-вторых, разработана и обоснована авторская структурно-компонентная модель инновационного потенциала, которая объединяет внутренние ресурсы и внешние условия. Выделены шесть согласованных составляющих: управленческо-инновационные ресурсы, технологические и финансовые ресурсы, человеческий капитал и компетенции, инновационная культура, а также институциональная среда и цифровая адаптация. Такая систематизация обеспечивает системное представление о потенциале, разделяя внутренние элементы (ресурсы, компетенции, культура) и внешние условия (институты и цифровая среда), что создает основу для его операционализации в эмпирическом анализе</w:t>
      </w:r>
      <w:r>
        <w:rPr>
          <w:rFonts w:ascii="Times New Roman" w:hAnsi="Times New Roman" w:cs="Times New Roman"/>
          <w:sz w:val="28"/>
          <w:szCs w:val="28"/>
          <w:lang w:val="kk-KZ"/>
        </w:rPr>
        <w:t>.</w:t>
      </w:r>
    </w:p>
    <w:p w14:paraId="65528B52" w14:textId="56779D45" w:rsidR="00821180" w:rsidRDefault="00821180" w:rsidP="002F33D0">
      <w:pPr>
        <w:spacing w:after="0" w:line="240" w:lineRule="auto"/>
        <w:ind w:firstLine="567"/>
        <w:jc w:val="both"/>
        <w:rPr>
          <w:rFonts w:ascii="Times New Roman" w:hAnsi="Times New Roman" w:cs="Times New Roman"/>
          <w:sz w:val="28"/>
          <w:szCs w:val="28"/>
          <w:lang w:val="kk-KZ"/>
        </w:rPr>
      </w:pPr>
      <w:r w:rsidRPr="00821180">
        <w:rPr>
          <w:rFonts w:ascii="Times New Roman" w:hAnsi="Times New Roman" w:cs="Times New Roman"/>
          <w:sz w:val="28"/>
          <w:szCs w:val="28"/>
          <w:lang w:val="kk-KZ"/>
        </w:rPr>
        <w:t>В-третьих, обоснована ключевая роль цифровой адаптации как сквозного фактора и медиатора инновационного развития. Цифровая адаптация, в отличие от радикальной трансформации, трактуется как поэтапный, эволюционный процесс освоения цифровых технологий, который связывает внутренние компоненты потенциала с внешней институционально-цифровой средой. Для малых и средних предприятий она выступает реалистичным механизмом трансформации ресурсной базы в инновационные результаты в условиях ограниченности ресурсов</w:t>
      </w:r>
      <w:r>
        <w:rPr>
          <w:rFonts w:ascii="Times New Roman" w:hAnsi="Times New Roman" w:cs="Times New Roman"/>
          <w:sz w:val="28"/>
          <w:szCs w:val="28"/>
          <w:lang w:val="kk-KZ"/>
        </w:rPr>
        <w:t>.</w:t>
      </w:r>
    </w:p>
    <w:p w14:paraId="45D93DE0" w14:textId="1EE83A91" w:rsidR="00821180" w:rsidRDefault="00821180" w:rsidP="002F33D0">
      <w:pPr>
        <w:spacing w:after="0" w:line="240" w:lineRule="auto"/>
        <w:ind w:firstLine="567"/>
        <w:jc w:val="both"/>
        <w:rPr>
          <w:rFonts w:ascii="Times New Roman" w:hAnsi="Times New Roman" w:cs="Times New Roman"/>
          <w:sz w:val="28"/>
          <w:szCs w:val="28"/>
          <w:lang w:val="kk-KZ"/>
        </w:rPr>
      </w:pPr>
      <w:r w:rsidRPr="00821180">
        <w:rPr>
          <w:rFonts w:ascii="Times New Roman" w:hAnsi="Times New Roman" w:cs="Times New Roman"/>
          <w:sz w:val="28"/>
          <w:szCs w:val="28"/>
          <w:lang w:val="kk-KZ"/>
        </w:rPr>
        <w:t xml:space="preserve">В-четвертых, систематизированы факторы, определяющие реализацию потенциала, с их разделением на драйверы (стимулы) и барьеры </w:t>
      </w:r>
      <w:r w:rsidRPr="00821180">
        <w:rPr>
          <w:rFonts w:ascii="Times New Roman" w:hAnsi="Times New Roman" w:cs="Times New Roman"/>
          <w:sz w:val="28"/>
          <w:szCs w:val="28"/>
          <w:lang w:val="kk-KZ"/>
        </w:rPr>
        <w:lastRenderedPageBreak/>
        <w:t>(ограничители). Установлена двойственная природа государственной поддержки как ключевого институционального фактора, способного выступать как стимулом (при адресной и эффективной реализации), так и источником барьеров (при бюрократизации и институциональном неравенстве). Показана роль цифровизации как метафактора-мультипликатора, усиливающего действие драйверов и смягчающего барьеры, но также обостряющего различия между предприятиями с разным уровнем цифровой зрелости</w:t>
      </w:r>
      <w:r>
        <w:rPr>
          <w:rFonts w:ascii="Times New Roman" w:hAnsi="Times New Roman" w:cs="Times New Roman"/>
          <w:sz w:val="28"/>
          <w:szCs w:val="28"/>
          <w:lang w:val="kk-KZ"/>
        </w:rPr>
        <w:t xml:space="preserve">. </w:t>
      </w:r>
    </w:p>
    <w:p w14:paraId="4E1B816D" w14:textId="006F78C1" w:rsidR="00821180" w:rsidRDefault="00821180" w:rsidP="002F33D0">
      <w:pPr>
        <w:spacing w:after="0" w:line="240" w:lineRule="auto"/>
        <w:ind w:firstLine="567"/>
        <w:jc w:val="both"/>
        <w:rPr>
          <w:rFonts w:ascii="Times New Roman" w:hAnsi="Times New Roman" w:cs="Times New Roman"/>
          <w:sz w:val="28"/>
          <w:szCs w:val="28"/>
          <w:lang w:val="kk-KZ"/>
        </w:rPr>
      </w:pPr>
      <w:r w:rsidRPr="00821180">
        <w:rPr>
          <w:rFonts w:ascii="Times New Roman" w:hAnsi="Times New Roman" w:cs="Times New Roman"/>
          <w:sz w:val="28"/>
          <w:szCs w:val="28"/>
          <w:lang w:val="kk-KZ"/>
        </w:rPr>
        <w:t xml:space="preserve">В-пятых, обоснована методологическая рамка исследования </w:t>
      </w:r>
      <w:r w:rsidR="009D20AE">
        <w:rPr>
          <w:rFonts w:ascii="Times New Roman" w:hAnsi="Times New Roman" w:cs="Times New Roman"/>
          <w:sz w:val="28"/>
          <w:szCs w:val="28"/>
          <w:lang w:val="kk-KZ"/>
        </w:rPr>
        <w:t>–</w:t>
      </w:r>
      <w:r w:rsidRPr="00821180">
        <w:rPr>
          <w:rFonts w:ascii="Times New Roman" w:hAnsi="Times New Roman" w:cs="Times New Roman"/>
          <w:sz w:val="28"/>
          <w:szCs w:val="28"/>
          <w:lang w:val="kk-KZ"/>
        </w:rPr>
        <w:t xml:space="preserve"> интегративный ресурсно-процессный подход, дополненный институциональной и системно-управленческой перспективами. Выбор этого подхода обусловлен необходимостью перейти от статического измерения ресурсов к динамическому анализу механизмов их трансформации в инновационные результаты, что является критически важным для проектирования инновационного потенциала как управляемой системы в условиях цифровой экономики. Сформулированы операциональные ориентиры, согласно которым внутренние составляющие (ресурсы, компетенции, культура) выступают детерминантами, а цифровая адаптация медиирует их влияние на инновационный потенциал.</w:t>
      </w:r>
    </w:p>
    <w:p w14:paraId="0CC46218" w14:textId="7A824DA8" w:rsidR="00821180" w:rsidRPr="00505AB7" w:rsidRDefault="00821180" w:rsidP="002F33D0">
      <w:pPr>
        <w:spacing w:after="0" w:line="240" w:lineRule="auto"/>
        <w:ind w:firstLine="567"/>
        <w:jc w:val="both"/>
        <w:rPr>
          <w:rFonts w:ascii="Times New Roman" w:hAnsi="Times New Roman" w:cs="Times New Roman"/>
          <w:sz w:val="28"/>
          <w:szCs w:val="28"/>
          <w:lang w:val="kk-KZ"/>
        </w:rPr>
      </w:pPr>
    </w:p>
    <w:p w14:paraId="3C251A7C" w14:textId="77777777" w:rsidR="00821180" w:rsidRDefault="00821180" w:rsidP="002F33D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4B07490B" w14:textId="77777777" w:rsidR="000C1190" w:rsidRPr="00A12459" w:rsidRDefault="000C1190" w:rsidP="002F33D0">
      <w:pPr>
        <w:spacing w:after="0" w:line="240" w:lineRule="auto"/>
        <w:ind w:firstLine="567"/>
        <w:jc w:val="both"/>
        <w:rPr>
          <w:rFonts w:ascii="Times New Roman" w:hAnsi="Times New Roman" w:cs="Times New Roman"/>
          <w:b/>
          <w:sz w:val="28"/>
          <w:szCs w:val="28"/>
        </w:rPr>
      </w:pPr>
      <w:r w:rsidRPr="00A12459">
        <w:rPr>
          <w:rFonts w:ascii="Times New Roman" w:hAnsi="Times New Roman" w:cs="Times New Roman"/>
          <w:b/>
          <w:sz w:val="28"/>
          <w:szCs w:val="28"/>
        </w:rPr>
        <w:lastRenderedPageBreak/>
        <w:t>2 ОЦЕНКА УРОВНЯ ИННОВАЦИОННОГО РАЗВИТИЯ ПРЕДПРИНИМАТЕЛЬСКИХ СТРУКТУР В КАЗАХСТАНЕ</w:t>
      </w:r>
    </w:p>
    <w:p w14:paraId="718A17DD" w14:textId="699C3130" w:rsidR="000C1190" w:rsidRDefault="000C1190" w:rsidP="002F33D0">
      <w:pPr>
        <w:spacing w:after="0" w:line="240" w:lineRule="auto"/>
        <w:ind w:firstLine="567"/>
        <w:jc w:val="both"/>
        <w:rPr>
          <w:rFonts w:ascii="Times New Roman" w:hAnsi="Times New Roman" w:cs="Times New Roman"/>
          <w:b/>
          <w:color w:val="FF0000"/>
          <w:sz w:val="28"/>
          <w:szCs w:val="28"/>
        </w:rPr>
      </w:pPr>
    </w:p>
    <w:p w14:paraId="59C27690" w14:textId="379B60E4" w:rsidR="000C1190" w:rsidRPr="000C1190" w:rsidRDefault="000C1190" w:rsidP="002F33D0">
      <w:pPr>
        <w:spacing w:after="0" w:line="240" w:lineRule="auto"/>
        <w:ind w:firstLine="567"/>
        <w:jc w:val="both"/>
        <w:rPr>
          <w:rFonts w:ascii="Times New Roman" w:hAnsi="Times New Roman" w:cs="Times New Roman"/>
          <w:b/>
          <w:sz w:val="28"/>
          <w:szCs w:val="28"/>
        </w:rPr>
      </w:pPr>
      <w:r w:rsidRPr="000C1190">
        <w:rPr>
          <w:rFonts w:ascii="Times New Roman" w:hAnsi="Times New Roman" w:cs="Times New Roman"/>
          <w:b/>
          <w:sz w:val="28"/>
          <w:szCs w:val="28"/>
        </w:rPr>
        <w:t>2.1 Анализ и эконометрическая оценка внутренней структуры инновационного потенциала предпринимательских структур</w:t>
      </w:r>
    </w:p>
    <w:p w14:paraId="7B75397C" w14:textId="77777777" w:rsidR="001D4931" w:rsidRDefault="001D4931" w:rsidP="002F33D0">
      <w:pPr>
        <w:spacing w:after="0" w:line="240" w:lineRule="auto"/>
        <w:ind w:firstLine="567"/>
        <w:jc w:val="both"/>
        <w:rPr>
          <w:rFonts w:ascii="Times New Roman" w:hAnsi="Times New Roman" w:cs="Times New Roman"/>
          <w:sz w:val="28"/>
          <w:szCs w:val="28"/>
        </w:rPr>
      </w:pPr>
      <w:r w:rsidRPr="000D60E6">
        <w:rPr>
          <w:rFonts w:ascii="Times New Roman" w:hAnsi="Times New Roman" w:cs="Times New Roman"/>
          <w:sz w:val="28"/>
          <w:szCs w:val="28"/>
        </w:rPr>
        <w:t xml:space="preserve">Эмпирический анализ инновационного потенциала предпринимательских структур основывается на результатах ранее проведённых автором исследований, направленных на выявление ключевых проблем и ограничений инновационного развития предприятий Казахстана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ZOTERO_ITEM CSL_CITATION {"citationID":"a2f3j4vrlb0","properties":{"formattedCitation":"[185]","plainCitation":"[185]","noteIndex":0},"citationItems":[{"id":580,"uris":["http://zotero.org/users/16887523/items/GX7KQNTW"],"itemData":{"id":580,"type":"paper-conference","event-title":"Материалы XIV международной научно-практической конференции: Проблемы и перспективы развития экономики и менеджмента в России и за рубежом","ISBN":"978-5-6045267-5-0","page":"54-70","publisher":"Рубцовский индустриальный институт","publisher-place":"Рубцовск","title":"Анализ инновационного потенциала предпринимательских структур на современном этапе экономического развития Казахстана","author":[{"family":"Саденова","given":"А.М."}],"issued":{"date-parts":[["2022"]]}}}],"schema":"https://github.com/citation-style-language/schema/raw/master/csl-citation.json"} </w:instrText>
      </w:r>
      <w:r>
        <w:rPr>
          <w:rFonts w:ascii="Times New Roman" w:hAnsi="Times New Roman" w:cs="Times New Roman"/>
          <w:sz w:val="28"/>
          <w:szCs w:val="28"/>
        </w:rPr>
        <w:fldChar w:fldCharType="separate"/>
      </w:r>
      <w:r w:rsidRPr="00AE44BA">
        <w:rPr>
          <w:rFonts w:ascii="Times New Roman" w:hAnsi="Times New Roman" w:cs="Times New Roman"/>
          <w:sz w:val="28"/>
        </w:rPr>
        <w:t>[185]</w:t>
      </w:r>
      <w:r>
        <w:rPr>
          <w:rFonts w:ascii="Times New Roman" w:hAnsi="Times New Roman" w:cs="Times New Roman"/>
          <w:sz w:val="28"/>
          <w:szCs w:val="28"/>
        </w:rPr>
        <w:fldChar w:fldCharType="end"/>
      </w:r>
      <w:r w:rsidRPr="000D60E6">
        <w:rPr>
          <w:rFonts w:ascii="Times New Roman" w:hAnsi="Times New Roman" w:cs="Times New Roman"/>
          <w:sz w:val="28"/>
          <w:szCs w:val="28"/>
        </w:rPr>
        <w:t>. В рамках указанного этапа было установлено, что при наличии отдельных институциональных и ресурсных предпосылок инновационная активность предпринимательских структур носит фрагментарный характер, а применяемые на практике подходы к оценке инновационного потенциала преимущественно имеют описательный и несистемный характер. Указанные выводы обусловили необходимость углубления эмпирического анализа и перехода к построению количественной модели оценки инновационного потенциала с испо</w:t>
      </w:r>
      <w:bookmarkStart w:id="1" w:name="_GoBack"/>
      <w:bookmarkEnd w:id="1"/>
      <w:r w:rsidRPr="000D60E6">
        <w:rPr>
          <w:rFonts w:ascii="Times New Roman" w:hAnsi="Times New Roman" w:cs="Times New Roman"/>
          <w:sz w:val="28"/>
          <w:szCs w:val="28"/>
        </w:rPr>
        <w:t>льзованием эконометрических методов и агрегированных индексов.</w:t>
      </w:r>
    </w:p>
    <w:p w14:paraId="144B6721" w14:textId="673BC804"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Эмпирическая основа анализа внутренней структуры инновационного потенциала сформирована на базе данных анкетирования предпринимательских структур Республики Казахстан. В исследовании приняли участие 500 предприятий, представляющих 17 областей и 3 города республиканского значения. Объём выборки рассчитан пропорционально количеству зарегистрированных предприятий в каждом регионе, что обеспечило её репрезентативность и территориальный охват.</w:t>
      </w:r>
    </w:p>
    <w:p w14:paraId="2BC01749" w14:textId="3C274E9A" w:rsidR="000C1190" w:rsidRPr="000C1190" w:rsidRDefault="000C1190" w:rsidP="002F33D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В выборку вошли крупные (15%), средние (32%) и малые (53</w:t>
      </w:r>
      <w:r w:rsidRPr="000C1190">
        <w:rPr>
          <w:rFonts w:ascii="Times New Roman" w:hAnsi="Times New Roman" w:cs="Times New Roman"/>
          <w:sz w:val="28"/>
          <w:szCs w:val="28"/>
          <w:lang w:val="kk-KZ"/>
        </w:rPr>
        <w:t>%) предприятия, что позволило провести межгрупповые сопоставления по размерам бизнеса. Опрос проводился в онлайн-формате с использованием платформы Google Forms. Анкета была разработана на основе теоретических положений, представленных в первой главе, и включала блоки, отражающие ресурсную базу, человеческий капитал, инновационную культуру, драйверы и барьеры инновационного развития, а также уровень информированности и участия в мерах государственной поддержки</w:t>
      </w:r>
      <w:r w:rsidR="00AA67DC">
        <w:rPr>
          <w:rFonts w:ascii="Times New Roman" w:hAnsi="Times New Roman" w:cs="Times New Roman"/>
          <w:sz w:val="28"/>
          <w:szCs w:val="28"/>
          <w:lang w:val="kk-KZ"/>
        </w:rPr>
        <w:t xml:space="preserve"> (Приложения В, Г</w:t>
      </w:r>
      <w:r w:rsidR="00BE6E4B">
        <w:rPr>
          <w:rFonts w:ascii="Times New Roman" w:hAnsi="Times New Roman" w:cs="Times New Roman"/>
          <w:sz w:val="28"/>
          <w:szCs w:val="28"/>
          <w:lang w:val="kk-KZ"/>
        </w:rPr>
        <w:t>)</w:t>
      </w:r>
      <w:r w:rsidRPr="000C1190">
        <w:rPr>
          <w:rFonts w:ascii="Times New Roman" w:hAnsi="Times New Roman" w:cs="Times New Roman"/>
          <w:sz w:val="28"/>
          <w:szCs w:val="28"/>
          <w:lang w:val="kk-KZ"/>
        </w:rPr>
        <w:t>.</w:t>
      </w:r>
    </w:p>
    <w:p w14:paraId="034A0B23" w14:textId="53246014"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Комплексная эконометрическая оценка внутренних детерминант инновационного потенциала предпринимательских структур Республики Казахстан базируется на анализе трёх ключевых компонентов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ресурсной базы, человеческого капитала и инновационной культуры. Эти элементы были концептуально выделены и теоретически обоснованы в первой главе как основные составляющие механизма формирования инновационного потенциала.</w:t>
      </w:r>
    </w:p>
    <w:p w14:paraId="4A99F95C"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Особое внимание уделено вопросам самооценки инновационного потенциала предприятий и оценке уровня цифровой адаптации, что позволило в дальнейшем использовать полученные показатели в качестве интегральной </w:t>
      </w:r>
      <w:r w:rsidRPr="000C1190">
        <w:rPr>
          <w:rFonts w:ascii="Times New Roman" w:hAnsi="Times New Roman" w:cs="Times New Roman"/>
          <w:sz w:val="28"/>
          <w:szCs w:val="28"/>
          <w:lang w:val="kk-KZ"/>
        </w:rPr>
        <w:lastRenderedPageBreak/>
        <w:t>(эндогенной) и медиирующей переменных при построении эконометрических моделей.</w:t>
      </w:r>
    </w:p>
    <w:p w14:paraId="10000862" w14:textId="5F92F0D2" w:rsid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Полученные данные прошли процедуру проверки, очистки и нормализации, что обеспечило корректность их дальнейшей обработки и статистического анализа.</w:t>
      </w:r>
    </w:p>
    <w:p w14:paraId="232D9623" w14:textId="6D61428D" w:rsidR="0082235C" w:rsidRPr="00660037" w:rsidRDefault="0082235C" w:rsidP="002F33D0">
      <w:pPr>
        <w:spacing w:after="0" w:line="240" w:lineRule="auto"/>
        <w:ind w:firstLine="567"/>
        <w:jc w:val="both"/>
        <w:rPr>
          <w:rFonts w:ascii="Times New Roman" w:hAnsi="Times New Roman" w:cs="Times New Roman"/>
          <w:sz w:val="28"/>
          <w:szCs w:val="28"/>
          <w:lang w:val="kk-KZ"/>
        </w:rPr>
      </w:pPr>
      <w:r w:rsidRPr="00660037">
        <w:rPr>
          <w:rFonts w:ascii="Times New Roman" w:hAnsi="Times New Roman" w:cs="Times New Roman"/>
          <w:sz w:val="28"/>
          <w:szCs w:val="28"/>
          <w:lang w:val="kk-KZ"/>
        </w:rPr>
        <w:t xml:space="preserve">Эконометрический анализ и структурное моделирование уравнений (SEM) проводились с использованием программного обеспечения Jamovi (версия 2.5) с интеграцией модуля «semlj – SEM» </w:t>
      </w:r>
      <w:r w:rsidRPr="00660037">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{"citationID":"a26a558ius7","properties":{"formattedCitation":"[186]","plainCitation":"[186]","noteIndex":0},"citationItems":[{"id":368,"uris":["http://zotero.org/users/16887523/items/M9IH6GDB"],"itemData":{"id":368,"type":"article-journal","abstract":"The aim of this study is to demonstrate the capabilities of the Jamovi software in analyzing complex economic models, using the case of examining the impact of various factors on enterprise innovation activity. Structural Equation Modeling (SEM) was employed to identify both direct and mediated relationships among economic and digital infrastructure, factors related to research and development (R&amp;D), and innovation activity. The analysis results confirmed the positive impact of economic infrastructure on the level of R&amp;D and the innovation activity of enterprises, as well as the mediating role of R&amp;D factors in transmitting the effects of infrastructure. Meanwhile, the influence of digital infrastructure was found to be weak, highlighting the need for further development of digital technologies and their integration into economic activities. The findings and methodology of the study can be utilized to enhance the competitiveness of enterprises and to develop effective measures for state support of innovation activities in various regions.","container-title":"Applied Computer Science","DOI":"10.35784/acs_7037","ISSN":"2353-6977","issue":"1","journalAbbreviation":"Appl. Comput. Sci.","license":"https://creativecommons.org/licenses/by/4.0","page":"97-110","source":"DOI.org (Crossref)","title":"Structural equation modeling (SEM) in Jamovi: An example of analyzing the impact of factors on the innovation activity of enterprises","title-short":"Structural equation modeling (SEM) in Jamovi","URL":"https://ph.pollub.pl/index.php/acs/article/view/7037","volume":"21","author":[{"family":"Sadenova","given":"Assel"},{"family":"Denissova","given":"Oxana"},{"family":"Kozlova","given":"Marina"},{"family":"Rakhimova","given":"Saule"},{"family":"Gola","given":"Arkadiusz"},{"family":"Suieubayeva","given":"Saltanat"}],"accessed":{"date-parts":[["2025",12,13]]},"issued":{"date-parts":[["2025",3,31]]}}}],"schema":"https://github.com/citation-style-language/schema/raw/master/csl-citation.json"} </w:instrText>
      </w:r>
      <w:r w:rsidRPr="00660037">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[186]</w:t>
      </w:r>
      <w:r w:rsidRPr="00660037">
        <w:rPr>
          <w:rFonts w:ascii="Times New Roman" w:hAnsi="Times New Roman" w:cs="Times New Roman"/>
          <w:sz w:val="28"/>
          <w:szCs w:val="28"/>
          <w:lang w:val="kk-KZ"/>
        </w:rPr>
        <w:fldChar w:fldCharType="end"/>
      </w:r>
      <w:r w:rsidRPr="00660037">
        <w:rPr>
          <w:rFonts w:ascii="Times New Roman" w:hAnsi="Times New Roman" w:cs="Times New Roman"/>
          <w:sz w:val="28"/>
          <w:szCs w:val="28"/>
          <w:lang w:val="kk-KZ"/>
        </w:rPr>
        <w:t>. Выбор Jamovi обусловлен его доступностью, интуитивно понятным интерфейсом и интеграцией с библиотекой R (lavaan), что обеспечивает необходимую надежность и прозрачность статистических процедур при анализе сложных экономических моделей.</w:t>
      </w:r>
    </w:p>
    <w:p w14:paraId="11F0D7F5" w14:textId="77777777" w:rsidR="000C1190" w:rsidRPr="000C1190" w:rsidRDefault="000C1190" w:rsidP="002F33D0">
      <w:pPr>
        <w:spacing w:after="0" w:line="240" w:lineRule="auto"/>
        <w:ind w:firstLine="567"/>
        <w:jc w:val="both"/>
        <w:rPr>
          <w:rFonts w:ascii="Times New Roman" w:hAnsi="Times New Roman" w:cs="Times New Roman"/>
          <w:b/>
          <w:sz w:val="28"/>
          <w:szCs w:val="28"/>
        </w:rPr>
      </w:pPr>
      <w:r w:rsidRPr="000C1190">
        <w:rPr>
          <w:rFonts w:ascii="Times New Roman" w:hAnsi="Times New Roman" w:cs="Times New Roman"/>
          <w:b/>
          <w:sz w:val="28"/>
          <w:szCs w:val="28"/>
        </w:rPr>
        <w:t>2.1.1 Анализ ресурсной базы предпринимательских структур: оценка управленческих, технологических и финансовых компонентов.</w:t>
      </w:r>
    </w:p>
    <w:p w14:paraId="5F999E5B" w14:textId="0D21AADB"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Анализ ресурсной базы предпринимательских структур проведён с использованием статистического пакета Jamovi (версия 2.5), интегрирующего современные модули анализа данных на языке R. Для выявления скрытых структурных компонентов применён эксплораторный факторный анализ (Exploratory Factor Analysis, EFA), а для проверки влияния выделенных факторов на инновационный потенциал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структурное моделирование уравнений (Structural Equation Modeling, SEM). Использование среды Jamovi обеспечило прозрачность и воспроизводимость статистических процедур, включая проверку надёжности шкал, факторизацию и построение структурных моделей.</w:t>
      </w:r>
    </w:p>
    <w:p w14:paraId="235CE66C" w14:textId="4B35691E"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Описательная статистика по блоку «Ресурсная база» отражает общий уровень обеспеченности предприятий различными видами ресурсов и позволяет оценить вариативность данных перед проведением углублённого анализа. Средние значения характеризуют типичный уровень развития конкретного ресурса, минимальные и максимальные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диапазон оценок, демонстрирующий наличие как предприятий с крайне низким, так и с высоким уровнем ресурсного обеспечения. Стандартное отклонение показывает степень неоднородности выборки: чем выше данный показатель, тем сильнее различаются предприятия по уровню обеспеченности ресурсами. Эти параметры необходимы для подготовки к факторному и структурному анализу, поскольку позволяют выявить, какие ресурсы развиты равномерно, а какие формируют дисбаланс и могут существенно влиять на инноваци</w:t>
      </w:r>
      <w:r w:rsidR="0018767C">
        <w:rPr>
          <w:rFonts w:ascii="Times New Roman" w:hAnsi="Times New Roman" w:cs="Times New Roman"/>
          <w:sz w:val="28"/>
          <w:szCs w:val="28"/>
        </w:rPr>
        <w:t>онный потенциал</w:t>
      </w:r>
      <w:r w:rsidRPr="000C1190">
        <w:rPr>
          <w:rFonts w:ascii="Times New Roman" w:hAnsi="Times New Roman" w:cs="Times New Roman"/>
          <w:sz w:val="28"/>
          <w:szCs w:val="28"/>
        </w:rPr>
        <w:t>.</w:t>
      </w:r>
    </w:p>
    <w:p w14:paraId="3E007D26"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Крупные предприятия демонстрируют наибольшие средние значения практически по всем переменным ресурсной базы, что свидетельствует о более устойчивой материально-технической, финансовой и управленческой основе их деятельности. При этом относительно низкие значения стандартного отклонения указывают на однородность этой группы: большинство крупных компаний располагает схожим набором ресурсов, а крайне низкие показатели встречаются редко. Это подтверждает, что крупные </w:t>
      </w:r>
      <w:r w:rsidRPr="000C1190">
        <w:rPr>
          <w:rFonts w:ascii="Times New Roman" w:hAnsi="Times New Roman" w:cs="Times New Roman"/>
          <w:sz w:val="28"/>
          <w:szCs w:val="28"/>
        </w:rPr>
        <w:lastRenderedPageBreak/>
        <w:t>предприятия Казахстана имеют наилучшие стартовые условия для реализации инновационных проектов и эффективного управления своей ресурсной базой.</w:t>
      </w:r>
    </w:p>
    <w:p w14:paraId="33CDF252"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Средние предприятия демонстрируют умеренные значения по большинству показателей, что отражает средний уровень развития ресурсной базы. При этом стандартные отклонения выше, чем у крупных предприятий, что указывает на заметную неоднородность. В данной группе присутствуют как компании с ресурсным обеспечением, близким к крупным предприятиям, так и организации, у которых ресурсный потенциал развит слабо. Такая вариативность объясняет, почему средние предприятия нередко сталкиваются с ограничениями при масштабировании инновационной деятельности и требуют более гибких и адресных инструментов поддержки.</w:t>
      </w:r>
    </w:p>
    <w:p w14:paraId="7ED6139E" w14:textId="35F0927B"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Малые предприятия характеризуются наиболее низкими средними значениями по большинству показателей, при этом диапазон варьирования охватывает весь спектр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от минимальных до максимальных значений, а стандартное отклонение относительно высокое. Это свидетельствует о значительной дифференциации внутри группы: наряду с предприятиями, имеющими ограниченную ресурсную базу, встречаются компании-лидеры, которые, несмотря на небольшой масштаб, активно развивают материально-технические, финансовые и цифровые ресурсы. Такая неоднородность делает малые предприятия одновременно наиболее уязвимыми к внешним ограничениям и потенциально способными к быстрым инновационным прорывам при наличии точечных мер поддержки.</w:t>
      </w:r>
    </w:p>
    <w:p w14:paraId="75BBA0D0"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Для оценки роли ресурсной базы в формировании инновационного потенциала предпринимательских структур важно не только зафиксировать уровень обеспеченности ресурсами, но и определить, каким образом они влияют на субъективную оценку инновационного потенциала (IP_selfrate) и инновационную активность предприятий. Простое сопоставление средних значений не позволяет выявить эти взаимосвязи, поскольку влияние ресурсов многомерно и может проявляться как напрямую, так и через косвенные (медиирующие) эффекты. В этой связи для последующего анализа был выбран метод структурного моделирования уравнений (SEM-анализ), позволяющий одновременно оценивать влияние нескольких ресурсных факторов на инновационный потенциал, выявлять прямые и опосредованные связи между блоками ресурсов и результирующей переменной, а также определять сильные и слабые звенья ресурсной базы, формирующие основу инновационной деятельности.</w:t>
      </w:r>
    </w:p>
    <w:p w14:paraId="3A1534B0" w14:textId="587B58B2"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Применение SEM-анализа требует корректного выделения латентных переменных, представляющих собой укрупнённые ресурсные блоки, скрытые за отдельными наблюдаемыми показателями. Для их идентификации использован факторный анализ (EFA), позволяющий сократить количество переменных, сгруппировать их по содержательной близости и выявить внутренние зависимости</w:t>
      </w:r>
      <w:r w:rsidR="00AA67DC">
        <w:rPr>
          <w:rFonts w:ascii="Times New Roman" w:hAnsi="Times New Roman" w:cs="Times New Roman"/>
          <w:sz w:val="28"/>
          <w:szCs w:val="28"/>
          <w:lang w:val="kk-KZ"/>
        </w:rPr>
        <w:t xml:space="preserve"> (Приложение Д</w:t>
      </w:r>
      <w:r w:rsidR="00BE6E4B">
        <w:rPr>
          <w:rFonts w:ascii="Times New Roman" w:hAnsi="Times New Roman" w:cs="Times New Roman"/>
          <w:sz w:val="28"/>
          <w:szCs w:val="28"/>
          <w:lang w:val="kk-KZ"/>
        </w:rPr>
        <w:t>)</w:t>
      </w:r>
      <w:r w:rsidRPr="000C1190">
        <w:rPr>
          <w:rFonts w:ascii="Times New Roman" w:hAnsi="Times New Roman" w:cs="Times New Roman"/>
          <w:sz w:val="28"/>
          <w:szCs w:val="28"/>
        </w:rPr>
        <w:t xml:space="preserve">. Такой подход обеспечивает статистическую корректность SEM-анализа и делает интерпретацию более наглядной, так как позволяет оперировать не разрозненными показателями, а </w:t>
      </w:r>
      <w:r w:rsidRPr="000C1190">
        <w:rPr>
          <w:rFonts w:ascii="Times New Roman" w:hAnsi="Times New Roman" w:cs="Times New Roman"/>
          <w:sz w:val="28"/>
          <w:szCs w:val="28"/>
        </w:rPr>
        <w:lastRenderedPageBreak/>
        <w:t xml:space="preserve">целостными ресурсными конструктами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управленческо-инновационными (MR), технологическими (TR) и финансовыми (FR) ресурсами.</w:t>
      </w:r>
    </w:p>
    <w:p w14:paraId="5A9317C8" w14:textId="1BD2F776"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Перед проведением факторного анализа была оценена пригодность данных с использованием показателя Kaiser–Meyer–Olkin (KMO) и теста Бартлетта на сферичность матрицы корреляций. Значение KMO = 0,850 соответствует уровню «очень хорошо» и подтверждает достаточную коррелированность переменных. Тест Бартлетта также подтвердил статистическую значимость корреляций (</w:t>
      </w:r>
      <w:r w:rsidR="00E90D47">
        <w:rPr>
          <w:rFonts w:ascii="Times New Roman" w:hAnsi="Times New Roman" w:cs="Times New Roman"/>
          <w:sz w:val="28"/>
          <w:szCs w:val="28"/>
          <w:lang w:val="kk-KZ"/>
        </w:rPr>
        <w:t>х</w:t>
      </w:r>
      <w:r w:rsidRPr="000C1190">
        <w:rPr>
          <w:rFonts w:ascii="Times New Roman" w:hAnsi="Times New Roman" w:cs="Times New Roman"/>
          <w:sz w:val="28"/>
          <w:szCs w:val="28"/>
        </w:rPr>
        <w:t xml:space="preserve">² = 8432, df = 136, p </w:t>
      </w:r>
      <w:r w:rsidR="005B1FAD" w:rsidRPr="000C1190">
        <w:rPr>
          <w:rFonts w:ascii="Times New Roman" w:hAnsi="Times New Roman" w:cs="Times New Roman"/>
          <w:sz w:val="28"/>
          <w:szCs w:val="28"/>
        </w:rPr>
        <w:t>&lt;0,001</w:t>
      </w:r>
      <w:r w:rsidRPr="000C1190">
        <w:rPr>
          <w:rFonts w:ascii="Times New Roman" w:hAnsi="Times New Roman" w:cs="Times New Roman"/>
          <w:sz w:val="28"/>
          <w:szCs w:val="28"/>
        </w:rPr>
        <w:t>), что свидетельствует о допустимости факторного анализа. Дополнительно для каждой переменной рассчитан показатель MSA (Measure of Sampling Adequacy), отражающий индивидуальную пригодность её включения в факторную модель: значения, близкие к 1, указывают на высокую взаимосвязанность переменной с остальными показателями.</w:t>
      </w:r>
    </w:p>
    <w:p w14:paraId="5804374F" w14:textId="69AB9F7E"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rPr>
        <w:t xml:space="preserve">Результаты проведённого EFA, реализованного в среде Jamovi (версия 2.5), представлены в следующей таблице </w:t>
      </w:r>
      <w:r w:rsidRPr="000C1190">
        <w:rPr>
          <w:rFonts w:ascii="Times New Roman" w:hAnsi="Times New Roman" w:cs="Times New Roman"/>
          <w:sz w:val="28"/>
          <w:szCs w:val="28"/>
          <w:lang w:val="kk-KZ"/>
        </w:rPr>
        <w:t xml:space="preserve">9 </w:t>
      </w:r>
      <w:r w:rsidRPr="000C1190">
        <w:rPr>
          <w:rFonts w:ascii="Times New Roman" w:hAnsi="Times New Roman" w:cs="Times New Roman"/>
          <w:sz w:val="28"/>
          <w:szCs w:val="28"/>
        </w:rPr>
        <w:t>и легли в основу построения структурной модели ресурсных факторов.</w:t>
      </w:r>
    </w:p>
    <w:p w14:paraId="34CAC1DE" w14:textId="096391AC" w:rsidR="000C1190" w:rsidRDefault="000C1190" w:rsidP="002F33D0">
      <w:pPr>
        <w:spacing w:after="0" w:line="240" w:lineRule="auto"/>
        <w:ind w:firstLine="567"/>
        <w:jc w:val="both"/>
        <w:rPr>
          <w:rFonts w:ascii="Times New Roman" w:hAnsi="Times New Roman" w:cs="Times New Roman"/>
          <w:sz w:val="28"/>
          <w:szCs w:val="28"/>
          <w:lang w:val="kk-KZ"/>
        </w:rPr>
      </w:pPr>
    </w:p>
    <w:p w14:paraId="617C3844" w14:textId="1B257D8E" w:rsidR="000C1190" w:rsidRDefault="000C1190" w:rsidP="002F33D0">
      <w:pPr>
        <w:spacing w:after="0" w:line="240" w:lineRule="auto"/>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Таблица 9 – </w:t>
      </w:r>
      <w:r w:rsidRPr="000C1190">
        <w:rPr>
          <w:rFonts w:ascii="Times New Roman" w:hAnsi="Times New Roman" w:cs="Times New Roman"/>
          <w:sz w:val="28"/>
          <w:szCs w:val="28"/>
        </w:rPr>
        <w:t xml:space="preserve">Результаты </w:t>
      </w:r>
      <w:r w:rsidRPr="000C1190">
        <w:rPr>
          <w:rFonts w:ascii="Times New Roman" w:hAnsi="Times New Roman" w:cs="Times New Roman"/>
          <w:sz w:val="28"/>
          <w:szCs w:val="28"/>
          <w:lang w:val="kk-KZ"/>
        </w:rPr>
        <w:t>эксплораторного факторного анализа</w:t>
      </w:r>
    </w:p>
    <w:p w14:paraId="084E6304" w14:textId="77777777" w:rsidR="00E90D47" w:rsidRPr="005B1FAD" w:rsidRDefault="00E90D47" w:rsidP="002F33D0">
      <w:pPr>
        <w:spacing w:after="0" w:line="240" w:lineRule="auto"/>
        <w:ind w:firstLine="567"/>
        <w:jc w:val="both"/>
        <w:rPr>
          <w:rFonts w:ascii="Times New Roman" w:hAnsi="Times New Roman" w:cs="Times New Roman"/>
          <w:sz w:val="20"/>
          <w:szCs w:val="20"/>
          <w:lang w:val="kk-KZ"/>
        </w:rPr>
      </w:pPr>
    </w:p>
    <w:tbl>
      <w:tblPr>
        <w:tblW w:w="5000" w:type="pct"/>
        <w:tblLayout w:type="fixed"/>
        <w:tblLook w:val="04A0" w:firstRow="1" w:lastRow="0" w:firstColumn="1" w:lastColumn="0" w:noHBand="0" w:noVBand="1"/>
      </w:tblPr>
      <w:tblGrid>
        <w:gridCol w:w="2300"/>
        <w:gridCol w:w="1716"/>
        <w:gridCol w:w="1056"/>
        <w:gridCol w:w="1060"/>
        <w:gridCol w:w="1075"/>
        <w:gridCol w:w="1164"/>
        <w:gridCol w:w="974"/>
      </w:tblGrid>
      <w:tr w:rsidR="00E90D47" w:rsidRPr="000C1190" w14:paraId="484AFC6F" w14:textId="77777777" w:rsidTr="00660037">
        <w:trPr>
          <w:trHeight w:val="283"/>
        </w:trPr>
        <w:tc>
          <w:tcPr>
            <w:tcW w:w="1231" w:type="pct"/>
            <w:tcBorders>
              <w:top w:val="single" w:sz="4" w:space="0" w:color="auto"/>
              <w:left w:val="single" w:sz="4" w:space="0" w:color="auto"/>
              <w:bottom w:val="single" w:sz="4" w:space="0" w:color="auto"/>
              <w:right w:val="single" w:sz="4" w:space="0" w:color="auto"/>
            </w:tcBorders>
            <w:vAlign w:val="center"/>
          </w:tcPr>
          <w:p w14:paraId="758761A4" w14:textId="77777777" w:rsidR="000C1190" w:rsidRPr="005B1FAD" w:rsidRDefault="000C1190" w:rsidP="002F33D0">
            <w:pPr>
              <w:spacing w:after="0" w:line="240" w:lineRule="auto"/>
              <w:jc w:val="center"/>
              <w:rPr>
                <w:rFonts w:ascii="Times New Roman" w:eastAsia="Times New Roman" w:hAnsi="Times New Roman" w:cs="Times New Roman"/>
                <w:bCs/>
                <w:color w:val="000000"/>
                <w:sz w:val="24"/>
                <w:szCs w:val="24"/>
                <w:lang w:val="kk-KZ" w:eastAsia="ru-RU"/>
              </w:rPr>
            </w:pPr>
            <w:r w:rsidRPr="005B1FAD">
              <w:rPr>
                <w:rFonts w:ascii="Times New Roman" w:eastAsia="Times New Roman" w:hAnsi="Times New Roman" w:cs="Times New Roman"/>
                <w:bCs/>
                <w:color w:val="000000"/>
                <w:sz w:val="24"/>
                <w:szCs w:val="24"/>
                <w:lang w:val="kk-KZ" w:eastAsia="ru-RU"/>
              </w:rPr>
              <w:t>Название переменной</w:t>
            </w:r>
          </w:p>
        </w:tc>
        <w:tc>
          <w:tcPr>
            <w:tcW w:w="9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9C1B8" w14:textId="77777777" w:rsidR="000C1190" w:rsidRPr="005B1FAD" w:rsidRDefault="000C1190" w:rsidP="0018767C">
            <w:pPr>
              <w:spacing w:after="0" w:line="240" w:lineRule="auto"/>
              <w:jc w:val="center"/>
              <w:rPr>
                <w:rFonts w:ascii="Times New Roman" w:eastAsia="Times New Roman" w:hAnsi="Times New Roman" w:cs="Times New Roman"/>
                <w:bCs/>
                <w:color w:val="000000"/>
                <w:sz w:val="24"/>
                <w:szCs w:val="24"/>
                <w:lang w:eastAsia="ru-RU"/>
              </w:rPr>
            </w:pPr>
            <w:r w:rsidRPr="005B1FAD">
              <w:rPr>
                <w:rFonts w:ascii="Times New Roman" w:eastAsia="Times New Roman" w:hAnsi="Times New Roman" w:cs="Times New Roman"/>
                <w:bCs/>
                <w:color w:val="000000"/>
                <w:sz w:val="24"/>
                <w:szCs w:val="24"/>
                <w:lang w:eastAsia="ru-RU"/>
              </w:rPr>
              <w:t>Обозначение в анализе</w:t>
            </w:r>
          </w:p>
        </w:tc>
        <w:tc>
          <w:tcPr>
            <w:tcW w:w="565" w:type="pct"/>
            <w:tcBorders>
              <w:top w:val="single" w:sz="4" w:space="0" w:color="auto"/>
              <w:left w:val="nil"/>
              <w:bottom w:val="single" w:sz="4" w:space="0" w:color="auto"/>
              <w:right w:val="single" w:sz="4" w:space="0" w:color="auto"/>
            </w:tcBorders>
            <w:shd w:val="clear" w:color="auto" w:fill="auto"/>
            <w:noWrap/>
            <w:hideMark/>
          </w:tcPr>
          <w:p w14:paraId="22499479" w14:textId="77777777" w:rsidR="000C1190" w:rsidRPr="005B1FAD" w:rsidRDefault="000C1190" w:rsidP="002F33D0">
            <w:pPr>
              <w:spacing w:after="0" w:line="240" w:lineRule="auto"/>
              <w:jc w:val="center"/>
              <w:rPr>
                <w:rFonts w:ascii="Times New Roman" w:eastAsia="Times New Roman" w:hAnsi="Times New Roman" w:cs="Times New Roman"/>
                <w:bCs/>
                <w:color w:val="000000"/>
                <w:sz w:val="24"/>
                <w:szCs w:val="24"/>
                <w:lang w:eastAsia="ru-RU"/>
              </w:rPr>
            </w:pPr>
            <w:r w:rsidRPr="005B1FAD">
              <w:rPr>
                <w:rFonts w:ascii="Times New Roman" w:eastAsia="Times New Roman" w:hAnsi="Times New Roman" w:cs="Times New Roman"/>
                <w:bCs/>
                <w:color w:val="000000"/>
                <w:sz w:val="24"/>
                <w:szCs w:val="24"/>
                <w:lang w:eastAsia="ru-RU"/>
              </w:rPr>
              <w:t>Фактор 1</w:t>
            </w:r>
          </w:p>
        </w:tc>
        <w:tc>
          <w:tcPr>
            <w:tcW w:w="567" w:type="pct"/>
            <w:tcBorders>
              <w:top w:val="single" w:sz="4" w:space="0" w:color="auto"/>
              <w:left w:val="nil"/>
              <w:bottom w:val="single" w:sz="4" w:space="0" w:color="auto"/>
              <w:right w:val="single" w:sz="4" w:space="0" w:color="auto"/>
            </w:tcBorders>
            <w:shd w:val="clear" w:color="auto" w:fill="auto"/>
            <w:noWrap/>
            <w:hideMark/>
          </w:tcPr>
          <w:p w14:paraId="7BD1BD9F" w14:textId="77777777" w:rsidR="000C1190" w:rsidRPr="005B1FAD" w:rsidRDefault="000C1190" w:rsidP="002F33D0">
            <w:pPr>
              <w:spacing w:after="0" w:line="240" w:lineRule="auto"/>
              <w:jc w:val="center"/>
              <w:rPr>
                <w:rFonts w:ascii="Times New Roman" w:eastAsia="Times New Roman" w:hAnsi="Times New Roman" w:cs="Times New Roman"/>
                <w:bCs/>
                <w:color w:val="000000"/>
                <w:sz w:val="24"/>
                <w:szCs w:val="24"/>
                <w:lang w:eastAsia="ru-RU"/>
              </w:rPr>
            </w:pPr>
            <w:r w:rsidRPr="005B1FAD">
              <w:rPr>
                <w:rFonts w:ascii="Times New Roman" w:eastAsia="Times New Roman" w:hAnsi="Times New Roman" w:cs="Times New Roman"/>
                <w:bCs/>
                <w:color w:val="000000"/>
                <w:sz w:val="24"/>
                <w:szCs w:val="24"/>
                <w:lang w:eastAsia="ru-RU"/>
              </w:rPr>
              <w:t>Фактор 2</w:t>
            </w:r>
          </w:p>
        </w:tc>
        <w:tc>
          <w:tcPr>
            <w:tcW w:w="575" w:type="pct"/>
            <w:tcBorders>
              <w:top w:val="single" w:sz="4" w:space="0" w:color="auto"/>
              <w:left w:val="nil"/>
              <w:bottom w:val="single" w:sz="4" w:space="0" w:color="auto"/>
              <w:right w:val="single" w:sz="4" w:space="0" w:color="auto"/>
            </w:tcBorders>
            <w:shd w:val="clear" w:color="auto" w:fill="auto"/>
            <w:noWrap/>
            <w:hideMark/>
          </w:tcPr>
          <w:p w14:paraId="38646A88" w14:textId="77777777" w:rsidR="000C1190" w:rsidRPr="005B1FAD" w:rsidRDefault="000C1190" w:rsidP="002F33D0">
            <w:pPr>
              <w:spacing w:after="0" w:line="240" w:lineRule="auto"/>
              <w:jc w:val="center"/>
              <w:rPr>
                <w:rFonts w:ascii="Times New Roman" w:eastAsia="Times New Roman" w:hAnsi="Times New Roman" w:cs="Times New Roman"/>
                <w:bCs/>
                <w:color w:val="000000"/>
                <w:sz w:val="24"/>
                <w:szCs w:val="24"/>
                <w:lang w:eastAsia="ru-RU"/>
              </w:rPr>
            </w:pPr>
            <w:r w:rsidRPr="005B1FAD">
              <w:rPr>
                <w:rFonts w:ascii="Times New Roman" w:eastAsia="Times New Roman" w:hAnsi="Times New Roman" w:cs="Times New Roman"/>
                <w:bCs/>
                <w:color w:val="000000"/>
                <w:sz w:val="24"/>
                <w:szCs w:val="24"/>
                <w:lang w:eastAsia="ru-RU"/>
              </w:rPr>
              <w:t>Фактор 3</w:t>
            </w:r>
          </w:p>
        </w:tc>
        <w:tc>
          <w:tcPr>
            <w:tcW w:w="623" w:type="pct"/>
            <w:tcBorders>
              <w:top w:val="single" w:sz="4" w:space="0" w:color="auto"/>
              <w:left w:val="nil"/>
              <w:bottom w:val="single" w:sz="4" w:space="0" w:color="auto"/>
              <w:right w:val="single" w:sz="4" w:space="0" w:color="auto"/>
            </w:tcBorders>
            <w:shd w:val="clear" w:color="auto" w:fill="auto"/>
            <w:noWrap/>
            <w:hideMark/>
          </w:tcPr>
          <w:p w14:paraId="7F57C14A" w14:textId="77777777" w:rsidR="000C1190" w:rsidRPr="005B1FAD" w:rsidRDefault="000C1190" w:rsidP="002F33D0">
            <w:pPr>
              <w:spacing w:after="0" w:line="240" w:lineRule="auto"/>
              <w:jc w:val="center"/>
              <w:rPr>
                <w:rFonts w:ascii="Times New Roman" w:eastAsia="Times New Roman" w:hAnsi="Times New Roman" w:cs="Times New Roman"/>
                <w:bCs/>
                <w:color w:val="000000"/>
                <w:sz w:val="24"/>
                <w:szCs w:val="24"/>
                <w:lang w:eastAsia="ru-RU"/>
              </w:rPr>
            </w:pPr>
            <w:r w:rsidRPr="005B1FAD">
              <w:rPr>
                <w:rFonts w:ascii="Times New Roman" w:eastAsia="Times New Roman" w:hAnsi="Times New Roman" w:cs="Times New Roman"/>
                <w:bCs/>
                <w:color w:val="000000"/>
                <w:sz w:val="24"/>
                <w:szCs w:val="24"/>
                <w:lang w:eastAsia="ru-RU"/>
              </w:rPr>
              <w:t>Уникальность</w:t>
            </w:r>
          </w:p>
        </w:tc>
        <w:tc>
          <w:tcPr>
            <w:tcW w:w="521" w:type="pct"/>
            <w:tcBorders>
              <w:top w:val="single" w:sz="4" w:space="0" w:color="auto"/>
              <w:left w:val="nil"/>
              <w:bottom w:val="single" w:sz="4" w:space="0" w:color="auto"/>
              <w:right w:val="single" w:sz="4" w:space="0" w:color="auto"/>
            </w:tcBorders>
            <w:shd w:val="clear" w:color="auto" w:fill="auto"/>
            <w:noWrap/>
            <w:vAlign w:val="center"/>
            <w:hideMark/>
          </w:tcPr>
          <w:p w14:paraId="649F2493" w14:textId="77777777" w:rsidR="000C1190" w:rsidRPr="005B1FAD" w:rsidRDefault="000C1190" w:rsidP="002F33D0">
            <w:pPr>
              <w:spacing w:after="0" w:line="240" w:lineRule="auto"/>
              <w:jc w:val="center"/>
              <w:rPr>
                <w:rFonts w:ascii="Times New Roman" w:eastAsia="Times New Roman" w:hAnsi="Times New Roman" w:cs="Times New Roman"/>
                <w:bCs/>
                <w:color w:val="000000"/>
                <w:sz w:val="24"/>
                <w:szCs w:val="24"/>
                <w:lang w:eastAsia="ru-RU"/>
              </w:rPr>
            </w:pPr>
            <w:r w:rsidRPr="005B1FAD">
              <w:rPr>
                <w:rFonts w:ascii="Times New Roman" w:eastAsia="Times New Roman" w:hAnsi="Times New Roman" w:cs="Times New Roman"/>
                <w:bCs/>
                <w:color w:val="000000"/>
                <w:sz w:val="24"/>
                <w:szCs w:val="24"/>
                <w:lang w:eastAsia="ru-RU"/>
              </w:rPr>
              <w:t>MSA</w:t>
            </w:r>
          </w:p>
        </w:tc>
      </w:tr>
      <w:tr w:rsidR="005B1FAD" w:rsidRPr="000C1190" w14:paraId="45EDE43A" w14:textId="77777777" w:rsidTr="00660037">
        <w:trPr>
          <w:trHeight w:val="283"/>
        </w:trPr>
        <w:tc>
          <w:tcPr>
            <w:tcW w:w="1231" w:type="pct"/>
            <w:tcBorders>
              <w:top w:val="single" w:sz="4" w:space="0" w:color="auto"/>
              <w:left w:val="single" w:sz="4" w:space="0" w:color="auto"/>
              <w:bottom w:val="single" w:sz="4" w:space="0" w:color="auto"/>
              <w:right w:val="single" w:sz="4" w:space="0" w:color="auto"/>
            </w:tcBorders>
            <w:vAlign w:val="center"/>
          </w:tcPr>
          <w:p w14:paraId="77FD25CC" w14:textId="48FAA4E6" w:rsidR="005B1FAD" w:rsidRPr="005B1FAD" w:rsidRDefault="005B1FAD" w:rsidP="002F33D0">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1</w:t>
            </w:r>
          </w:p>
        </w:tc>
        <w:tc>
          <w:tcPr>
            <w:tcW w:w="91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9FE8B6" w14:textId="63D1190A" w:rsidR="005B1FAD" w:rsidRPr="005B1FAD" w:rsidRDefault="005B1FAD" w:rsidP="0018767C">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2</w:t>
            </w:r>
          </w:p>
        </w:tc>
        <w:tc>
          <w:tcPr>
            <w:tcW w:w="565" w:type="pct"/>
            <w:tcBorders>
              <w:top w:val="single" w:sz="4" w:space="0" w:color="auto"/>
              <w:left w:val="nil"/>
              <w:bottom w:val="single" w:sz="4" w:space="0" w:color="auto"/>
              <w:right w:val="single" w:sz="4" w:space="0" w:color="auto"/>
            </w:tcBorders>
            <w:shd w:val="clear" w:color="auto" w:fill="auto"/>
            <w:noWrap/>
          </w:tcPr>
          <w:p w14:paraId="22AF73A6" w14:textId="6D198C2E" w:rsidR="005B1FAD" w:rsidRPr="005B1FAD" w:rsidRDefault="005B1FAD" w:rsidP="002F33D0">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3</w:t>
            </w:r>
          </w:p>
        </w:tc>
        <w:tc>
          <w:tcPr>
            <w:tcW w:w="567" w:type="pct"/>
            <w:tcBorders>
              <w:top w:val="single" w:sz="4" w:space="0" w:color="auto"/>
              <w:left w:val="nil"/>
              <w:bottom w:val="single" w:sz="4" w:space="0" w:color="auto"/>
              <w:right w:val="single" w:sz="4" w:space="0" w:color="auto"/>
            </w:tcBorders>
            <w:shd w:val="clear" w:color="auto" w:fill="auto"/>
            <w:noWrap/>
          </w:tcPr>
          <w:p w14:paraId="3FF45F80" w14:textId="23B3F38C" w:rsidR="005B1FAD" w:rsidRPr="005B1FAD" w:rsidRDefault="005B1FAD" w:rsidP="002F33D0">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4</w:t>
            </w:r>
          </w:p>
        </w:tc>
        <w:tc>
          <w:tcPr>
            <w:tcW w:w="575" w:type="pct"/>
            <w:tcBorders>
              <w:top w:val="single" w:sz="4" w:space="0" w:color="auto"/>
              <w:left w:val="nil"/>
              <w:bottom w:val="single" w:sz="4" w:space="0" w:color="auto"/>
              <w:right w:val="single" w:sz="4" w:space="0" w:color="auto"/>
            </w:tcBorders>
            <w:shd w:val="clear" w:color="auto" w:fill="auto"/>
            <w:noWrap/>
          </w:tcPr>
          <w:p w14:paraId="1D00942F" w14:textId="5A8D3B4E" w:rsidR="005B1FAD" w:rsidRPr="005B1FAD" w:rsidRDefault="005B1FAD" w:rsidP="002F33D0">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5</w:t>
            </w:r>
          </w:p>
        </w:tc>
        <w:tc>
          <w:tcPr>
            <w:tcW w:w="623" w:type="pct"/>
            <w:tcBorders>
              <w:top w:val="single" w:sz="4" w:space="0" w:color="auto"/>
              <w:left w:val="nil"/>
              <w:bottom w:val="single" w:sz="4" w:space="0" w:color="auto"/>
              <w:right w:val="single" w:sz="4" w:space="0" w:color="auto"/>
            </w:tcBorders>
            <w:shd w:val="clear" w:color="auto" w:fill="auto"/>
            <w:noWrap/>
          </w:tcPr>
          <w:p w14:paraId="3A418B04" w14:textId="62C5574B" w:rsidR="005B1FAD" w:rsidRPr="005B1FAD" w:rsidRDefault="005B1FAD" w:rsidP="002F33D0">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6</w:t>
            </w:r>
          </w:p>
        </w:tc>
        <w:tc>
          <w:tcPr>
            <w:tcW w:w="521" w:type="pct"/>
            <w:tcBorders>
              <w:top w:val="single" w:sz="4" w:space="0" w:color="auto"/>
              <w:left w:val="nil"/>
              <w:bottom w:val="single" w:sz="4" w:space="0" w:color="auto"/>
              <w:right w:val="single" w:sz="4" w:space="0" w:color="auto"/>
            </w:tcBorders>
            <w:shd w:val="clear" w:color="auto" w:fill="auto"/>
            <w:noWrap/>
            <w:vAlign w:val="center"/>
          </w:tcPr>
          <w:p w14:paraId="7F7EFE47" w14:textId="32F71D60" w:rsidR="005B1FAD" w:rsidRPr="005B1FAD" w:rsidRDefault="005B1FAD" w:rsidP="002F33D0">
            <w:pPr>
              <w:spacing w:after="0" w:line="240" w:lineRule="auto"/>
              <w:jc w:val="center"/>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7</w:t>
            </w:r>
          </w:p>
        </w:tc>
      </w:tr>
      <w:tr w:rsidR="00E90D47" w:rsidRPr="000C1190" w14:paraId="5A869748" w14:textId="77777777" w:rsidTr="00660037">
        <w:trPr>
          <w:trHeight w:val="283"/>
        </w:trPr>
        <w:tc>
          <w:tcPr>
            <w:tcW w:w="1231" w:type="pct"/>
            <w:tcBorders>
              <w:top w:val="single" w:sz="4" w:space="0" w:color="auto"/>
              <w:left w:val="single" w:sz="4" w:space="0" w:color="auto"/>
              <w:bottom w:val="single" w:sz="4" w:space="0" w:color="auto"/>
              <w:right w:val="single" w:sz="4" w:space="0" w:color="auto"/>
            </w:tcBorders>
          </w:tcPr>
          <w:p w14:paraId="7FC310C7" w14:textId="77777777" w:rsidR="000C1190" w:rsidRPr="00E90D47" w:rsidRDefault="000C1190" w:rsidP="002F33D0">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Прозрачность бюджета на инновации</w:t>
            </w:r>
          </w:p>
        </w:tc>
        <w:tc>
          <w:tcPr>
            <w:tcW w:w="91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67960E" w14:textId="77777777" w:rsidR="000C1190" w:rsidRPr="00E90D47" w:rsidRDefault="000C1190" w:rsidP="0018767C">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res_FIN_budgettransparency</w:t>
            </w:r>
          </w:p>
        </w:tc>
        <w:tc>
          <w:tcPr>
            <w:tcW w:w="56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5F4895B"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0,876</w:t>
            </w:r>
          </w:p>
        </w:tc>
        <w:tc>
          <w:tcPr>
            <w:tcW w:w="567" w:type="pct"/>
            <w:tcBorders>
              <w:top w:val="single" w:sz="4" w:space="0" w:color="auto"/>
              <w:left w:val="nil"/>
              <w:bottom w:val="single" w:sz="4" w:space="0" w:color="auto"/>
              <w:right w:val="single" w:sz="4" w:space="0" w:color="auto"/>
            </w:tcBorders>
            <w:shd w:val="clear" w:color="auto" w:fill="auto"/>
            <w:noWrap/>
            <w:vAlign w:val="center"/>
          </w:tcPr>
          <w:p w14:paraId="61461BAF" w14:textId="3698F65F"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p>
        </w:tc>
        <w:tc>
          <w:tcPr>
            <w:tcW w:w="575" w:type="pct"/>
            <w:tcBorders>
              <w:top w:val="single" w:sz="4" w:space="0" w:color="auto"/>
              <w:left w:val="nil"/>
              <w:bottom w:val="single" w:sz="4" w:space="0" w:color="auto"/>
              <w:right w:val="single" w:sz="4" w:space="0" w:color="auto"/>
            </w:tcBorders>
            <w:shd w:val="clear" w:color="auto" w:fill="auto"/>
            <w:noWrap/>
            <w:vAlign w:val="center"/>
          </w:tcPr>
          <w:p w14:paraId="59A0E82E" w14:textId="2530607F"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p>
        </w:tc>
        <w:tc>
          <w:tcPr>
            <w:tcW w:w="623" w:type="pct"/>
            <w:tcBorders>
              <w:top w:val="single" w:sz="4" w:space="0" w:color="auto"/>
              <w:left w:val="nil"/>
              <w:bottom w:val="single" w:sz="4" w:space="0" w:color="auto"/>
              <w:right w:val="single" w:sz="4" w:space="0" w:color="auto"/>
            </w:tcBorders>
            <w:shd w:val="clear" w:color="auto" w:fill="auto"/>
            <w:noWrap/>
            <w:vAlign w:val="center"/>
          </w:tcPr>
          <w:p w14:paraId="0CF8243A"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0,237</w:t>
            </w:r>
          </w:p>
        </w:tc>
        <w:tc>
          <w:tcPr>
            <w:tcW w:w="521" w:type="pct"/>
            <w:tcBorders>
              <w:top w:val="single" w:sz="4" w:space="0" w:color="auto"/>
              <w:left w:val="nil"/>
              <w:bottom w:val="single" w:sz="4" w:space="0" w:color="auto"/>
              <w:right w:val="single" w:sz="4" w:space="0" w:color="auto"/>
            </w:tcBorders>
            <w:shd w:val="clear" w:color="auto" w:fill="auto"/>
            <w:noWrap/>
            <w:vAlign w:val="center"/>
          </w:tcPr>
          <w:p w14:paraId="26926DAF"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0,857</w:t>
            </w:r>
          </w:p>
        </w:tc>
      </w:tr>
      <w:tr w:rsidR="00E90D47" w:rsidRPr="000C1190" w14:paraId="3721C302" w14:textId="77777777" w:rsidTr="00660037">
        <w:trPr>
          <w:trHeight w:val="283"/>
        </w:trPr>
        <w:tc>
          <w:tcPr>
            <w:tcW w:w="1231" w:type="pct"/>
            <w:tcBorders>
              <w:top w:val="nil"/>
              <w:left w:val="single" w:sz="4" w:space="0" w:color="auto"/>
              <w:bottom w:val="single" w:sz="4" w:space="0" w:color="auto"/>
              <w:right w:val="single" w:sz="4" w:space="0" w:color="auto"/>
            </w:tcBorders>
          </w:tcPr>
          <w:p w14:paraId="786694A5" w14:textId="77777777" w:rsidR="000C1190" w:rsidRPr="00E90D47" w:rsidRDefault="000C1190" w:rsidP="002F33D0">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Стратегия инновационного развития</w:t>
            </w:r>
          </w:p>
        </w:tc>
        <w:tc>
          <w:tcPr>
            <w:tcW w:w="918" w:type="pct"/>
            <w:tcBorders>
              <w:top w:val="nil"/>
              <w:left w:val="single" w:sz="4" w:space="0" w:color="auto"/>
              <w:bottom w:val="single" w:sz="4" w:space="0" w:color="auto"/>
              <w:right w:val="single" w:sz="4" w:space="0" w:color="auto"/>
            </w:tcBorders>
            <w:shd w:val="clear" w:color="auto" w:fill="auto"/>
            <w:noWrap/>
            <w:vAlign w:val="center"/>
          </w:tcPr>
          <w:p w14:paraId="126188F0" w14:textId="77777777" w:rsidR="000C1190" w:rsidRPr="00E90D47" w:rsidRDefault="000C1190" w:rsidP="0018767C">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res_MAN_innovationstrategy</w:t>
            </w:r>
          </w:p>
        </w:tc>
        <w:tc>
          <w:tcPr>
            <w:tcW w:w="565" w:type="pct"/>
            <w:tcBorders>
              <w:top w:val="nil"/>
              <w:left w:val="nil"/>
              <w:bottom w:val="single" w:sz="4" w:space="0" w:color="auto"/>
              <w:right w:val="single" w:sz="4" w:space="0" w:color="auto"/>
            </w:tcBorders>
            <w:shd w:val="clear" w:color="auto" w:fill="F2F2F2" w:themeFill="background1" w:themeFillShade="F2"/>
            <w:noWrap/>
            <w:vAlign w:val="center"/>
          </w:tcPr>
          <w:p w14:paraId="42CF1091"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0,872</w:t>
            </w:r>
          </w:p>
        </w:tc>
        <w:tc>
          <w:tcPr>
            <w:tcW w:w="567" w:type="pct"/>
            <w:tcBorders>
              <w:top w:val="nil"/>
              <w:left w:val="nil"/>
              <w:bottom w:val="single" w:sz="4" w:space="0" w:color="auto"/>
              <w:right w:val="single" w:sz="4" w:space="0" w:color="auto"/>
            </w:tcBorders>
            <w:shd w:val="clear" w:color="auto" w:fill="auto"/>
            <w:noWrap/>
            <w:vAlign w:val="center"/>
          </w:tcPr>
          <w:p w14:paraId="1CBB590E" w14:textId="4BF2B4A3"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p>
        </w:tc>
        <w:tc>
          <w:tcPr>
            <w:tcW w:w="575" w:type="pct"/>
            <w:tcBorders>
              <w:top w:val="nil"/>
              <w:left w:val="nil"/>
              <w:bottom w:val="single" w:sz="4" w:space="0" w:color="auto"/>
              <w:right w:val="single" w:sz="4" w:space="0" w:color="auto"/>
            </w:tcBorders>
            <w:shd w:val="clear" w:color="auto" w:fill="FFFFFF" w:themeFill="background1"/>
            <w:noWrap/>
            <w:vAlign w:val="center"/>
          </w:tcPr>
          <w:p w14:paraId="5A542169" w14:textId="3908BC83"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p>
        </w:tc>
        <w:tc>
          <w:tcPr>
            <w:tcW w:w="623" w:type="pct"/>
            <w:tcBorders>
              <w:top w:val="nil"/>
              <w:left w:val="nil"/>
              <w:bottom w:val="single" w:sz="4" w:space="0" w:color="auto"/>
              <w:right w:val="single" w:sz="4" w:space="0" w:color="auto"/>
            </w:tcBorders>
            <w:shd w:val="clear" w:color="auto" w:fill="auto"/>
            <w:noWrap/>
            <w:vAlign w:val="center"/>
          </w:tcPr>
          <w:p w14:paraId="6892A33E"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0,236</w:t>
            </w:r>
          </w:p>
        </w:tc>
        <w:tc>
          <w:tcPr>
            <w:tcW w:w="521" w:type="pct"/>
            <w:tcBorders>
              <w:top w:val="nil"/>
              <w:left w:val="nil"/>
              <w:bottom w:val="single" w:sz="4" w:space="0" w:color="auto"/>
              <w:right w:val="single" w:sz="4" w:space="0" w:color="auto"/>
            </w:tcBorders>
            <w:shd w:val="clear" w:color="auto" w:fill="auto"/>
            <w:noWrap/>
            <w:vAlign w:val="center"/>
          </w:tcPr>
          <w:p w14:paraId="5C8D6327"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0,883</w:t>
            </w:r>
          </w:p>
        </w:tc>
      </w:tr>
      <w:tr w:rsidR="00E90D47" w:rsidRPr="000C1190" w14:paraId="74B3A46B" w14:textId="77777777" w:rsidTr="00660037">
        <w:trPr>
          <w:trHeight w:val="283"/>
        </w:trPr>
        <w:tc>
          <w:tcPr>
            <w:tcW w:w="1231" w:type="pct"/>
            <w:tcBorders>
              <w:top w:val="nil"/>
              <w:left w:val="single" w:sz="4" w:space="0" w:color="auto"/>
              <w:bottom w:val="single" w:sz="4" w:space="0" w:color="auto"/>
              <w:right w:val="single" w:sz="4" w:space="0" w:color="auto"/>
            </w:tcBorders>
          </w:tcPr>
          <w:p w14:paraId="2542F686" w14:textId="77777777" w:rsidR="000C1190" w:rsidRPr="00E90D47" w:rsidRDefault="000C1190" w:rsidP="002F33D0">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Обучение и развитие персонала</w:t>
            </w:r>
          </w:p>
        </w:tc>
        <w:tc>
          <w:tcPr>
            <w:tcW w:w="918" w:type="pct"/>
            <w:tcBorders>
              <w:top w:val="nil"/>
              <w:left w:val="single" w:sz="4" w:space="0" w:color="auto"/>
              <w:bottom w:val="single" w:sz="4" w:space="0" w:color="auto"/>
              <w:right w:val="single" w:sz="4" w:space="0" w:color="auto"/>
            </w:tcBorders>
            <w:shd w:val="clear" w:color="auto" w:fill="auto"/>
            <w:noWrap/>
            <w:vAlign w:val="center"/>
          </w:tcPr>
          <w:p w14:paraId="14F84182" w14:textId="77777777" w:rsidR="000C1190" w:rsidRPr="00E90D47" w:rsidRDefault="000C1190" w:rsidP="0018767C">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res_MAN_training</w:t>
            </w:r>
          </w:p>
        </w:tc>
        <w:tc>
          <w:tcPr>
            <w:tcW w:w="565" w:type="pct"/>
            <w:tcBorders>
              <w:top w:val="nil"/>
              <w:left w:val="nil"/>
              <w:bottom w:val="single" w:sz="4" w:space="0" w:color="auto"/>
              <w:right w:val="single" w:sz="4" w:space="0" w:color="auto"/>
            </w:tcBorders>
            <w:shd w:val="clear" w:color="auto" w:fill="F2F2F2" w:themeFill="background1" w:themeFillShade="F2"/>
            <w:noWrap/>
            <w:vAlign w:val="center"/>
          </w:tcPr>
          <w:p w14:paraId="12F5CF01"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0,880</w:t>
            </w:r>
          </w:p>
        </w:tc>
        <w:tc>
          <w:tcPr>
            <w:tcW w:w="567" w:type="pct"/>
            <w:tcBorders>
              <w:top w:val="nil"/>
              <w:left w:val="nil"/>
              <w:bottom w:val="single" w:sz="4" w:space="0" w:color="auto"/>
              <w:right w:val="single" w:sz="4" w:space="0" w:color="auto"/>
            </w:tcBorders>
            <w:shd w:val="clear" w:color="auto" w:fill="auto"/>
            <w:noWrap/>
            <w:vAlign w:val="center"/>
          </w:tcPr>
          <w:p w14:paraId="7B13045E" w14:textId="1F34CBA1"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p>
        </w:tc>
        <w:tc>
          <w:tcPr>
            <w:tcW w:w="575" w:type="pct"/>
            <w:tcBorders>
              <w:top w:val="nil"/>
              <w:left w:val="nil"/>
              <w:bottom w:val="single" w:sz="4" w:space="0" w:color="auto"/>
              <w:right w:val="single" w:sz="4" w:space="0" w:color="auto"/>
            </w:tcBorders>
            <w:shd w:val="clear" w:color="auto" w:fill="FFFFFF" w:themeFill="background1"/>
            <w:noWrap/>
            <w:vAlign w:val="center"/>
          </w:tcPr>
          <w:p w14:paraId="239B9465" w14:textId="47749164"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p>
        </w:tc>
        <w:tc>
          <w:tcPr>
            <w:tcW w:w="623" w:type="pct"/>
            <w:tcBorders>
              <w:top w:val="nil"/>
              <w:left w:val="nil"/>
              <w:bottom w:val="single" w:sz="4" w:space="0" w:color="auto"/>
              <w:right w:val="single" w:sz="4" w:space="0" w:color="auto"/>
            </w:tcBorders>
            <w:shd w:val="clear" w:color="auto" w:fill="auto"/>
            <w:noWrap/>
            <w:vAlign w:val="center"/>
          </w:tcPr>
          <w:p w14:paraId="22989F1D"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0,223</w:t>
            </w:r>
          </w:p>
        </w:tc>
        <w:tc>
          <w:tcPr>
            <w:tcW w:w="521" w:type="pct"/>
            <w:tcBorders>
              <w:top w:val="nil"/>
              <w:left w:val="nil"/>
              <w:bottom w:val="single" w:sz="4" w:space="0" w:color="auto"/>
              <w:right w:val="single" w:sz="4" w:space="0" w:color="auto"/>
            </w:tcBorders>
            <w:shd w:val="clear" w:color="auto" w:fill="auto"/>
            <w:noWrap/>
            <w:vAlign w:val="center"/>
          </w:tcPr>
          <w:p w14:paraId="541CECC2"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0,924</w:t>
            </w:r>
          </w:p>
        </w:tc>
      </w:tr>
      <w:tr w:rsidR="00E90D47" w:rsidRPr="000C1190" w14:paraId="3F7FCA30" w14:textId="77777777" w:rsidTr="00660037">
        <w:trPr>
          <w:trHeight w:val="283"/>
        </w:trPr>
        <w:tc>
          <w:tcPr>
            <w:tcW w:w="1231" w:type="pct"/>
            <w:tcBorders>
              <w:top w:val="nil"/>
              <w:left w:val="single" w:sz="4" w:space="0" w:color="auto"/>
              <w:bottom w:val="single" w:sz="4" w:space="0" w:color="auto"/>
              <w:right w:val="single" w:sz="4" w:space="0" w:color="auto"/>
            </w:tcBorders>
          </w:tcPr>
          <w:p w14:paraId="2AB783D3" w14:textId="77777777" w:rsidR="000C1190" w:rsidRPr="00E90D47" w:rsidRDefault="000C1190" w:rsidP="002F33D0">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Организация НИОКР-программ</w:t>
            </w:r>
          </w:p>
        </w:tc>
        <w:tc>
          <w:tcPr>
            <w:tcW w:w="918" w:type="pct"/>
            <w:tcBorders>
              <w:top w:val="nil"/>
              <w:left w:val="single" w:sz="4" w:space="0" w:color="auto"/>
              <w:bottom w:val="single" w:sz="4" w:space="0" w:color="auto"/>
              <w:right w:val="single" w:sz="4" w:space="0" w:color="auto"/>
            </w:tcBorders>
            <w:shd w:val="clear" w:color="auto" w:fill="auto"/>
            <w:noWrap/>
            <w:vAlign w:val="center"/>
          </w:tcPr>
          <w:p w14:paraId="5D48FF4E" w14:textId="77777777" w:rsidR="000C1190" w:rsidRPr="00E90D47" w:rsidRDefault="000C1190" w:rsidP="0018767C">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res_INF_rndprograms</w:t>
            </w:r>
          </w:p>
        </w:tc>
        <w:tc>
          <w:tcPr>
            <w:tcW w:w="565" w:type="pct"/>
            <w:tcBorders>
              <w:top w:val="nil"/>
              <w:left w:val="nil"/>
              <w:bottom w:val="single" w:sz="4" w:space="0" w:color="auto"/>
              <w:right w:val="single" w:sz="4" w:space="0" w:color="auto"/>
            </w:tcBorders>
            <w:shd w:val="clear" w:color="auto" w:fill="F2F2F2" w:themeFill="background1" w:themeFillShade="F2"/>
            <w:noWrap/>
            <w:vAlign w:val="center"/>
          </w:tcPr>
          <w:p w14:paraId="54774261"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0,880</w:t>
            </w:r>
          </w:p>
        </w:tc>
        <w:tc>
          <w:tcPr>
            <w:tcW w:w="567" w:type="pct"/>
            <w:tcBorders>
              <w:top w:val="nil"/>
              <w:left w:val="nil"/>
              <w:bottom w:val="single" w:sz="4" w:space="0" w:color="auto"/>
              <w:right w:val="single" w:sz="4" w:space="0" w:color="auto"/>
            </w:tcBorders>
            <w:shd w:val="clear" w:color="auto" w:fill="auto"/>
            <w:noWrap/>
            <w:vAlign w:val="center"/>
          </w:tcPr>
          <w:p w14:paraId="7E3A646B" w14:textId="5DFA821E"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p>
        </w:tc>
        <w:tc>
          <w:tcPr>
            <w:tcW w:w="575" w:type="pct"/>
            <w:tcBorders>
              <w:top w:val="nil"/>
              <w:left w:val="nil"/>
              <w:bottom w:val="single" w:sz="4" w:space="0" w:color="auto"/>
              <w:right w:val="single" w:sz="4" w:space="0" w:color="auto"/>
            </w:tcBorders>
            <w:shd w:val="clear" w:color="auto" w:fill="FFFFFF" w:themeFill="background1"/>
            <w:noWrap/>
            <w:vAlign w:val="center"/>
          </w:tcPr>
          <w:p w14:paraId="212B4D44" w14:textId="6E5E9C1A"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p>
        </w:tc>
        <w:tc>
          <w:tcPr>
            <w:tcW w:w="623" w:type="pct"/>
            <w:tcBorders>
              <w:top w:val="nil"/>
              <w:left w:val="nil"/>
              <w:bottom w:val="single" w:sz="4" w:space="0" w:color="auto"/>
              <w:right w:val="single" w:sz="4" w:space="0" w:color="auto"/>
            </w:tcBorders>
            <w:shd w:val="clear" w:color="auto" w:fill="auto"/>
            <w:noWrap/>
            <w:vAlign w:val="center"/>
          </w:tcPr>
          <w:p w14:paraId="153FEEDD"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0,230</w:t>
            </w:r>
          </w:p>
        </w:tc>
        <w:tc>
          <w:tcPr>
            <w:tcW w:w="521" w:type="pct"/>
            <w:tcBorders>
              <w:top w:val="nil"/>
              <w:left w:val="nil"/>
              <w:bottom w:val="single" w:sz="4" w:space="0" w:color="auto"/>
              <w:right w:val="single" w:sz="4" w:space="0" w:color="auto"/>
            </w:tcBorders>
            <w:shd w:val="clear" w:color="auto" w:fill="auto"/>
            <w:noWrap/>
            <w:vAlign w:val="center"/>
          </w:tcPr>
          <w:p w14:paraId="50BB60DC"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0,907</w:t>
            </w:r>
          </w:p>
        </w:tc>
      </w:tr>
      <w:tr w:rsidR="00E90D47" w:rsidRPr="000C1190" w14:paraId="0B709A07" w14:textId="77777777" w:rsidTr="00660037">
        <w:trPr>
          <w:trHeight w:val="283"/>
        </w:trPr>
        <w:tc>
          <w:tcPr>
            <w:tcW w:w="1231" w:type="pct"/>
            <w:tcBorders>
              <w:top w:val="nil"/>
              <w:left w:val="single" w:sz="4" w:space="0" w:color="auto"/>
              <w:bottom w:val="single" w:sz="4" w:space="0" w:color="auto"/>
              <w:right w:val="single" w:sz="4" w:space="0" w:color="auto"/>
            </w:tcBorders>
          </w:tcPr>
          <w:p w14:paraId="247C6D5A" w14:textId="77777777" w:rsidR="000C1190" w:rsidRPr="00E90D47" w:rsidRDefault="000C1190" w:rsidP="002F33D0">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Наличие и развитие лабораторий и инновационной инфраструктуры</w:t>
            </w:r>
          </w:p>
        </w:tc>
        <w:tc>
          <w:tcPr>
            <w:tcW w:w="918" w:type="pct"/>
            <w:tcBorders>
              <w:top w:val="nil"/>
              <w:left w:val="single" w:sz="4" w:space="0" w:color="auto"/>
              <w:bottom w:val="single" w:sz="4" w:space="0" w:color="auto"/>
              <w:right w:val="single" w:sz="4" w:space="0" w:color="auto"/>
            </w:tcBorders>
            <w:shd w:val="clear" w:color="auto" w:fill="auto"/>
            <w:noWrap/>
            <w:vAlign w:val="center"/>
          </w:tcPr>
          <w:p w14:paraId="547BEE56" w14:textId="77777777" w:rsidR="000C1190" w:rsidRPr="00E90D47" w:rsidRDefault="000C1190" w:rsidP="0018767C">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res_INF_laboratories</w:t>
            </w:r>
          </w:p>
        </w:tc>
        <w:tc>
          <w:tcPr>
            <w:tcW w:w="565" w:type="pct"/>
            <w:tcBorders>
              <w:top w:val="nil"/>
              <w:left w:val="nil"/>
              <w:bottom w:val="single" w:sz="4" w:space="0" w:color="auto"/>
              <w:right w:val="single" w:sz="4" w:space="0" w:color="auto"/>
            </w:tcBorders>
            <w:shd w:val="clear" w:color="auto" w:fill="F2F2F2" w:themeFill="background1" w:themeFillShade="F2"/>
            <w:noWrap/>
            <w:vAlign w:val="center"/>
          </w:tcPr>
          <w:p w14:paraId="31732E83"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0,861</w:t>
            </w:r>
          </w:p>
        </w:tc>
        <w:tc>
          <w:tcPr>
            <w:tcW w:w="567" w:type="pct"/>
            <w:tcBorders>
              <w:top w:val="nil"/>
              <w:left w:val="nil"/>
              <w:bottom w:val="single" w:sz="4" w:space="0" w:color="auto"/>
              <w:right w:val="single" w:sz="4" w:space="0" w:color="auto"/>
            </w:tcBorders>
            <w:shd w:val="clear" w:color="auto" w:fill="auto"/>
            <w:noWrap/>
            <w:vAlign w:val="center"/>
          </w:tcPr>
          <w:p w14:paraId="2ACC2631" w14:textId="3E977E2B"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p>
        </w:tc>
        <w:tc>
          <w:tcPr>
            <w:tcW w:w="575" w:type="pct"/>
            <w:tcBorders>
              <w:top w:val="nil"/>
              <w:left w:val="nil"/>
              <w:bottom w:val="single" w:sz="4" w:space="0" w:color="auto"/>
              <w:right w:val="single" w:sz="4" w:space="0" w:color="auto"/>
            </w:tcBorders>
            <w:shd w:val="clear" w:color="auto" w:fill="FFFFFF" w:themeFill="background1"/>
            <w:noWrap/>
            <w:vAlign w:val="center"/>
          </w:tcPr>
          <w:p w14:paraId="74E1EE07" w14:textId="54D000AD"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p>
        </w:tc>
        <w:tc>
          <w:tcPr>
            <w:tcW w:w="623" w:type="pct"/>
            <w:tcBorders>
              <w:top w:val="nil"/>
              <w:left w:val="nil"/>
              <w:bottom w:val="single" w:sz="4" w:space="0" w:color="auto"/>
              <w:right w:val="single" w:sz="4" w:space="0" w:color="auto"/>
            </w:tcBorders>
            <w:shd w:val="clear" w:color="auto" w:fill="auto"/>
            <w:noWrap/>
            <w:vAlign w:val="center"/>
          </w:tcPr>
          <w:p w14:paraId="1A7586A5"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0,255</w:t>
            </w:r>
          </w:p>
        </w:tc>
        <w:tc>
          <w:tcPr>
            <w:tcW w:w="521" w:type="pct"/>
            <w:tcBorders>
              <w:top w:val="nil"/>
              <w:left w:val="nil"/>
              <w:bottom w:val="single" w:sz="4" w:space="0" w:color="auto"/>
              <w:right w:val="single" w:sz="4" w:space="0" w:color="auto"/>
            </w:tcBorders>
            <w:shd w:val="clear" w:color="auto" w:fill="auto"/>
            <w:noWrap/>
            <w:vAlign w:val="center"/>
          </w:tcPr>
          <w:p w14:paraId="29BB2469"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0,907</w:t>
            </w:r>
          </w:p>
        </w:tc>
      </w:tr>
      <w:tr w:rsidR="00E90D47" w:rsidRPr="000C1190" w14:paraId="0D46D04A" w14:textId="77777777" w:rsidTr="00660037">
        <w:trPr>
          <w:trHeight w:val="283"/>
        </w:trPr>
        <w:tc>
          <w:tcPr>
            <w:tcW w:w="1231" w:type="pct"/>
            <w:tcBorders>
              <w:top w:val="nil"/>
              <w:left w:val="single" w:sz="4" w:space="0" w:color="auto"/>
              <w:bottom w:val="single" w:sz="4" w:space="0" w:color="auto"/>
              <w:right w:val="single" w:sz="4" w:space="0" w:color="auto"/>
            </w:tcBorders>
          </w:tcPr>
          <w:p w14:paraId="79D1B5C3" w14:textId="77777777" w:rsidR="000C1190" w:rsidRPr="00E90D47" w:rsidRDefault="000C1190" w:rsidP="002F33D0">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Управление данными и аналитика</w:t>
            </w:r>
          </w:p>
        </w:tc>
        <w:tc>
          <w:tcPr>
            <w:tcW w:w="918" w:type="pct"/>
            <w:tcBorders>
              <w:top w:val="nil"/>
              <w:left w:val="single" w:sz="4" w:space="0" w:color="auto"/>
              <w:bottom w:val="single" w:sz="4" w:space="0" w:color="auto"/>
              <w:right w:val="single" w:sz="4" w:space="0" w:color="auto"/>
            </w:tcBorders>
            <w:shd w:val="clear" w:color="auto" w:fill="auto"/>
            <w:noWrap/>
            <w:vAlign w:val="center"/>
          </w:tcPr>
          <w:p w14:paraId="7D36F505" w14:textId="77777777" w:rsidR="000C1190" w:rsidRPr="00E90D47" w:rsidRDefault="000C1190" w:rsidP="0018767C">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res_DIG_datamanagement</w:t>
            </w:r>
          </w:p>
        </w:tc>
        <w:tc>
          <w:tcPr>
            <w:tcW w:w="565" w:type="pct"/>
            <w:tcBorders>
              <w:top w:val="nil"/>
              <w:left w:val="nil"/>
              <w:bottom w:val="single" w:sz="4" w:space="0" w:color="auto"/>
              <w:right w:val="single" w:sz="4" w:space="0" w:color="auto"/>
            </w:tcBorders>
            <w:shd w:val="clear" w:color="auto" w:fill="F2F2F2" w:themeFill="background1" w:themeFillShade="F2"/>
            <w:noWrap/>
            <w:vAlign w:val="center"/>
          </w:tcPr>
          <w:p w14:paraId="4062B255"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0,889</w:t>
            </w:r>
          </w:p>
        </w:tc>
        <w:tc>
          <w:tcPr>
            <w:tcW w:w="567" w:type="pct"/>
            <w:tcBorders>
              <w:top w:val="nil"/>
              <w:left w:val="nil"/>
              <w:bottom w:val="single" w:sz="4" w:space="0" w:color="auto"/>
              <w:right w:val="single" w:sz="4" w:space="0" w:color="auto"/>
            </w:tcBorders>
            <w:shd w:val="clear" w:color="auto" w:fill="auto"/>
            <w:noWrap/>
            <w:vAlign w:val="center"/>
          </w:tcPr>
          <w:p w14:paraId="256047EA" w14:textId="4AB6CA82"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p>
        </w:tc>
        <w:tc>
          <w:tcPr>
            <w:tcW w:w="575" w:type="pct"/>
            <w:tcBorders>
              <w:top w:val="nil"/>
              <w:left w:val="nil"/>
              <w:bottom w:val="single" w:sz="4" w:space="0" w:color="auto"/>
              <w:right w:val="single" w:sz="4" w:space="0" w:color="auto"/>
            </w:tcBorders>
            <w:shd w:val="clear" w:color="auto" w:fill="FFFFFF" w:themeFill="background1"/>
            <w:noWrap/>
            <w:vAlign w:val="center"/>
          </w:tcPr>
          <w:p w14:paraId="79B39819" w14:textId="6183B903"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p>
        </w:tc>
        <w:tc>
          <w:tcPr>
            <w:tcW w:w="623" w:type="pct"/>
            <w:tcBorders>
              <w:top w:val="nil"/>
              <w:left w:val="nil"/>
              <w:bottom w:val="single" w:sz="4" w:space="0" w:color="auto"/>
              <w:right w:val="single" w:sz="4" w:space="0" w:color="auto"/>
            </w:tcBorders>
            <w:shd w:val="clear" w:color="auto" w:fill="auto"/>
            <w:noWrap/>
            <w:vAlign w:val="center"/>
          </w:tcPr>
          <w:p w14:paraId="79DEEAD8"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0,210</w:t>
            </w:r>
          </w:p>
        </w:tc>
        <w:tc>
          <w:tcPr>
            <w:tcW w:w="521" w:type="pct"/>
            <w:tcBorders>
              <w:top w:val="nil"/>
              <w:left w:val="nil"/>
              <w:bottom w:val="single" w:sz="4" w:space="0" w:color="auto"/>
              <w:right w:val="single" w:sz="4" w:space="0" w:color="auto"/>
            </w:tcBorders>
            <w:shd w:val="clear" w:color="auto" w:fill="auto"/>
            <w:noWrap/>
            <w:vAlign w:val="center"/>
          </w:tcPr>
          <w:p w14:paraId="77E452BB"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0,816</w:t>
            </w:r>
          </w:p>
        </w:tc>
      </w:tr>
      <w:tr w:rsidR="00E90D47" w:rsidRPr="000C1190" w14:paraId="1C25AAF5" w14:textId="77777777" w:rsidTr="00660037">
        <w:trPr>
          <w:trHeight w:val="283"/>
        </w:trPr>
        <w:tc>
          <w:tcPr>
            <w:tcW w:w="1231" w:type="pct"/>
            <w:tcBorders>
              <w:top w:val="nil"/>
              <w:left w:val="single" w:sz="4" w:space="0" w:color="auto"/>
              <w:bottom w:val="single" w:sz="4" w:space="0" w:color="auto"/>
              <w:right w:val="single" w:sz="4" w:space="0" w:color="auto"/>
            </w:tcBorders>
          </w:tcPr>
          <w:p w14:paraId="70B16033" w14:textId="77777777" w:rsidR="000C1190" w:rsidRPr="00E90D47" w:rsidRDefault="000C1190" w:rsidP="002F33D0">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Программное обеспечение для моделирования</w:t>
            </w:r>
          </w:p>
        </w:tc>
        <w:tc>
          <w:tcPr>
            <w:tcW w:w="918" w:type="pct"/>
            <w:tcBorders>
              <w:top w:val="nil"/>
              <w:left w:val="single" w:sz="4" w:space="0" w:color="auto"/>
              <w:bottom w:val="single" w:sz="4" w:space="0" w:color="auto"/>
              <w:right w:val="single" w:sz="4" w:space="0" w:color="auto"/>
            </w:tcBorders>
            <w:shd w:val="clear" w:color="auto" w:fill="auto"/>
            <w:noWrap/>
            <w:vAlign w:val="center"/>
          </w:tcPr>
          <w:p w14:paraId="5FC48301" w14:textId="77777777" w:rsidR="000C1190" w:rsidRPr="00E90D47" w:rsidRDefault="000C1190" w:rsidP="0018767C">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res_DIG_modelingsoftware</w:t>
            </w:r>
          </w:p>
        </w:tc>
        <w:tc>
          <w:tcPr>
            <w:tcW w:w="565" w:type="pct"/>
            <w:tcBorders>
              <w:top w:val="nil"/>
              <w:left w:val="nil"/>
              <w:bottom w:val="single" w:sz="4" w:space="0" w:color="auto"/>
              <w:right w:val="single" w:sz="4" w:space="0" w:color="auto"/>
            </w:tcBorders>
            <w:shd w:val="clear" w:color="auto" w:fill="F2F2F2" w:themeFill="background1" w:themeFillShade="F2"/>
            <w:noWrap/>
            <w:vAlign w:val="center"/>
          </w:tcPr>
          <w:p w14:paraId="10E2AE95"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0,849</w:t>
            </w:r>
          </w:p>
        </w:tc>
        <w:tc>
          <w:tcPr>
            <w:tcW w:w="567" w:type="pct"/>
            <w:tcBorders>
              <w:top w:val="nil"/>
              <w:left w:val="nil"/>
              <w:bottom w:val="single" w:sz="4" w:space="0" w:color="auto"/>
              <w:right w:val="single" w:sz="4" w:space="0" w:color="auto"/>
            </w:tcBorders>
            <w:shd w:val="clear" w:color="auto" w:fill="FFFFFF" w:themeFill="background1"/>
            <w:noWrap/>
            <w:vAlign w:val="center"/>
          </w:tcPr>
          <w:p w14:paraId="63504F36" w14:textId="155D957D"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p>
        </w:tc>
        <w:tc>
          <w:tcPr>
            <w:tcW w:w="575" w:type="pct"/>
            <w:tcBorders>
              <w:top w:val="nil"/>
              <w:left w:val="nil"/>
              <w:bottom w:val="single" w:sz="4" w:space="0" w:color="auto"/>
              <w:right w:val="single" w:sz="4" w:space="0" w:color="auto"/>
            </w:tcBorders>
            <w:shd w:val="clear" w:color="auto" w:fill="auto"/>
            <w:noWrap/>
            <w:vAlign w:val="center"/>
          </w:tcPr>
          <w:p w14:paraId="1AFBB697" w14:textId="423C9761"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p>
        </w:tc>
        <w:tc>
          <w:tcPr>
            <w:tcW w:w="623" w:type="pct"/>
            <w:tcBorders>
              <w:top w:val="nil"/>
              <w:left w:val="nil"/>
              <w:bottom w:val="single" w:sz="4" w:space="0" w:color="auto"/>
              <w:right w:val="single" w:sz="4" w:space="0" w:color="auto"/>
            </w:tcBorders>
            <w:shd w:val="clear" w:color="auto" w:fill="auto"/>
            <w:noWrap/>
            <w:vAlign w:val="center"/>
          </w:tcPr>
          <w:p w14:paraId="45988EE1"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0,256</w:t>
            </w:r>
          </w:p>
        </w:tc>
        <w:tc>
          <w:tcPr>
            <w:tcW w:w="521" w:type="pct"/>
            <w:tcBorders>
              <w:top w:val="nil"/>
              <w:left w:val="nil"/>
              <w:bottom w:val="single" w:sz="4" w:space="0" w:color="auto"/>
              <w:right w:val="single" w:sz="4" w:space="0" w:color="auto"/>
            </w:tcBorders>
            <w:shd w:val="clear" w:color="auto" w:fill="auto"/>
            <w:noWrap/>
            <w:vAlign w:val="center"/>
          </w:tcPr>
          <w:p w14:paraId="08AE2748"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0,914</w:t>
            </w:r>
          </w:p>
        </w:tc>
      </w:tr>
      <w:tr w:rsidR="00E90D47" w:rsidRPr="000C1190" w14:paraId="1994560B" w14:textId="77777777" w:rsidTr="00660037">
        <w:trPr>
          <w:trHeight w:val="283"/>
        </w:trPr>
        <w:tc>
          <w:tcPr>
            <w:tcW w:w="1231" w:type="pct"/>
            <w:tcBorders>
              <w:top w:val="nil"/>
              <w:left w:val="single" w:sz="4" w:space="0" w:color="auto"/>
              <w:bottom w:val="single" w:sz="4" w:space="0" w:color="auto"/>
              <w:right w:val="single" w:sz="4" w:space="0" w:color="auto"/>
            </w:tcBorders>
          </w:tcPr>
          <w:p w14:paraId="6C1C3C83" w14:textId="77777777" w:rsidR="000C1190" w:rsidRPr="00E90D47" w:rsidRDefault="000C1190" w:rsidP="002F33D0">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Источники финансирования инноваций</w:t>
            </w:r>
          </w:p>
        </w:tc>
        <w:tc>
          <w:tcPr>
            <w:tcW w:w="918" w:type="pct"/>
            <w:tcBorders>
              <w:top w:val="nil"/>
              <w:left w:val="single" w:sz="4" w:space="0" w:color="auto"/>
              <w:bottom w:val="single" w:sz="4" w:space="0" w:color="auto"/>
              <w:right w:val="single" w:sz="4" w:space="0" w:color="auto"/>
            </w:tcBorders>
            <w:shd w:val="clear" w:color="auto" w:fill="auto"/>
            <w:noWrap/>
            <w:vAlign w:val="center"/>
          </w:tcPr>
          <w:p w14:paraId="124A60AF" w14:textId="77777777" w:rsidR="000C1190" w:rsidRPr="00E90D47" w:rsidRDefault="000C1190" w:rsidP="0018767C">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res_FIN_financesources</w:t>
            </w:r>
          </w:p>
        </w:tc>
        <w:tc>
          <w:tcPr>
            <w:tcW w:w="565" w:type="pct"/>
            <w:tcBorders>
              <w:top w:val="nil"/>
              <w:left w:val="nil"/>
              <w:bottom w:val="single" w:sz="4" w:space="0" w:color="auto"/>
              <w:right w:val="single" w:sz="4" w:space="0" w:color="auto"/>
            </w:tcBorders>
            <w:shd w:val="clear" w:color="auto" w:fill="auto"/>
            <w:noWrap/>
            <w:vAlign w:val="center"/>
          </w:tcPr>
          <w:p w14:paraId="4A6BCD0D" w14:textId="29883C35"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p>
        </w:tc>
        <w:tc>
          <w:tcPr>
            <w:tcW w:w="567" w:type="pct"/>
            <w:tcBorders>
              <w:top w:val="nil"/>
              <w:left w:val="nil"/>
              <w:bottom w:val="single" w:sz="4" w:space="0" w:color="auto"/>
              <w:right w:val="single" w:sz="4" w:space="0" w:color="auto"/>
            </w:tcBorders>
            <w:shd w:val="clear" w:color="auto" w:fill="F2F2F2" w:themeFill="background1" w:themeFillShade="F2"/>
            <w:noWrap/>
            <w:vAlign w:val="center"/>
          </w:tcPr>
          <w:p w14:paraId="24A63D66"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0,841</w:t>
            </w:r>
          </w:p>
        </w:tc>
        <w:tc>
          <w:tcPr>
            <w:tcW w:w="575" w:type="pct"/>
            <w:tcBorders>
              <w:top w:val="nil"/>
              <w:left w:val="nil"/>
              <w:bottom w:val="single" w:sz="4" w:space="0" w:color="auto"/>
              <w:right w:val="single" w:sz="4" w:space="0" w:color="auto"/>
            </w:tcBorders>
            <w:shd w:val="clear" w:color="auto" w:fill="auto"/>
            <w:noWrap/>
            <w:vAlign w:val="center"/>
          </w:tcPr>
          <w:p w14:paraId="188E2515" w14:textId="6A7A7A2B"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p>
        </w:tc>
        <w:tc>
          <w:tcPr>
            <w:tcW w:w="623" w:type="pct"/>
            <w:tcBorders>
              <w:top w:val="nil"/>
              <w:left w:val="nil"/>
              <w:bottom w:val="single" w:sz="4" w:space="0" w:color="auto"/>
              <w:right w:val="single" w:sz="4" w:space="0" w:color="auto"/>
            </w:tcBorders>
            <w:shd w:val="clear" w:color="auto" w:fill="auto"/>
            <w:noWrap/>
            <w:vAlign w:val="center"/>
          </w:tcPr>
          <w:p w14:paraId="203164DB"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0,293</w:t>
            </w:r>
          </w:p>
        </w:tc>
        <w:tc>
          <w:tcPr>
            <w:tcW w:w="521" w:type="pct"/>
            <w:tcBorders>
              <w:top w:val="nil"/>
              <w:left w:val="nil"/>
              <w:bottom w:val="single" w:sz="4" w:space="0" w:color="auto"/>
              <w:right w:val="single" w:sz="4" w:space="0" w:color="auto"/>
            </w:tcBorders>
            <w:shd w:val="clear" w:color="auto" w:fill="auto"/>
            <w:noWrap/>
            <w:vAlign w:val="center"/>
          </w:tcPr>
          <w:p w14:paraId="21F6F150"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0,836</w:t>
            </w:r>
          </w:p>
        </w:tc>
      </w:tr>
      <w:tr w:rsidR="00E90D47" w:rsidRPr="000C1190" w14:paraId="51D5701A" w14:textId="77777777" w:rsidTr="00660037">
        <w:trPr>
          <w:trHeight w:val="283"/>
        </w:trPr>
        <w:tc>
          <w:tcPr>
            <w:tcW w:w="1231" w:type="pct"/>
            <w:tcBorders>
              <w:top w:val="nil"/>
              <w:left w:val="single" w:sz="4" w:space="0" w:color="auto"/>
              <w:bottom w:val="single" w:sz="4" w:space="0" w:color="auto"/>
              <w:right w:val="single" w:sz="4" w:space="0" w:color="auto"/>
            </w:tcBorders>
          </w:tcPr>
          <w:p w14:paraId="6AB59E83" w14:textId="77777777" w:rsidR="000C1190" w:rsidRPr="00E90D47" w:rsidRDefault="000C1190" w:rsidP="002F33D0">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Участие в грантовых программах</w:t>
            </w:r>
          </w:p>
        </w:tc>
        <w:tc>
          <w:tcPr>
            <w:tcW w:w="918" w:type="pct"/>
            <w:tcBorders>
              <w:top w:val="nil"/>
              <w:left w:val="single" w:sz="4" w:space="0" w:color="auto"/>
              <w:bottom w:val="single" w:sz="4" w:space="0" w:color="auto"/>
              <w:right w:val="single" w:sz="4" w:space="0" w:color="auto"/>
            </w:tcBorders>
            <w:shd w:val="clear" w:color="auto" w:fill="auto"/>
            <w:noWrap/>
            <w:vAlign w:val="center"/>
          </w:tcPr>
          <w:p w14:paraId="548F0279" w14:textId="77777777" w:rsidR="000C1190" w:rsidRPr="00E90D47" w:rsidRDefault="000C1190" w:rsidP="0018767C">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res_FIN_grants</w:t>
            </w:r>
          </w:p>
        </w:tc>
        <w:tc>
          <w:tcPr>
            <w:tcW w:w="565" w:type="pct"/>
            <w:tcBorders>
              <w:top w:val="nil"/>
              <w:left w:val="nil"/>
              <w:bottom w:val="single" w:sz="4" w:space="0" w:color="auto"/>
              <w:right w:val="single" w:sz="4" w:space="0" w:color="auto"/>
            </w:tcBorders>
            <w:shd w:val="clear" w:color="auto" w:fill="auto"/>
            <w:noWrap/>
            <w:vAlign w:val="center"/>
          </w:tcPr>
          <w:p w14:paraId="0D5EB19A" w14:textId="77ADB74F"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p>
        </w:tc>
        <w:tc>
          <w:tcPr>
            <w:tcW w:w="567" w:type="pct"/>
            <w:tcBorders>
              <w:top w:val="nil"/>
              <w:left w:val="nil"/>
              <w:bottom w:val="single" w:sz="4" w:space="0" w:color="auto"/>
              <w:right w:val="single" w:sz="4" w:space="0" w:color="auto"/>
            </w:tcBorders>
            <w:shd w:val="clear" w:color="auto" w:fill="F2F2F2" w:themeFill="background1" w:themeFillShade="F2"/>
            <w:noWrap/>
            <w:vAlign w:val="center"/>
          </w:tcPr>
          <w:p w14:paraId="04D02C07"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0,874</w:t>
            </w:r>
          </w:p>
        </w:tc>
        <w:tc>
          <w:tcPr>
            <w:tcW w:w="575" w:type="pct"/>
            <w:tcBorders>
              <w:top w:val="nil"/>
              <w:left w:val="nil"/>
              <w:bottom w:val="single" w:sz="4" w:space="0" w:color="auto"/>
              <w:right w:val="single" w:sz="4" w:space="0" w:color="auto"/>
            </w:tcBorders>
            <w:shd w:val="clear" w:color="auto" w:fill="auto"/>
            <w:noWrap/>
            <w:vAlign w:val="center"/>
          </w:tcPr>
          <w:p w14:paraId="4135BC2B" w14:textId="5E5E3CEC"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p>
        </w:tc>
        <w:tc>
          <w:tcPr>
            <w:tcW w:w="623" w:type="pct"/>
            <w:tcBorders>
              <w:top w:val="nil"/>
              <w:left w:val="nil"/>
              <w:bottom w:val="single" w:sz="4" w:space="0" w:color="auto"/>
              <w:right w:val="single" w:sz="4" w:space="0" w:color="auto"/>
            </w:tcBorders>
            <w:shd w:val="clear" w:color="auto" w:fill="auto"/>
            <w:noWrap/>
            <w:vAlign w:val="center"/>
          </w:tcPr>
          <w:p w14:paraId="45809D3B"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0,236</w:t>
            </w:r>
          </w:p>
        </w:tc>
        <w:tc>
          <w:tcPr>
            <w:tcW w:w="521" w:type="pct"/>
            <w:tcBorders>
              <w:top w:val="nil"/>
              <w:left w:val="nil"/>
              <w:bottom w:val="single" w:sz="4" w:space="0" w:color="auto"/>
              <w:right w:val="single" w:sz="4" w:space="0" w:color="auto"/>
            </w:tcBorders>
            <w:shd w:val="clear" w:color="auto" w:fill="auto"/>
            <w:noWrap/>
            <w:vAlign w:val="center"/>
          </w:tcPr>
          <w:p w14:paraId="721CB194" w14:textId="77777777" w:rsidR="000C1190" w:rsidRPr="00E90D47" w:rsidRDefault="000C1190" w:rsidP="002F33D0">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0,839</w:t>
            </w:r>
          </w:p>
        </w:tc>
      </w:tr>
    </w:tbl>
    <w:p w14:paraId="704F73D5" w14:textId="7AE0FB64" w:rsidR="005B1FAD" w:rsidRPr="005B1FAD" w:rsidRDefault="005B1FAD" w:rsidP="005B1FAD">
      <w:pPr>
        <w:rPr>
          <w:rFonts w:ascii="Times New Roman" w:hAnsi="Times New Roman" w:cs="Times New Roman"/>
          <w:sz w:val="28"/>
          <w:szCs w:val="28"/>
          <w:lang w:val="kk-KZ"/>
        </w:rPr>
      </w:pPr>
      <w:r w:rsidRPr="005B1FAD">
        <w:rPr>
          <w:rFonts w:ascii="Times New Roman" w:hAnsi="Times New Roman" w:cs="Times New Roman"/>
          <w:sz w:val="28"/>
          <w:szCs w:val="28"/>
          <w:lang w:val="kk-KZ"/>
        </w:rPr>
        <w:lastRenderedPageBreak/>
        <w:t>Продолжение таблицы 9</w:t>
      </w:r>
    </w:p>
    <w:tbl>
      <w:tblPr>
        <w:tblW w:w="5000" w:type="pct"/>
        <w:tblLayout w:type="fixed"/>
        <w:tblLook w:val="04A0" w:firstRow="1" w:lastRow="0" w:firstColumn="1" w:lastColumn="0" w:noHBand="0" w:noVBand="1"/>
      </w:tblPr>
      <w:tblGrid>
        <w:gridCol w:w="2300"/>
        <w:gridCol w:w="1714"/>
        <w:gridCol w:w="1054"/>
        <w:gridCol w:w="1060"/>
        <w:gridCol w:w="1075"/>
        <w:gridCol w:w="1168"/>
        <w:gridCol w:w="974"/>
      </w:tblGrid>
      <w:tr w:rsidR="005B1FAD" w:rsidRPr="005B1FAD" w14:paraId="602E71FC" w14:textId="77777777" w:rsidTr="00660037">
        <w:trPr>
          <w:trHeight w:val="283"/>
        </w:trPr>
        <w:tc>
          <w:tcPr>
            <w:tcW w:w="1231" w:type="pct"/>
            <w:tcBorders>
              <w:top w:val="single" w:sz="4" w:space="0" w:color="auto"/>
              <w:left w:val="single" w:sz="4" w:space="0" w:color="auto"/>
              <w:bottom w:val="single" w:sz="4" w:space="0" w:color="auto"/>
              <w:right w:val="single" w:sz="4" w:space="0" w:color="auto"/>
            </w:tcBorders>
          </w:tcPr>
          <w:p w14:paraId="147FCF8C" w14:textId="77777777" w:rsidR="005B1FAD" w:rsidRPr="005B1FAD" w:rsidRDefault="005B1FAD" w:rsidP="005B1FAD">
            <w:pPr>
              <w:spacing w:after="0" w:line="240" w:lineRule="auto"/>
              <w:jc w:val="center"/>
              <w:rPr>
                <w:rFonts w:ascii="Times New Roman" w:eastAsia="Times New Roman" w:hAnsi="Times New Roman" w:cs="Times New Roman"/>
                <w:color w:val="000000"/>
                <w:sz w:val="24"/>
                <w:szCs w:val="24"/>
                <w:lang w:eastAsia="ru-RU"/>
              </w:rPr>
            </w:pPr>
            <w:r w:rsidRPr="005B1FAD">
              <w:rPr>
                <w:rFonts w:ascii="Times New Roman" w:eastAsia="Times New Roman" w:hAnsi="Times New Roman" w:cs="Times New Roman"/>
                <w:color w:val="000000"/>
                <w:sz w:val="24"/>
                <w:szCs w:val="24"/>
                <w:lang w:eastAsia="ru-RU"/>
              </w:rPr>
              <w:t>1</w:t>
            </w:r>
          </w:p>
        </w:tc>
        <w:tc>
          <w:tcPr>
            <w:tcW w:w="9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49E563" w14:textId="77777777" w:rsidR="005B1FAD" w:rsidRPr="005B1FAD" w:rsidRDefault="005B1FAD" w:rsidP="005B1FAD">
            <w:pPr>
              <w:spacing w:after="0" w:line="240" w:lineRule="auto"/>
              <w:jc w:val="center"/>
              <w:rPr>
                <w:rFonts w:ascii="Times New Roman" w:eastAsia="Times New Roman" w:hAnsi="Times New Roman" w:cs="Times New Roman"/>
                <w:color w:val="000000"/>
                <w:sz w:val="24"/>
                <w:szCs w:val="24"/>
                <w:lang w:eastAsia="ru-RU"/>
              </w:rPr>
            </w:pPr>
            <w:r w:rsidRPr="005B1FAD">
              <w:rPr>
                <w:rFonts w:ascii="Times New Roman" w:eastAsia="Times New Roman" w:hAnsi="Times New Roman" w:cs="Times New Roman"/>
                <w:color w:val="000000"/>
                <w:sz w:val="24"/>
                <w:szCs w:val="24"/>
                <w:lang w:eastAsia="ru-RU"/>
              </w:rPr>
              <w:t>2</w:t>
            </w:r>
          </w:p>
        </w:tc>
        <w:tc>
          <w:tcPr>
            <w:tcW w:w="564" w:type="pct"/>
            <w:tcBorders>
              <w:top w:val="single" w:sz="4" w:space="0" w:color="auto"/>
              <w:left w:val="nil"/>
              <w:bottom w:val="single" w:sz="4" w:space="0" w:color="auto"/>
              <w:right w:val="single" w:sz="4" w:space="0" w:color="auto"/>
            </w:tcBorders>
            <w:shd w:val="clear" w:color="auto" w:fill="FFFFFF" w:themeFill="background1"/>
            <w:noWrap/>
            <w:vAlign w:val="center"/>
          </w:tcPr>
          <w:p w14:paraId="5BF1AAEE" w14:textId="77777777" w:rsidR="005B1FAD" w:rsidRPr="005B1FAD" w:rsidRDefault="005B1FAD" w:rsidP="005B1FAD">
            <w:pPr>
              <w:spacing w:after="0" w:line="240" w:lineRule="auto"/>
              <w:jc w:val="center"/>
              <w:rPr>
                <w:rFonts w:ascii="Times New Roman" w:eastAsia="Times New Roman" w:hAnsi="Times New Roman" w:cs="Times New Roman"/>
                <w:color w:val="000000"/>
                <w:sz w:val="24"/>
                <w:szCs w:val="24"/>
                <w:lang w:eastAsia="ru-RU"/>
              </w:rPr>
            </w:pPr>
            <w:r w:rsidRPr="005B1FAD">
              <w:rPr>
                <w:rFonts w:ascii="Times New Roman" w:eastAsia="Times New Roman" w:hAnsi="Times New Roman" w:cs="Times New Roman"/>
                <w:color w:val="000000"/>
                <w:sz w:val="24"/>
                <w:szCs w:val="24"/>
                <w:lang w:eastAsia="ru-RU"/>
              </w:rPr>
              <w:t>3</w:t>
            </w:r>
          </w:p>
        </w:tc>
        <w:tc>
          <w:tcPr>
            <w:tcW w:w="567" w:type="pct"/>
            <w:tcBorders>
              <w:top w:val="single" w:sz="4" w:space="0" w:color="auto"/>
              <w:left w:val="nil"/>
              <w:bottom w:val="single" w:sz="4" w:space="0" w:color="auto"/>
              <w:right w:val="single" w:sz="4" w:space="0" w:color="auto"/>
            </w:tcBorders>
            <w:shd w:val="clear" w:color="auto" w:fill="auto"/>
            <w:noWrap/>
            <w:vAlign w:val="center"/>
          </w:tcPr>
          <w:p w14:paraId="61374D7E" w14:textId="77777777" w:rsidR="005B1FAD" w:rsidRPr="005B1FAD" w:rsidRDefault="005B1FAD" w:rsidP="005B1FAD">
            <w:pPr>
              <w:spacing w:after="0" w:line="240" w:lineRule="auto"/>
              <w:jc w:val="center"/>
              <w:rPr>
                <w:rFonts w:ascii="Times New Roman" w:eastAsia="Times New Roman" w:hAnsi="Times New Roman" w:cs="Times New Roman"/>
                <w:color w:val="000000"/>
                <w:sz w:val="24"/>
                <w:szCs w:val="24"/>
                <w:lang w:eastAsia="ru-RU"/>
              </w:rPr>
            </w:pPr>
            <w:r w:rsidRPr="005B1FAD">
              <w:rPr>
                <w:rFonts w:ascii="Times New Roman" w:eastAsia="Times New Roman" w:hAnsi="Times New Roman" w:cs="Times New Roman"/>
                <w:color w:val="000000"/>
                <w:sz w:val="24"/>
                <w:szCs w:val="24"/>
                <w:lang w:eastAsia="ru-RU"/>
              </w:rPr>
              <w:t>4</w:t>
            </w:r>
          </w:p>
        </w:tc>
        <w:tc>
          <w:tcPr>
            <w:tcW w:w="575" w:type="pct"/>
            <w:tcBorders>
              <w:top w:val="single" w:sz="4" w:space="0" w:color="auto"/>
              <w:left w:val="nil"/>
              <w:bottom w:val="single" w:sz="4" w:space="0" w:color="auto"/>
              <w:right w:val="single" w:sz="4" w:space="0" w:color="auto"/>
            </w:tcBorders>
            <w:shd w:val="clear" w:color="auto" w:fill="FFFFFF" w:themeFill="background1"/>
            <w:noWrap/>
            <w:vAlign w:val="center"/>
          </w:tcPr>
          <w:p w14:paraId="21A4BD3B" w14:textId="77777777" w:rsidR="005B1FAD" w:rsidRPr="005B1FAD" w:rsidRDefault="005B1FAD" w:rsidP="005B1FAD">
            <w:pPr>
              <w:spacing w:after="0" w:line="240" w:lineRule="auto"/>
              <w:jc w:val="center"/>
              <w:rPr>
                <w:rFonts w:ascii="Times New Roman" w:eastAsia="Times New Roman" w:hAnsi="Times New Roman" w:cs="Times New Roman"/>
                <w:color w:val="000000"/>
                <w:sz w:val="24"/>
                <w:szCs w:val="24"/>
                <w:lang w:eastAsia="ru-RU"/>
              </w:rPr>
            </w:pPr>
            <w:r w:rsidRPr="005B1FAD">
              <w:rPr>
                <w:rFonts w:ascii="Times New Roman" w:eastAsia="Times New Roman" w:hAnsi="Times New Roman" w:cs="Times New Roman"/>
                <w:color w:val="000000"/>
                <w:sz w:val="24"/>
                <w:szCs w:val="24"/>
                <w:lang w:eastAsia="ru-RU"/>
              </w:rPr>
              <w:t>5</w:t>
            </w:r>
          </w:p>
        </w:tc>
        <w:tc>
          <w:tcPr>
            <w:tcW w:w="625" w:type="pct"/>
            <w:tcBorders>
              <w:top w:val="single" w:sz="4" w:space="0" w:color="auto"/>
              <w:left w:val="nil"/>
              <w:bottom w:val="single" w:sz="4" w:space="0" w:color="auto"/>
              <w:right w:val="single" w:sz="4" w:space="0" w:color="auto"/>
            </w:tcBorders>
            <w:shd w:val="clear" w:color="auto" w:fill="auto"/>
            <w:noWrap/>
            <w:vAlign w:val="center"/>
          </w:tcPr>
          <w:p w14:paraId="47FC4DD6" w14:textId="77777777" w:rsidR="005B1FAD" w:rsidRPr="005B1FAD" w:rsidRDefault="005B1FAD" w:rsidP="005B1FAD">
            <w:pPr>
              <w:spacing w:after="0" w:line="240" w:lineRule="auto"/>
              <w:jc w:val="center"/>
              <w:rPr>
                <w:rFonts w:ascii="Times New Roman" w:eastAsia="Times New Roman" w:hAnsi="Times New Roman" w:cs="Times New Roman"/>
                <w:color w:val="000000"/>
                <w:sz w:val="24"/>
                <w:szCs w:val="24"/>
                <w:lang w:eastAsia="ru-RU"/>
              </w:rPr>
            </w:pPr>
            <w:r w:rsidRPr="005B1FAD">
              <w:rPr>
                <w:rFonts w:ascii="Times New Roman" w:eastAsia="Times New Roman" w:hAnsi="Times New Roman" w:cs="Times New Roman"/>
                <w:color w:val="000000"/>
                <w:sz w:val="24"/>
                <w:szCs w:val="24"/>
                <w:lang w:eastAsia="ru-RU"/>
              </w:rPr>
              <w:t>6</w:t>
            </w:r>
          </w:p>
        </w:tc>
        <w:tc>
          <w:tcPr>
            <w:tcW w:w="521" w:type="pct"/>
            <w:tcBorders>
              <w:top w:val="single" w:sz="4" w:space="0" w:color="auto"/>
              <w:left w:val="nil"/>
              <w:bottom w:val="single" w:sz="4" w:space="0" w:color="auto"/>
              <w:right w:val="single" w:sz="4" w:space="0" w:color="auto"/>
            </w:tcBorders>
            <w:shd w:val="clear" w:color="auto" w:fill="auto"/>
            <w:noWrap/>
            <w:vAlign w:val="center"/>
          </w:tcPr>
          <w:p w14:paraId="3542D692" w14:textId="77777777" w:rsidR="005B1FAD" w:rsidRPr="005B1FAD" w:rsidRDefault="005B1FAD" w:rsidP="005B1FAD">
            <w:pPr>
              <w:spacing w:after="0" w:line="240" w:lineRule="auto"/>
              <w:jc w:val="center"/>
              <w:rPr>
                <w:rFonts w:ascii="Times New Roman" w:eastAsia="Times New Roman" w:hAnsi="Times New Roman" w:cs="Times New Roman"/>
                <w:color w:val="000000"/>
                <w:sz w:val="24"/>
                <w:szCs w:val="24"/>
                <w:lang w:eastAsia="ru-RU"/>
              </w:rPr>
            </w:pPr>
            <w:r w:rsidRPr="005B1FAD">
              <w:rPr>
                <w:rFonts w:ascii="Times New Roman" w:eastAsia="Times New Roman" w:hAnsi="Times New Roman" w:cs="Times New Roman"/>
                <w:color w:val="000000"/>
                <w:sz w:val="24"/>
                <w:szCs w:val="24"/>
                <w:lang w:eastAsia="ru-RU"/>
              </w:rPr>
              <w:t>7</w:t>
            </w:r>
          </w:p>
        </w:tc>
      </w:tr>
      <w:tr w:rsidR="00660037" w:rsidRPr="005B1FAD" w14:paraId="099681FE" w14:textId="77777777" w:rsidTr="00660037">
        <w:trPr>
          <w:trHeight w:val="283"/>
        </w:trPr>
        <w:tc>
          <w:tcPr>
            <w:tcW w:w="1231" w:type="pct"/>
            <w:tcBorders>
              <w:top w:val="single" w:sz="4" w:space="0" w:color="auto"/>
              <w:left w:val="single" w:sz="4" w:space="0" w:color="auto"/>
              <w:bottom w:val="single" w:sz="4" w:space="0" w:color="auto"/>
              <w:right w:val="single" w:sz="4" w:space="0" w:color="auto"/>
            </w:tcBorders>
          </w:tcPr>
          <w:p w14:paraId="78673540" w14:textId="26DADA23" w:rsidR="00660037" w:rsidRPr="005B1FAD" w:rsidRDefault="00660037" w:rsidP="00660037">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Использование фондовых и инвестиционных инструментов</w:t>
            </w:r>
          </w:p>
        </w:tc>
        <w:tc>
          <w:tcPr>
            <w:tcW w:w="9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72C533" w14:textId="34EF2B9C" w:rsidR="00660037" w:rsidRPr="005B1FAD" w:rsidRDefault="00660037" w:rsidP="00660037">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res_FIN_stocktools</w:t>
            </w:r>
          </w:p>
        </w:tc>
        <w:tc>
          <w:tcPr>
            <w:tcW w:w="564" w:type="pct"/>
            <w:tcBorders>
              <w:top w:val="single" w:sz="4" w:space="0" w:color="auto"/>
              <w:left w:val="nil"/>
              <w:bottom w:val="single" w:sz="4" w:space="0" w:color="auto"/>
              <w:right w:val="single" w:sz="4" w:space="0" w:color="auto"/>
            </w:tcBorders>
            <w:shd w:val="clear" w:color="auto" w:fill="FFFFFF" w:themeFill="background1"/>
            <w:noWrap/>
            <w:vAlign w:val="center"/>
          </w:tcPr>
          <w:p w14:paraId="1003ED34" w14:textId="77777777"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p>
        </w:tc>
        <w:tc>
          <w:tcPr>
            <w:tcW w:w="567"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1AF95CC" w14:textId="5668D0AB"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0,883</w:t>
            </w:r>
          </w:p>
        </w:tc>
        <w:tc>
          <w:tcPr>
            <w:tcW w:w="575" w:type="pct"/>
            <w:tcBorders>
              <w:top w:val="single" w:sz="4" w:space="0" w:color="auto"/>
              <w:left w:val="nil"/>
              <w:bottom w:val="single" w:sz="4" w:space="0" w:color="auto"/>
              <w:right w:val="single" w:sz="4" w:space="0" w:color="auto"/>
            </w:tcBorders>
            <w:shd w:val="clear" w:color="auto" w:fill="FFFFFF" w:themeFill="background1"/>
            <w:noWrap/>
            <w:vAlign w:val="center"/>
          </w:tcPr>
          <w:p w14:paraId="48126589" w14:textId="77777777"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p>
        </w:tc>
        <w:tc>
          <w:tcPr>
            <w:tcW w:w="625" w:type="pct"/>
            <w:tcBorders>
              <w:top w:val="single" w:sz="4" w:space="0" w:color="auto"/>
              <w:left w:val="nil"/>
              <w:bottom w:val="single" w:sz="4" w:space="0" w:color="auto"/>
              <w:right w:val="single" w:sz="4" w:space="0" w:color="auto"/>
            </w:tcBorders>
            <w:shd w:val="clear" w:color="auto" w:fill="auto"/>
            <w:noWrap/>
            <w:vAlign w:val="center"/>
          </w:tcPr>
          <w:p w14:paraId="04CE1BFB" w14:textId="0E1A1787"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0,210</w:t>
            </w:r>
          </w:p>
        </w:tc>
        <w:tc>
          <w:tcPr>
            <w:tcW w:w="521" w:type="pct"/>
            <w:tcBorders>
              <w:top w:val="single" w:sz="4" w:space="0" w:color="auto"/>
              <w:left w:val="nil"/>
              <w:bottom w:val="single" w:sz="4" w:space="0" w:color="auto"/>
              <w:right w:val="single" w:sz="4" w:space="0" w:color="auto"/>
            </w:tcBorders>
            <w:shd w:val="clear" w:color="auto" w:fill="auto"/>
            <w:noWrap/>
            <w:vAlign w:val="center"/>
          </w:tcPr>
          <w:p w14:paraId="7214232E" w14:textId="1A053CA2"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0,837</w:t>
            </w:r>
          </w:p>
        </w:tc>
      </w:tr>
      <w:tr w:rsidR="00660037" w:rsidRPr="005B1FAD" w14:paraId="55D115A4" w14:textId="77777777" w:rsidTr="00660037">
        <w:trPr>
          <w:trHeight w:val="283"/>
        </w:trPr>
        <w:tc>
          <w:tcPr>
            <w:tcW w:w="1231" w:type="pct"/>
            <w:tcBorders>
              <w:top w:val="single" w:sz="4" w:space="0" w:color="auto"/>
              <w:left w:val="single" w:sz="4" w:space="0" w:color="auto"/>
              <w:bottom w:val="single" w:sz="4" w:space="0" w:color="auto"/>
              <w:right w:val="single" w:sz="4" w:space="0" w:color="auto"/>
            </w:tcBorders>
          </w:tcPr>
          <w:p w14:paraId="61FA43AF" w14:textId="55F3DB3B" w:rsidR="00660037" w:rsidRPr="005B1FAD" w:rsidRDefault="00660037" w:rsidP="00660037">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Применение «зелёных» финансовых инструментов</w:t>
            </w:r>
          </w:p>
        </w:tc>
        <w:tc>
          <w:tcPr>
            <w:tcW w:w="9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0385FC" w14:textId="072E521C" w:rsidR="00660037" w:rsidRPr="005B1FAD" w:rsidRDefault="00660037" w:rsidP="00660037">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res_FIN_greenbonds</w:t>
            </w:r>
          </w:p>
        </w:tc>
        <w:tc>
          <w:tcPr>
            <w:tcW w:w="564" w:type="pct"/>
            <w:tcBorders>
              <w:top w:val="single" w:sz="4" w:space="0" w:color="auto"/>
              <w:left w:val="nil"/>
              <w:bottom w:val="single" w:sz="4" w:space="0" w:color="auto"/>
              <w:right w:val="single" w:sz="4" w:space="0" w:color="auto"/>
            </w:tcBorders>
            <w:shd w:val="clear" w:color="auto" w:fill="FFFFFF" w:themeFill="background1"/>
            <w:noWrap/>
            <w:vAlign w:val="center"/>
          </w:tcPr>
          <w:p w14:paraId="77380696" w14:textId="77777777"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p>
        </w:tc>
        <w:tc>
          <w:tcPr>
            <w:tcW w:w="567"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B6193DD" w14:textId="1710B053"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0,868</w:t>
            </w:r>
          </w:p>
        </w:tc>
        <w:tc>
          <w:tcPr>
            <w:tcW w:w="575" w:type="pct"/>
            <w:tcBorders>
              <w:top w:val="single" w:sz="4" w:space="0" w:color="auto"/>
              <w:left w:val="nil"/>
              <w:bottom w:val="single" w:sz="4" w:space="0" w:color="auto"/>
              <w:right w:val="single" w:sz="4" w:space="0" w:color="auto"/>
            </w:tcBorders>
            <w:shd w:val="clear" w:color="auto" w:fill="FFFFFF" w:themeFill="background1"/>
            <w:noWrap/>
            <w:vAlign w:val="center"/>
          </w:tcPr>
          <w:p w14:paraId="29726A5D" w14:textId="77777777"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p>
        </w:tc>
        <w:tc>
          <w:tcPr>
            <w:tcW w:w="625" w:type="pct"/>
            <w:tcBorders>
              <w:top w:val="single" w:sz="4" w:space="0" w:color="auto"/>
              <w:left w:val="nil"/>
              <w:bottom w:val="single" w:sz="4" w:space="0" w:color="auto"/>
              <w:right w:val="single" w:sz="4" w:space="0" w:color="auto"/>
            </w:tcBorders>
            <w:shd w:val="clear" w:color="auto" w:fill="auto"/>
            <w:noWrap/>
            <w:vAlign w:val="center"/>
          </w:tcPr>
          <w:p w14:paraId="25674CE6" w14:textId="764923CF"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0,237</w:t>
            </w:r>
          </w:p>
        </w:tc>
        <w:tc>
          <w:tcPr>
            <w:tcW w:w="521" w:type="pct"/>
            <w:tcBorders>
              <w:top w:val="single" w:sz="4" w:space="0" w:color="auto"/>
              <w:left w:val="nil"/>
              <w:bottom w:val="single" w:sz="4" w:space="0" w:color="auto"/>
              <w:right w:val="single" w:sz="4" w:space="0" w:color="auto"/>
            </w:tcBorders>
            <w:shd w:val="clear" w:color="auto" w:fill="auto"/>
            <w:noWrap/>
            <w:vAlign w:val="center"/>
          </w:tcPr>
          <w:p w14:paraId="06FDE89A" w14:textId="6EEFBD39"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0,802</w:t>
            </w:r>
          </w:p>
        </w:tc>
      </w:tr>
      <w:tr w:rsidR="00660037" w:rsidRPr="005B1FAD" w14:paraId="3678BC28" w14:textId="77777777" w:rsidTr="00660037">
        <w:trPr>
          <w:trHeight w:val="283"/>
        </w:trPr>
        <w:tc>
          <w:tcPr>
            <w:tcW w:w="1231" w:type="pct"/>
            <w:tcBorders>
              <w:top w:val="single" w:sz="4" w:space="0" w:color="auto"/>
              <w:left w:val="single" w:sz="4" w:space="0" w:color="auto"/>
              <w:bottom w:val="single" w:sz="4" w:space="0" w:color="auto"/>
              <w:right w:val="single" w:sz="4" w:space="0" w:color="auto"/>
            </w:tcBorders>
          </w:tcPr>
          <w:p w14:paraId="75E64543" w14:textId="7E3B2BD0" w:rsidR="00660037" w:rsidRPr="005B1FAD" w:rsidRDefault="00660037" w:rsidP="00660037">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Закупка оборудования и материалов</w:t>
            </w:r>
          </w:p>
        </w:tc>
        <w:tc>
          <w:tcPr>
            <w:tcW w:w="9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FC0477" w14:textId="3F0CD15C" w:rsidR="00660037" w:rsidRPr="005B1FAD" w:rsidRDefault="00660037" w:rsidP="00660037">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res_FIN_procurement</w:t>
            </w:r>
          </w:p>
        </w:tc>
        <w:tc>
          <w:tcPr>
            <w:tcW w:w="564" w:type="pct"/>
            <w:tcBorders>
              <w:top w:val="single" w:sz="4" w:space="0" w:color="auto"/>
              <w:left w:val="nil"/>
              <w:bottom w:val="single" w:sz="4" w:space="0" w:color="auto"/>
              <w:right w:val="single" w:sz="4" w:space="0" w:color="auto"/>
            </w:tcBorders>
            <w:shd w:val="clear" w:color="auto" w:fill="FFFFFF" w:themeFill="background1"/>
            <w:noWrap/>
            <w:vAlign w:val="center"/>
          </w:tcPr>
          <w:p w14:paraId="68441D13" w14:textId="77777777"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p>
        </w:tc>
        <w:tc>
          <w:tcPr>
            <w:tcW w:w="567"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81C458F" w14:textId="69C88791"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0,885</w:t>
            </w:r>
          </w:p>
        </w:tc>
        <w:tc>
          <w:tcPr>
            <w:tcW w:w="575" w:type="pct"/>
            <w:tcBorders>
              <w:top w:val="single" w:sz="4" w:space="0" w:color="auto"/>
              <w:left w:val="nil"/>
              <w:bottom w:val="single" w:sz="4" w:space="0" w:color="auto"/>
              <w:right w:val="single" w:sz="4" w:space="0" w:color="auto"/>
            </w:tcBorders>
            <w:shd w:val="clear" w:color="auto" w:fill="FFFFFF" w:themeFill="background1"/>
            <w:noWrap/>
            <w:vAlign w:val="center"/>
          </w:tcPr>
          <w:p w14:paraId="0FA548C2" w14:textId="77777777"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p>
        </w:tc>
        <w:tc>
          <w:tcPr>
            <w:tcW w:w="625" w:type="pct"/>
            <w:tcBorders>
              <w:top w:val="single" w:sz="4" w:space="0" w:color="auto"/>
              <w:left w:val="nil"/>
              <w:bottom w:val="single" w:sz="4" w:space="0" w:color="auto"/>
              <w:right w:val="single" w:sz="4" w:space="0" w:color="auto"/>
            </w:tcBorders>
            <w:shd w:val="clear" w:color="auto" w:fill="auto"/>
            <w:noWrap/>
            <w:vAlign w:val="center"/>
          </w:tcPr>
          <w:p w14:paraId="52E4EABB" w14:textId="4D05BB03"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0,214</w:t>
            </w:r>
          </w:p>
        </w:tc>
        <w:tc>
          <w:tcPr>
            <w:tcW w:w="521" w:type="pct"/>
            <w:tcBorders>
              <w:top w:val="single" w:sz="4" w:space="0" w:color="auto"/>
              <w:left w:val="nil"/>
              <w:bottom w:val="single" w:sz="4" w:space="0" w:color="auto"/>
              <w:right w:val="single" w:sz="4" w:space="0" w:color="auto"/>
            </w:tcBorders>
            <w:shd w:val="clear" w:color="auto" w:fill="auto"/>
            <w:noWrap/>
            <w:vAlign w:val="center"/>
          </w:tcPr>
          <w:p w14:paraId="330DE0E0" w14:textId="6FE44D29"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0,827</w:t>
            </w:r>
          </w:p>
        </w:tc>
      </w:tr>
      <w:tr w:rsidR="00660037" w:rsidRPr="005B1FAD" w14:paraId="3BDF040C" w14:textId="77777777" w:rsidTr="00660037">
        <w:trPr>
          <w:trHeight w:val="283"/>
        </w:trPr>
        <w:tc>
          <w:tcPr>
            <w:tcW w:w="1231" w:type="pct"/>
            <w:tcBorders>
              <w:top w:val="single" w:sz="4" w:space="0" w:color="auto"/>
              <w:left w:val="single" w:sz="4" w:space="0" w:color="auto"/>
              <w:bottom w:val="single" w:sz="4" w:space="0" w:color="auto"/>
              <w:right w:val="single" w:sz="4" w:space="0" w:color="auto"/>
            </w:tcBorders>
          </w:tcPr>
          <w:p w14:paraId="451A2EA3" w14:textId="24710D64" w:rsidR="00660037" w:rsidRPr="005B1FAD" w:rsidRDefault="00660037" w:rsidP="00660037">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Состояние оборудования</w:t>
            </w:r>
          </w:p>
        </w:tc>
        <w:tc>
          <w:tcPr>
            <w:tcW w:w="9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7BF02B" w14:textId="201B7399" w:rsidR="00660037" w:rsidRPr="005B1FAD" w:rsidRDefault="00660037" w:rsidP="00660037">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res_TEC_equipmentcondition</w:t>
            </w:r>
          </w:p>
        </w:tc>
        <w:tc>
          <w:tcPr>
            <w:tcW w:w="564" w:type="pct"/>
            <w:tcBorders>
              <w:top w:val="single" w:sz="4" w:space="0" w:color="auto"/>
              <w:left w:val="nil"/>
              <w:bottom w:val="single" w:sz="4" w:space="0" w:color="auto"/>
              <w:right w:val="single" w:sz="4" w:space="0" w:color="auto"/>
            </w:tcBorders>
            <w:shd w:val="clear" w:color="auto" w:fill="FFFFFF" w:themeFill="background1"/>
            <w:noWrap/>
            <w:vAlign w:val="center"/>
          </w:tcPr>
          <w:p w14:paraId="65B96A00" w14:textId="77777777"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p>
        </w:tc>
        <w:tc>
          <w:tcPr>
            <w:tcW w:w="567" w:type="pct"/>
            <w:tcBorders>
              <w:top w:val="single" w:sz="4" w:space="0" w:color="auto"/>
              <w:left w:val="nil"/>
              <w:bottom w:val="single" w:sz="4" w:space="0" w:color="auto"/>
              <w:right w:val="single" w:sz="4" w:space="0" w:color="auto"/>
            </w:tcBorders>
            <w:shd w:val="clear" w:color="auto" w:fill="auto"/>
            <w:noWrap/>
            <w:vAlign w:val="center"/>
          </w:tcPr>
          <w:p w14:paraId="15246DAD" w14:textId="77777777"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p>
        </w:tc>
        <w:tc>
          <w:tcPr>
            <w:tcW w:w="57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1903A00" w14:textId="582E65E2"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0,824</w:t>
            </w:r>
          </w:p>
        </w:tc>
        <w:tc>
          <w:tcPr>
            <w:tcW w:w="625" w:type="pct"/>
            <w:tcBorders>
              <w:top w:val="single" w:sz="4" w:space="0" w:color="auto"/>
              <w:left w:val="nil"/>
              <w:bottom w:val="single" w:sz="4" w:space="0" w:color="auto"/>
              <w:right w:val="single" w:sz="4" w:space="0" w:color="auto"/>
            </w:tcBorders>
            <w:shd w:val="clear" w:color="auto" w:fill="auto"/>
            <w:noWrap/>
            <w:vAlign w:val="center"/>
          </w:tcPr>
          <w:p w14:paraId="050DD5AA" w14:textId="07077CE0"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0,334</w:t>
            </w:r>
          </w:p>
        </w:tc>
        <w:tc>
          <w:tcPr>
            <w:tcW w:w="521" w:type="pct"/>
            <w:tcBorders>
              <w:top w:val="single" w:sz="4" w:space="0" w:color="auto"/>
              <w:left w:val="nil"/>
              <w:bottom w:val="single" w:sz="4" w:space="0" w:color="auto"/>
              <w:right w:val="single" w:sz="4" w:space="0" w:color="auto"/>
            </w:tcBorders>
            <w:shd w:val="clear" w:color="auto" w:fill="auto"/>
            <w:noWrap/>
            <w:vAlign w:val="center"/>
          </w:tcPr>
          <w:p w14:paraId="7ECA8F0E" w14:textId="454E54D2"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0,856</w:t>
            </w:r>
          </w:p>
        </w:tc>
      </w:tr>
      <w:tr w:rsidR="00660037" w:rsidRPr="005B1FAD" w14:paraId="36105B2B" w14:textId="77777777" w:rsidTr="00660037">
        <w:trPr>
          <w:trHeight w:val="283"/>
        </w:trPr>
        <w:tc>
          <w:tcPr>
            <w:tcW w:w="1231" w:type="pct"/>
            <w:tcBorders>
              <w:top w:val="single" w:sz="4" w:space="0" w:color="auto"/>
              <w:left w:val="single" w:sz="4" w:space="0" w:color="auto"/>
              <w:bottom w:val="single" w:sz="4" w:space="0" w:color="auto"/>
              <w:right w:val="single" w:sz="4" w:space="0" w:color="auto"/>
            </w:tcBorders>
          </w:tcPr>
          <w:p w14:paraId="74FD7AD7" w14:textId="6918E603" w:rsidR="00660037" w:rsidRPr="005B1FAD" w:rsidRDefault="00660037" w:rsidP="00660037">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Уровень высокотехнологичного оснащения</w:t>
            </w:r>
          </w:p>
        </w:tc>
        <w:tc>
          <w:tcPr>
            <w:tcW w:w="9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5E788D" w14:textId="7B3CE63D" w:rsidR="00660037" w:rsidRPr="005B1FAD" w:rsidRDefault="00660037" w:rsidP="00660037">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res_TEC_hightechequipment</w:t>
            </w:r>
          </w:p>
        </w:tc>
        <w:tc>
          <w:tcPr>
            <w:tcW w:w="564" w:type="pct"/>
            <w:tcBorders>
              <w:top w:val="single" w:sz="4" w:space="0" w:color="auto"/>
              <w:left w:val="nil"/>
              <w:bottom w:val="single" w:sz="4" w:space="0" w:color="auto"/>
              <w:right w:val="single" w:sz="4" w:space="0" w:color="auto"/>
            </w:tcBorders>
            <w:shd w:val="clear" w:color="auto" w:fill="FFFFFF" w:themeFill="background1"/>
            <w:noWrap/>
            <w:vAlign w:val="center"/>
          </w:tcPr>
          <w:p w14:paraId="3243892C" w14:textId="77777777"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p>
        </w:tc>
        <w:tc>
          <w:tcPr>
            <w:tcW w:w="567" w:type="pct"/>
            <w:tcBorders>
              <w:top w:val="single" w:sz="4" w:space="0" w:color="auto"/>
              <w:left w:val="nil"/>
              <w:bottom w:val="single" w:sz="4" w:space="0" w:color="auto"/>
              <w:right w:val="single" w:sz="4" w:space="0" w:color="auto"/>
            </w:tcBorders>
            <w:shd w:val="clear" w:color="auto" w:fill="auto"/>
            <w:noWrap/>
            <w:vAlign w:val="center"/>
          </w:tcPr>
          <w:p w14:paraId="63F22F8E" w14:textId="77777777"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p>
        </w:tc>
        <w:tc>
          <w:tcPr>
            <w:tcW w:w="57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D173ADE" w14:textId="6A59BA9A"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0,868</w:t>
            </w:r>
          </w:p>
        </w:tc>
        <w:tc>
          <w:tcPr>
            <w:tcW w:w="625" w:type="pct"/>
            <w:tcBorders>
              <w:top w:val="single" w:sz="4" w:space="0" w:color="auto"/>
              <w:left w:val="nil"/>
              <w:bottom w:val="single" w:sz="4" w:space="0" w:color="auto"/>
              <w:right w:val="single" w:sz="4" w:space="0" w:color="auto"/>
            </w:tcBorders>
            <w:shd w:val="clear" w:color="auto" w:fill="auto"/>
            <w:noWrap/>
            <w:vAlign w:val="center"/>
          </w:tcPr>
          <w:p w14:paraId="5F3A4025" w14:textId="0F589D4F"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0,217</w:t>
            </w:r>
          </w:p>
        </w:tc>
        <w:tc>
          <w:tcPr>
            <w:tcW w:w="521" w:type="pct"/>
            <w:tcBorders>
              <w:top w:val="single" w:sz="4" w:space="0" w:color="auto"/>
              <w:left w:val="nil"/>
              <w:bottom w:val="single" w:sz="4" w:space="0" w:color="auto"/>
              <w:right w:val="single" w:sz="4" w:space="0" w:color="auto"/>
            </w:tcBorders>
            <w:shd w:val="clear" w:color="auto" w:fill="auto"/>
            <w:noWrap/>
            <w:vAlign w:val="center"/>
          </w:tcPr>
          <w:p w14:paraId="58BBC20D" w14:textId="5597A0BC" w:rsidR="00660037" w:rsidRPr="005B1FAD"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0,769</w:t>
            </w:r>
          </w:p>
        </w:tc>
      </w:tr>
      <w:tr w:rsidR="00660037" w:rsidRPr="000C1190" w14:paraId="0D9FB0D2" w14:textId="77777777" w:rsidTr="00660037">
        <w:trPr>
          <w:trHeight w:val="283"/>
        </w:trPr>
        <w:tc>
          <w:tcPr>
            <w:tcW w:w="1231" w:type="pct"/>
            <w:tcBorders>
              <w:top w:val="nil"/>
              <w:left w:val="single" w:sz="4" w:space="0" w:color="auto"/>
              <w:bottom w:val="single" w:sz="4" w:space="0" w:color="auto"/>
              <w:right w:val="single" w:sz="4" w:space="0" w:color="auto"/>
            </w:tcBorders>
          </w:tcPr>
          <w:p w14:paraId="77BA0F38" w14:textId="77777777" w:rsidR="00660037" w:rsidRPr="00E90D47" w:rsidRDefault="00660037" w:rsidP="00660037">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Техническое обслуживание и модернизация</w:t>
            </w:r>
          </w:p>
        </w:tc>
        <w:tc>
          <w:tcPr>
            <w:tcW w:w="917" w:type="pct"/>
            <w:tcBorders>
              <w:top w:val="nil"/>
              <w:left w:val="single" w:sz="4" w:space="0" w:color="auto"/>
              <w:bottom w:val="single" w:sz="4" w:space="0" w:color="auto"/>
              <w:right w:val="single" w:sz="4" w:space="0" w:color="auto"/>
            </w:tcBorders>
            <w:shd w:val="clear" w:color="auto" w:fill="auto"/>
            <w:noWrap/>
            <w:vAlign w:val="center"/>
          </w:tcPr>
          <w:p w14:paraId="37E6E243" w14:textId="77777777" w:rsidR="00660037" w:rsidRPr="00E90D47" w:rsidRDefault="00660037" w:rsidP="00660037">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res_TEC_maintenance</w:t>
            </w:r>
          </w:p>
        </w:tc>
        <w:tc>
          <w:tcPr>
            <w:tcW w:w="564" w:type="pct"/>
            <w:tcBorders>
              <w:top w:val="nil"/>
              <w:left w:val="nil"/>
              <w:bottom w:val="single" w:sz="4" w:space="0" w:color="auto"/>
              <w:right w:val="single" w:sz="4" w:space="0" w:color="auto"/>
            </w:tcBorders>
            <w:shd w:val="clear" w:color="auto" w:fill="FFFFFF" w:themeFill="background1"/>
            <w:noWrap/>
            <w:vAlign w:val="center"/>
          </w:tcPr>
          <w:p w14:paraId="2F82F530" w14:textId="4F8FA6C7" w:rsidR="00660037" w:rsidRPr="00E90D47" w:rsidRDefault="00660037" w:rsidP="00660037">
            <w:pPr>
              <w:spacing w:after="0" w:line="240" w:lineRule="auto"/>
              <w:jc w:val="center"/>
              <w:rPr>
                <w:rFonts w:ascii="Times New Roman" w:eastAsia="Times New Roman" w:hAnsi="Times New Roman" w:cs="Times New Roman"/>
                <w:color w:val="000000"/>
                <w:sz w:val="24"/>
                <w:szCs w:val="24"/>
                <w:lang w:eastAsia="ru-RU"/>
              </w:rPr>
            </w:pPr>
          </w:p>
        </w:tc>
        <w:tc>
          <w:tcPr>
            <w:tcW w:w="567" w:type="pct"/>
            <w:tcBorders>
              <w:top w:val="nil"/>
              <w:left w:val="nil"/>
              <w:bottom w:val="single" w:sz="4" w:space="0" w:color="auto"/>
              <w:right w:val="single" w:sz="4" w:space="0" w:color="auto"/>
            </w:tcBorders>
            <w:shd w:val="clear" w:color="auto" w:fill="auto"/>
            <w:noWrap/>
            <w:vAlign w:val="center"/>
          </w:tcPr>
          <w:p w14:paraId="4E050BE7" w14:textId="54FE0B11" w:rsidR="00660037" w:rsidRPr="00E90D47" w:rsidRDefault="00660037" w:rsidP="00660037">
            <w:pPr>
              <w:spacing w:after="0" w:line="240" w:lineRule="auto"/>
              <w:jc w:val="center"/>
              <w:rPr>
                <w:rFonts w:ascii="Times New Roman" w:eastAsia="Times New Roman" w:hAnsi="Times New Roman" w:cs="Times New Roman"/>
                <w:color w:val="000000"/>
                <w:sz w:val="24"/>
                <w:szCs w:val="24"/>
                <w:lang w:eastAsia="ru-RU"/>
              </w:rPr>
            </w:pPr>
          </w:p>
        </w:tc>
        <w:tc>
          <w:tcPr>
            <w:tcW w:w="575" w:type="pct"/>
            <w:tcBorders>
              <w:top w:val="nil"/>
              <w:left w:val="nil"/>
              <w:bottom w:val="single" w:sz="4" w:space="0" w:color="auto"/>
              <w:right w:val="single" w:sz="4" w:space="0" w:color="auto"/>
            </w:tcBorders>
            <w:shd w:val="clear" w:color="auto" w:fill="F2F2F2" w:themeFill="background1" w:themeFillShade="F2"/>
            <w:noWrap/>
            <w:vAlign w:val="center"/>
          </w:tcPr>
          <w:p w14:paraId="32A6721D" w14:textId="77777777" w:rsidR="00660037" w:rsidRPr="00E90D47"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0,869</w:t>
            </w:r>
          </w:p>
        </w:tc>
        <w:tc>
          <w:tcPr>
            <w:tcW w:w="625" w:type="pct"/>
            <w:tcBorders>
              <w:top w:val="nil"/>
              <w:left w:val="nil"/>
              <w:bottom w:val="single" w:sz="4" w:space="0" w:color="auto"/>
              <w:right w:val="single" w:sz="4" w:space="0" w:color="auto"/>
            </w:tcBorders>
            <w:shd w:val="clear" w:color="auto" w:fill="auto"/>
            <w:noWrap/>
            <w:vAlign w:val="center"/>
          </w:tcPr>
          <w:p w14:paraId="36748A2B" w14:textId="77777777" w:rsidR="00660037" w:rsidRPr="00E90D47"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0,240</w:t>
            </w:r>
          </w:p>
        </w:tc>
        <w:tc>
          <w:tcPr>
            <w:tcW w:w="521" w:type="pct"/>
            <w:tcBorders>
              <w:top w:val="nil"/>
              <w:left w:val="nil"/>
              <w:bottom w:val="single" w:sz="4" w:space="0" w:color="auto"/>
              <w:right w:val="single" w:sz="4" w:space="0" w:color="auto"/>
            </w:tcBorders>
            <w:shd w:val="clear" w:color="auto" w:fill="auto"/>
            <w:noWrap/>
            <w:vAlign w:val="center"/>
          </w:tcPr>
          <w:p w14:paraId="2FE55FF9" w14:textId="77777777" w:rsidR="00660037" w:rsidRPr="00E90D47"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0,831</w:t>
            </w:r>
          </w:p>
        </w:tc>
      </w:tr>
      <w:tr w:rsidR="00660037" w:rsidRPr="000C1190" w14:paraId="2CC9E917" w14:textId="77777777" w:rsidTr="00660037">
        <w:trPr>
          <w:trHeight w:val="283"/>
        </w:trPr>
        <w:tc>
          <w:tcPr>
            <w:tcW w:w="1231" w:type="pct"/>
            <w:tcBorders>
              <w:top w:val="nil"/>
              <w:left w:val="single" w:sz="4" w:space="0" w:color="auto"/>
              <w:bottom w:val="single" w:sz="4" w:space="0" w:color="auto"/>
              <w:right w:val="single" w:sz="4" w:space="0" w:color="auto"/>
            </w:tcBorders>
          </w:tcPr>
          <w:p w14:paraId="424F2834" w14:textId="77777777" w:rsidR="00660037" w:rsidRPr="00E90D47" w:rsidRDefault="00660037" w:rsidP="00660037">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Сырьевые и материальные ресурсы</w:t>
            </w:r>
          </w:p>
        </w:tc>
        <w:tc>
          <w:tcPr>
            <w:tcW w:w="917" w:type="pct"/>
            <w:tcBorders>
              <w:top w:val="nil"/>
              <w:left w:val="single" w:sz="4" w:space="0" w:color="auto"/>
              <w:bottom w:val="single" w:sz="4" w:space="0" w:color="auto"/>
              <w:right w:val="single" w:sz="4" w:space="0" w:color="auto"/>
            </w:tcBorders>
            <w:shd w:val="clear" w:color="auto" w:fill="auto"/>
            <w:noWrap/>
            <w:vAlign w:val="center"/>
          </w:tcPr>
          <w:p w14:paraId="71C62A67" w14:textId="77777777" w:rsidR="00660037" w:rsidRPr="00E90D47" w:rsidRDefault="00660037" w:rsidP="00660037">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res_SUP_rawmaterials</w:t>
            </w:r>
          </w:p>
        </w:tc>
        <w:tc>
          <w:tcPr>
            <w:tcW w:w="564" w:type="pct"/>
            <w:tcBorders>
              <w:top w:val="nil"/>
              <w:left w:val="nil"/>
              <w:bottom w:val="single" w:sz="4" w:space="0" w:color="auto"/>
              <w:right w:val="single" w:sz="4" w:space="0" w:color="auto"/>
            </w:tcBorders>
            <w:shd w:val="clear" w:color="auto" w:fill="FFFFFF" w:themeFill="background1"/>
            <w:noWrap/>
            <w:vAlign w:val="center"/>
          </w:tcPr>
          <w:p w14:paraId="5A55B79D" w14:textId="30FB5ECC" w:rsidR="00660037" w:rsidRPr="00E90D47" w:rsidRDefault="00660037" w:rsidP="00660037">
            <w:pPr>
              <w:spacing w:after="0" w:line="240" w:lineRule="auto"/>
              <w:jc w:val="center"/>
              <w:rPr>
                <w:rFonts w:ascii="Times New Roman" w:eastAsia="Times New Roman" w:hAnsi="Times New Roman" w:cs="Times New Roman"/>
                <w:color w:val="000000"/>
                <w:sz w:val="24"/>
                <w:szCs w:val="24"/>
                <w:lang w:eastAsia="ru-RU"/>
              </w:rPr>
            </w:pPr>
          </w:p>
        </w:tc>
        <w:tc>
          <w:tcPr>
            <w:tcW w:w="567" w:type="pct"/>
            <w:tcBorders>
              <w:top w:val="nil"/>
              <w:left w:val="nil"/>
              <w:bottom w:val="single" w:sz="4" w:space="0" w:color="auto"/>
              <w:right w:val="single" w:sz="4" w:space="0" w:color="auto"/>
            </w:tcBorders>
            <w:shd w:val="clear" w:color="auto" w:fill="auto"/>
            <w:noWrap/>
            <w:vAlign w:val="center"/>
          </w:tcPr>
          <w:p w14:paraId="2571E82A" w14:textId="367086DC" w:rsidR="00660037" w:rsidRPr="00E90D47" w:rsidRDefault="00660037" w:rsidP="00660037">
            <w:pPr>
              <w:spacing w:after="0" w:line="240" w:lineRule="auto"/>
              <w:jc w:val="center"/>
              <w:rPr>
                <w:rFonts w:ascii="Times New Roman" w:eastAsia="Times New Roman" w:hAnsi="Times New Roman" w:cs="Times New Roman"/>
                <w:color w:val="000000"/>
                <w:sz w:val="24"/>
                <w:szCs w:val="24"/>
                <w:lang w:eastAsia="ru-RU"/>
              </w:rPr>
            </w:pPr>
          </w:p>
        </w:tc>
        <w:tc>
          <w:tcPr>
            <w:tcW w:w="575" w:type="pct"/>
            <w:tcBorders>
              <w:top w:val="nil"/>
              <w:left w:val="nil"/>
              <w:bottom w:val="single" w:sz="4" w:space="0" w:color="auto"/>
              <w:right w:val="single" w:sz="4" w:space="0" w:color="auto"/>
            </w:tcBorders>
            <w:shd w:val="clear" w:color="auto" w:fill="F2F2F2" w:themeFill="background1" w:themeFillShade="F2"/>
            <w:noWrap/>
            <w:vAlign w:val="center"/>
          </w:tcPr>
          <w:p w14:paraId="1DE45CD7" w14:textId="77777777" w:rsidR="00660037" w:rsidRPr="00E90D47"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0,871</w:t>
            </w:r>
          </w:p>
        </w:tc>
        <w:tc>
          <w:tcPr>
            <w:tcW w:w="625" w:type="pct"/>
            <w:tcBorders>
              <w:top w:val="nil"/>
              <w:left w:val="nil"/>
              <w:bottom w:val="single" w:sz="4" w:space="0" w:color="auto"/>
              <w:right w:val="single" w:sz="4" w:space="0" w:color="auto"/>
            </w:tcBorders>
            <w:shd w:val="clear" w:color="auto" w:fill="auto"/>
            <w:noWrap/>
            <w:vAlign w:val="center"/>
          </w:tcPr>
          <w:p w14:paraId="5CCA65D1" w14:textId="77777777" w:rsidR="00660037" w:rsidRPr="00E90D47"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0,234</w:t>
            </w:r>
          </w:p>
        </w:tc>
        <w:tc>
          <w:tcPr>
            <w:tcW w:w="521" w:type="pct"/>
            <w:tcBorders>
              <w:top w:val="nil"/>
              <w:left w:val="nil"/>
              <w:bottom w:val="single" w:sz="4" w:space="0" w:color="auto"/>
              <w:right w:val="single" w:sz="4" w:space="0" w:color="auto"/>
            </w:tcBorders>
            <w:shd w:val="clear" w:color="auto" w:fill="auto"/>
            <w:noWrap/>
            <w:vAlign w:val="center"/>
          </w:tcPr>
          <w:p w14:paraId="5BB0E83A" w14:textId="77777777" w:rsidR="00660037" w:rsidRPr="00E90D47"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0,778</w:t>
            </w:r>
          </w:p>
        </w:tc>
      </w:tr>
      <w:tr w:rsidR="00660037" w:rsidRPr="000C1190" w14:paraId="1BA40552" w14:textId="77777777" w:rsidTr="00660037">
        <w:trPr>
          <w:trHeight w:val="283"/>
        </w:trPr>
        <w:tc>
          <w:tcPr>
            <w:tcW w:w="1231" w:type="pct"/>
            <w:tcBorders>
              <w:top w:val="nil"/>
              <w:left w:val="single" w:sz="4" w:space="0" w:color="auto"/>
              <w:bottom w:val="single" w:sz="4" w:space="0" w:color="auto"/>
              <w:right w:val="single" w:sz="4" w:space="0" w:color="auto"/>
            </w:tcBorders>
          </w:tcPr>
          <w:p w14:paraId="58FFE009" w14:textId="77777777" w:rsidR="00660037" w:rsidRPr="00E90D47" w:rsidRDefault="00660037" w:rsidP="00660037">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Эффективность цепочки поставок</w:t>
            </w:r>
          </w:p>
        </w:tc>
        <w:tc>
          <w:tcPr>
            <w:tcW w:w="917" w:type="pct"/>
            <w:tcBorders>
              <w:top w:val="nil"/>
              <w:left w:val="single" w:sz="4" w:space="0" w:color="auto"/>
              <w:bottom w:val="single" w:sz="4" w:space="0" w:color="auto"/>
              <w:right w:val="single" w:sz="4" w:space="0" w:color="auto"/>
            </w:tcBorders>
            <w:shd w:val="clear" w:color="auto" w:fill="auto"/>
            <w:noWrap/>
            <w:vAlign w:val="center"/>
          </w:tcPr>
          <w:p w14:paraId="6B429A73" w14:textId="77777777" w:rsidR="00660037" w:rsidRPr="00E90D47" w:rsidRDefault="00660037" w:rsidP="00660037">
            <w:pPr>
              <w:spacing w:after="0" w:line="240" w:lineRule="auto"/>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res_SUP_supplychain</w:t>
            </w:r>
          </w:p>
        </w:tc>
        <w:tc>
          <w:tcPr>
            <w:tcW w:w="564" w:type="pct"/>
            <w:tcBorders>
              <w:top w:val="nil"/>
              <w:left w:val="nil"/>
              <w:bottom w:val="single" w:sz="4" w:space="0" w:color="auto"/>
              <w:right w:val="single" w:sz="4" w:space="0" w:color="auto"/>
            </w:tcBorders>
            <w:shd w:val="clear" w:color="auto" w:fill="FFFFFF" w:themeFill="background1"/>
            <w:noWrap/>
            <w:vAlign w:val="center"/>
          </w:tcPr>
          <w:p w14:paraId="752C1E2B" w14:textId="15F27C18" w:rsidR="00660037" w:rsidRPr="00E90D47" w:rsidRDefault="00660037" w:rsidP="00660037">
            <w:pPr>
              <w:spacing w:after="0" w:line="240" w:lineRule="auto"/>
              <w:jc w:val="center"/>
              <w:rPr>
                <w:rFonts w:ascii="Times New Roman" w:eastAsia="Times New Roman" w:hAnsi="Times New Roman" w:cs="Times New Roman"/>
                <w:color w:val="000000"/>
                <w:sz w:val="24"/>
                <w:szCs w:val="24"/>
                <w:lang w:eastAsia="ru-RU"/>
              </w:rPr>
            </w:pPr>
          </w:p>
        </w:tc>
        <w:tc>
          <w:tcPr>
            <w:tcW w:w="567" w:type="pct"/>
            <w:tcBorders>
              <w:top w:val="nil"/>
              <w:left w:val="nil"/>
              <w:bottom w:val="single" w:sz="4" w:space="0" w:color="auto"/>
              <w:right w:val="single" w:sz="4" w:space="0" w:color="auto"/>
            </w:tcBorders>
            <w:shd w:val="clear" w:color="auto" w:fill="auto"/>
            <w:noWrap/>
            <w:vAlign w:val="center"/>
          </w:tcPr>
          <w:p w14:paraId="388E4325" w14:textId="128F53DA" w:rsidR="00660037" w:rsidRPr="00E90D47" w:rsidRDefault="00660037" w:rsidP="00660037">
            <w:pPr>
              <w:spacing w:after="0" w:line="240" w:lineRule="auto"/>
              <w:jc w:val="center"/>
              <w:rPr>
                <w:rFonts w:ascii="Times New Roman" w:eastAsia="Times New Roman" w:hAnsi="Times New Roman" w:cs="Times New Roman"/>
                <w:color w:val="000000"/>
                <w:sz w:val="24"/>
                <w:szCs w:val="24"/>
                <w:lang w:eastAsia="ru-RU"/>
              </w:rPr>
            </w:pPr>
          </w:p>
        </w:tc>
        <w:tc>
          <w:tcPr>
            <w:tcW w:w="575" w:type="pct"/>
            <w:tcBorders>
              <w:top w:val="nil"/>
              <w:left w:val="nil"/>
              <w:bottom w:val="single" w:sz="4" w:space="0" w:color="auto"/>
              <w:right w:val="single" w:sz="4" w:space="0" w:color="auto"/>
            </w:tcBorders>
            <w:shd w:val="clear" w:color="auto" w:fill="F2F2F2" w:themeFill="background1" w:themeFillShade="F2"/>
            <w:noWrap/>
            <w:vAlign w:val="center"/>
          </w:tcPr>
          <w:p w14:paraId="44B2AF18" w14:textId="77777777" w:rsidR="00660037" w:rsidRPr="00E90D47"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0,889</w:t>
            </w:r>
          </w:p>
        </w:tc>
        <w:tc>
          <w:tcPr>
            <w:tcW w:w="625" w:type="pct"/>
            <w:tcBorders>
              <w:top w:val="nil"/>
              <w:left w:val="nil"/>
              <w:bottom w:val="single" w:sz="4" w:space="0" w:color="auto"/>
              <w:right w:val="single" w:sz="4" w:space="0" w:color="auto"/>
            </w:tcBorders>
            <w:shd w:val="clear" w:color="auto" w:fill="auto"/>
            <w:noWrap/>
            <w:vAlign w:val="center"/>
          </w:tcPr>
          <w:p w14:paraId="15F3FE98" w14:textId="77777777" w:rsidR="00660037" w:rsidRPr="00E90D47"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0,211</w:t>
            </w:r>
          </w:p>
        </w:tc>
        <w:tc>
          <w:tcPr>
            <w:tcW w:w="521" w:type="pct"/>
            <w:tcBorders>
              <w:top w:val="nil"/>
              <w:left w:val="nil"/>
              <w:bottom w:val="single" w:sz="4" w:space="0" w:color="auto"/>
              <w:right w:val="single" w:sz="4" w:space="0" w:color="auto"/>
            </w:tcBorders>
            <w:shd w:val="clear" w:color="auto" w:fill="auto"/>
            <w:noWrap/>
            <w:vAlign w:val="center"/>
          </w:tcPr>
          <w:p w14:paraId="4C7ABCA6" w14:textId="77777777" w:rsidR="00660037" w:rsidRPr="00E90D47" w:rsidRDefault="00660037" w:rsidP="00660037">
            <w:pPr>
              <w:spacing w:after="0" w:line="240" w:lineRule="auto"/>
              <w:jc w:val="center"/>
              <w:rPr>
                <w:rFonts w:ascii="Times New Roman" w:eastAsia="Times New Roman" w:hAnsi="Times New Roman" w:cs="Times New Roman"/>
                <w:color w:val="000000"/>
                <w:sz w:val="24"/>
                <w:szCs w:val="24"/>
                <w:lang w:eastAsia="ru-RU"/>
              </w:rPr>
            </w:pPr>
            <w:r w:rsidRPr="00E90D47">
              <w:rPr>
                <w:rFonts w:ascii="Times New Roman" w:eastAsia="Times New Roman" w:hAnsi="Times New Roman" w:cs="Times New Roman"/>
                <w:color w:val="000000"/>
                <w:sz w:val="24"/>
                <w:szCs w:val="24"/>
                <w:lang w:eastAsia="ru-RU"/>
              </w:rPr>
              <w:t>0,791</w:t>
            </w:r>
          </w:p>
        </w:tc>
      </w:tr>
      <w:tr w:rsidR="00660037" w:rsidRPr="000C1190" w14:paraId="33BB2421" w14:textId="77777777" w:rsidTr="00660037">
        <w:trPr>
          <w:trHeight w:val="283"/>
        </w:trPr>
        <w:tc>
          <w:tcPr>
            <w:tcW w:w="5000" w:type="pct"/>
            <w:gridSpan w:val="7"/>
            <w:tcBorders>
              <w:top w:val="nil"/>
              <w:left w:val="single" w:sz="4" w:space="0" w:color="auto"/>
              <w:bottom w:val="single" w:sz="4" w:space="0" w:color="auto"/>
              <w:right w:val="single" w:sz="4" w:space="0" w:color="auto"/>
            </w:tcBorders>
            <w:vAlign w:val="center"/>
          </w:tcPr>
          <w:p w14:paraId="7E6CEC88" w14:textId="07AB5835" w:rsidR="00660037" w:rsidRPr="00EE311D" w:rsidRDefault="00660037" w:rsidP="000F3C80">
            <w:pPr>
              <w:spacing w:after="0" w:line="240" w:lineRule="auto"/>
              <w:ind w:firstLine="459"/>
              <w:rPr>
                <w:rFonts w:ascii="Times New Roman" w:eastAsia="Times New Roman" w:hAnsi="Times New Roman" w:cs="Times New Roman"/>
                <w:color w:val="000000"/>
                <w:sz w:val="24"/>
                <w:szCs w:val="24"/>
                <w:lang w:val="kk-KZ" w:eastAsia="ru-RU"/>
              </w:rPr>
            </w:pPr>
            <w:r w:rsidRPr="00EE311D">
              <w:rPr>
                <w:rFonts w:ascii="Times New Roman" w:eastAsia="Times New Roman" w:hAnsi="Times New Roman" w:cs="Times New Roman"/>
                <w:color w:val="000000"/>
                <w:sz w:val="24"/>
                <w:szCs w:val="24"/>
                <w:lang w:val="kk-KZ" w:eastAsia="ru-RU"/>
              </w:rPr>
              <w:t xml:space="preserve">Примечание – </w:t>
            </w:r>
            <w:r w:rsidR="000F3C80" w:rsidRPr="00EE311D">
              <w:rPr>
                <w:rFonts w:ascii="Times New Roman" w:eastAsia="Times New Roman" w:hAnsi="Times New Roman" w:cs="Times New Roman"/>
                <w:color w:val="000000"/>
                <w:sz w:val="24"/>
                <w:szCs w:val="24"/>
                <w:lang w:val="kk-KZ" w:eastAsia="ru-RU"/>
              </w:rPr>
              <w:t>С</w:t>
            </w:r>
            <w:r w:rsidRPr="00EE311D">
              <w:rPr>
                <w:rFonts w:ascii="Times New Roman" w:eastAsia="Times New Roman" w:hAnsi="Times New Roman" w:cs="Times New Roman"/>
                <w:color w:val="000000"/>
                <w:sz w:val="24"/>
                <w:szCs w:val="24"/>
                <w:lang w:val="kk-KZ" w:eastAsia="ru-RU"/>
              </w:rPr>
              <w:t>оставлено автором</w:t>
            </w:r>
          </w:p>
        </w:tc>
      </w:tr>
    </w:tbl>
    <w:p w14:paraId="2D65D03E"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p>
    <w:p w14:paraId="3B06C512" w14:textId="5DDFDF0F"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Таблица включает факторные нагрузки переменных по трём выделенным факторам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Фактор 1, Фактор 2 и Фактор 3. </w:t>
      </w:r>
      <w:r w:rsidR="00E90D47">
        <w:rPr>
          <w:rFonts w:ascii="Times New Roman" w:hAnsi="Times New Roman" w:cs="Times New Roman"/>
          <w:sz w:val="28"/>
          <w:szCs w:val="28"/>
          <w:lang w:val="kk-KZ"/>
        </w:rPr>
        <w:t>Выделенные факторы объясняют 76</w:t>
      </w:r>
      <w:r w:rsidRPr="000C1190">
        <w:rPr>
          <w:rFonts w:ascii="Times New Roman" w:hAnsi="Times New Roman" w:cs="Times New Roman"/>
          <w:sz w:val="28"/>
          <w:szCs w:val="28"/>
          <w:lang w:val="kk-KZ"/>
        </w:rPr>
        <w:t>% совокупной дисперсии. Факторные нагрузки выражены в условных долях от 0 до 1 и отражают силу связи каждой переменной с соответствующим латентным фактором.</w:t>
      </w:r>
    </w:p>
    <w:p w14:paraId="0DC31092"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Показатель уникальности демонстрирует долю дисперсии переменной, не объяснённую выделенными факторами (значения, близкие к 0, указывают на хорошее описание переменной моделью). Показатель индивидуальной пригодности переменной к факторному анализу (MSA) принимает значения от 0 до 1 и отражает степень её связанности с другими переменными: более высокие значения свидетельствуют о лучшей интеграции переменной в общую факторную структуру.</w:t>
      </w:r>
    </w:p>
    <w:p w14:paraId="0F5F5A07" w14:textId="77777777" w:rsidR="000C1190" w:rsidRPr="000C1190" w:rsidRDefault="000C1190" w:rsidP="002F33D0">
      <w:pPr>
        <w:tabs>
          <w:tab w:val="left" w:pos="709"/>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Такое представление данных позволяет наглядно увидеть, как отдельные наблюдаемые показатели сгруппировались в три укрупнённых ресурсных блока, отражающих ключевые аспекты ресурсной базы предпринимательских структур. В рамках проведённого анализа выделены следующие факторы:</w:t>
      </w:r>
    </w:p>
    <w:p w14:paraId="580D7FBB" w14:textId="77777777" w:rsidR="000C1190" w:rsidRPr="000C1190" w:rsidRDefault="000C1190" w:rsidP="007F5E68">
      <w:pPr>
        <w:pStyle w:val="a3"/>
        <w:numPr>
          <w:ilvl w:val="0"/>
          <w:numId w:val="7"/>
        </w:numPr>
        <w:tabs>
          <w:tab w:val="left" w:pos="709"/>
          <w:tab w:val="left" w:pos="851"/>
        </w:tabs>
        <w:spacing w:after="0" w:line="240" w:lineRule="auto"/>
        <w:ind w:left="0"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Фактор 1 – Управленческо-инновационные ресурсы (MR).</w:t>
      </w:r>
    </w:p>
    <w:p w14:paraId="18EA03D3" w14:textId="77777777" w:rsidR="000C1190" w:rsidRPr="000C1190" w:rsidRDefault="000C1190" w:rsidP="002F33D0">
      <w:pPr>
        <w:tabs>
          <w:tab w:val="left" w:pos="709"/>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lastRenderedPageBreak/>
        <w:t>Включает показатели, связанные с наличием стратегии инновационного развития, участием в НИОКР-программах, развитием лабораторной базы, обучением персонала и использованием программного обеспечения для цифрового моделирования. Этот блок отражает способность предприятия организовывать и управлять процессами инноваций на основе знаний, компетенций и организационных механизмов.</w:t>
      </w:r>
    </w:p>
    <w:p w14:paraId="64A175CA" w14:textId="77777777" w:rsidR="000C1190" w:rsidRPr="000C1190" w:rsidRDefault="000C1190" w:rsidP="007F5E68">
      <w:pPr>
        <w:pStyle w:val="a3"/>
        <w:numPr>
          <w:ilvl w:val="0"/>
          <w:numId w:val="7"/>
        </w:numPr>
        <w:tabs>
          <w:tab w:val="left" w:pos="709"/>
          <w:tab w:val="left" w:pos="851"/>
        </w:tabs>
        <w:spacing w:after="0" w:line="240" w:lineRule="auto"/>
        <w:ind w:left="0"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Фактор 2 – Финансовые ресурсы и инструменты (FR).</w:t>
      </w:r>
    </w:p>
    <w:p w14:paraId="2130B2CE" w14:textId="77777777" w:rsidR="000C1190" w:rsidRPr="000C1190" w:rsidRDefault="000C1190" w:rsidP="002F33D0">
      <w:pPr>
        <w:tabs>
          <w:tab w:val="left" w:pos="709"/>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Объединяет показатели, характеризующие доступ к источникам финансирования, участие в грантовых программах, использование фондовых и «зелёных» финансовых инструментов, реализацию закупок и прозрачность бюджета. Этот блок отражает финансовую устойчивость и способность предприятия привлекать и эффективно использовать капитал для инновационного развития.</w:t>
      </w:r>
    </w:p>
    <w:p w14:paraId="64485C4E" w14:textId="77777777" w:rsidR="000C1190" w:rsidRPr="000C1190" w:rsidRDefault="000C1190" w:rsidP="007F5E68">
      <w:pPr>
        <w:pStyle w:val="a3"/>
        <w:numPr>
          <w:ilvl w:val="0"/>
          <w:numId w:val="7"/>
        </w:numPr>
        <w:tabs>
          <w:tab w:val="left" w:pos="709"/>
          <w:tab w:val="left" w:pos="851"/>
        </w:tabs>
        <w:spacing w:after="0" w:line="240" w:lineRule="auto"/>
        <w:ind w:left="0"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Фактор 3 – Технологическая и материально-сырьевая база (TR).</w:t>
      </w:r>
    </w:p>
    <w:p w14:paraId="470A0383" w14:textId="77777777" w:rsidR="000C1190" w:rsidRPr="000C1190" w:rsidRDefault="000C1190" w:rsidP="002F33D0">
      <w:pPr>
        <w:tabs>
          <w:tab w:val="left" w:pos="709"/>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Содержит переменные, описывающие наличие и состояние высокотехнологичного оборудования, систему его обслуживания и модернизации, а также стабильность и эффективность цепочек поставок. Данный фактор характеризует производственный и технологический потенциал предприятия, определяющий его способность внедрять и масштабировать инновации.</w:t>
      </w:r>
    </w:p>
    <w:p w14:paraId="663596FF" w14:textId="3FC04E9D"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Таким образом, результаты факторного анализа подтвердили, что ресурсная база предпринимательских структур имеет многоуровневую организацию. Управленческо-инновационные ресурсы формируют ядро внутреннего потенциала, финансовые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обеспечивают устойчивость инновационных процессов, а технологические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определяют производственную гибкость предприятий. Сочетание этих компонентов создаёт основу для дальнейшего роста инновационной активности.</w:t>
      </w:r>
    </w:p>
    <w:p w14:paraId="30EEAFBF" w14:textId="6E4CFA0D"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Для оценки взаимосвязей между ресурсными блоками и инновационным потенциалом предприятий проведён структурный мультигрупповой анализ (SEM)</w:t>
      </w:r>
      <w:r w:rsidR="00AA67DC">
        <w:rPr>
          <w:rFonts w:ascii="Times New Roman" w:hAnsi="Times New Roman" w:cs="Times New Roman"/>
          <w:sz w:val="28"/>
          <w:szCs w:val="28"/>
          <w:lang w:val="kk-KZ"/>
        </w:rPr>
        <w:t xml:space="preserve"> (Приложение Е</w:t>
      </w:r>
      <w:r w:rsidR="00BE6E4B">
        <w:rPr>
          <w:rFonts w:ascii="Times New Roman" w:hAnsi="Times New Roman" w:cs="Times New Roman"/>
          <w:sz w:val="28"/>
          <w:szCs w:val="28"/>
          <w:lang w:val="kk-KZ"/>
        </w:rPr>
        <w:t>)</w:t>
      </w:r>
      <w:r w:rsidRPr="000C1190">
        <w:rPr>
          <w:rFonts w:ascii="Times New Roman" w:hAnsi="Times New Roman" w:cs="Times New Roman"/>
          <w:sz w:val="28"/>
          <w:szCs w:val="28"/>
          <w:lang w:val="kk-KZ"/>
        </w:rPr>
        <w:t>. Применение данного метода позволяет выявить силу и направление влияния факторов, а также проверить, сохраняется ли структура этих связей для предприятий разного размера.</w:t>
      </w:r>
    </w:p>
    <w:p w14:paraId="4FD8F692" w14:textId="143063F8"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В качестве эндогенной переменной выступал инновационный потенциал предприятия (IP_selfrate), а в качестве экзогенных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три латентных фактора, отражающих технологическую базу (TR), финансовые ресурсы (FR) и управленческо-инновационные компетенции (MR), выделенные на основе факторного анализа. </w:t>
      </w:r>
    </w:p>
    <w:p w14:paraId="5178241E" w14:textId="5317373A"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SEM-анализ позволяет оценить влияние факторов с помощью стандартизированных коэффициентов β, выраженных в долях от 0 до 1. Чем ближе β к 1, тем сильнее влияние соответствующего фактора на инновационный потенциал. Дополнительно рассчитывается коэффициент детерминации R², показывающий, какую долю вариации инновационного потенциала объясняют включённые факторы. В нашем случае R² находится на </w:t>
      </w:r>
      <w:r w:rsidRPr="000C1190">
        <w:rPr>
          <w:rFonts w:ascii="Times New Roman" w:hAnsi="Times New Roman" w:cs="Times New Roman"/>
          <w:sz w:val="28"/>
          <w:szCs w:val="28"/>
          <w:lang w:val="kk-KZ"/>
        </w:rPr>
        <w:lastRenderedPageBreak/>
        <w:t>уровне 0,831–0,868, что свидетельствует о высокой объясняющей способ</w:t>
      </w:r>
      <w:r w:rsidR="00E90D47">
        <w:rPr>
          <w:rFonts w:ascii="Times New Roman" w:hAnsi="Times New Roman" w:cs="Times New Roman"/>
          <w:sz w:val="28"/>
          <w:szCs w:val="28"/>
          <w:lang w:val="kk-KZ"/>
        </w:rPr>
        <w:t xml:space="preserve">ности модели </w:t>
      </w:r>
      <w:r w:rsidR="009D20AE">
        <w:rPr>
          <w:rFonts w:ascii="Times New Roman" w:hAnsi="Times New Roman" w:cs="Times New Roman"/>
          <w:sz w:val="28"/>
          <w:szCs w:val="28"/>
          <w:lang w:val="kk-KZ"/>
        </w:rPr>
        <w:t>–</w:t>
      </w:r>
      <w:r w:rsidR="00E90D47">
        <w:rPr>
          <w:rFonts w:ascii="Times New Roman" w:hAnsi="Times New Roman" w:cs="Times New Roman"/>
          <w:sz w:val="28"/>
          <w:szCs w:val="28"/>
          <w:lang w:val="kk-KZ"/>
        </w:rPr>
        <w:t xml:space="preserve"> более 83</w:t>
      </w:r>
      <w:r w:rsidRPr="000C1190">
        <w:rPr>
          <w:rFonts w:ascii="Times New Roman" w:hAnsi="Times New Roman" w:cs="Times New Roman"/>
          <w:sz w:val="28"/>
          <w:szCs w:val="28"/>
          <w:lang w:val="kk-KZ"/>
        </w:rPr>
        <w:t>% вариации инновационного потенциала предприятий.</w:t>
      </w:r>
    </w:p>
    <w:p w14:paraId="090E6E04" w14:textId="77777777" w:rsidR="000C1190" w:rsidRPr="000C1190" w:rsidRDefault="000C1190" w:rsidP="002F33D0">
      <w:pPr>
        <w:tabs>
          <w:tab w:val="left" w:pos="993"/>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Качество модели оценивалось по комплексным индексам согласия. CFI и TLI превысили 0,92, показатель SRMR оказался ниже 0,06, что говорит о хорошем соответствии модели эмпирическим данным. RMSEA составил около 0,094, что допустимо для сложных моделей с большим числом переменных. Эти результаты подтверждают надёжность оценок коэффициентов и обоснованность сделанных выводов.</w:t>
      </w:r>
    </w:p>
    <w:p w14:paraId="099F3E23" w14:textId="761BF439" w:rsidR="000C1190" w:rsidRPr="000C1190" w:rsidRDefault="000C1190" w:rsidP="002F33D0">
      <w:pPr>
        <w:tabs>
          <w:tab w:val="left" w:pos="993"/>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Мультигрупповой анализ показал</w:t>
      </w:r>
      <w:r w:rsidR="00665DE3">
        <w:rPr>
          <w:rFonts w:ascii="Times New Roman" w:hAnsi="Times New Roman" w:cs="Times New Roman"/>
          <w:sz w:val="28"/>
          <w:szCs w:val="28"/>
          <w:lang w:val="kk-KZ"/>
        </w:rPr>
        <w:t xml:space="preserve"> (</w:t>
      </w:r>
      <w:r w:rsidR="00557C40">
        <w:rPr>
          <w:rFonts w:ascii="Times New Roman" w:hAnsi="Times New Roman" w:cs="Times New Roman"/>
          <w:sz w:val="28"/>
          <w:szCs w:val="28"/>
          <w:lang w:val="kk-KZ"/>
        </w:rPr>
        <w:t xml:space="preserve">Приложение </w:t>
      </w:r>
      <w:r w:rsidR="00AA67DC">
        <w:rPr>
          <w:rFonts w:ascii="Times New Roman" w:hAnsi="Times New Roman" w:cs="Times New Roman"/>
          <w:sz w:val="28"/>
          <w:szCs w:val="28"/>
          <w:lang w:val="kk-KZ"/>
        </w:rPr>
        <w:t>Ж</w:t>
      </w:r>
      <w:r w:rsidR="00665DE3">
        <w:rPr>
          <w:rFonts w:ascii="Times New Roman" w:hAnsi="Times New Roman" w:cs="Times New Roman"/>
          <w:sz w:val="28"/>
          <w:szCs w:val="28"/>
          <w:lang w:val="kk-KZ"/>
        </w:rPr>
        <w:t>)</w:t>
      </w:r>
      <w:r w:rsidRPr="000C1190">
        <w:rPr>
          <w:rFonts w:ascii="Times New Roman" w:hAnsi="Times New Roman" w:cs="Times New Roman"/>
          <w:sz w:val="28"/>
          <w:szCs w:val="28"/>
          <w:lang w:val="kk-KZ"/>
        </w:rPr>
        <w:t>, что во всех размерных группах предприятий инновационный потенциал формируется под влиянием одних и тех же блоков ресурсов, однако степень их значимости несколько различается. У крупных предприятий наибольший вклад в инновационный потенциал вносят управленческо-инновационные ресурсы (β = 0,561), отражающие наличие стратегии инновационного развития, участие в НИОКР, развитие лабораторной базы и подготовку персонала. У средних предприятий влияние управленческого фактора несколько снижается (β = 0,528), тогда как у малых оно остаётся сопоставимым (β = 0,526). Технологическая и материально-сырьевая база оказывает устойчивое воздействие на инновационный потенциал, которое особенно заметно для малых предприятий (β = 0,531). Финансовые ресурсы и инструменты во всех группах предприятий играют стабильно значимую</w:t>
      </w:r>
      <w:r w:rsidR="00486569">
        <w:rPr>
          <w:rFonts w:ascii="Times New Roman" w:hAnsi="Times New Roman" w:cs="Times New Roman"/>
          <w:sz w:val="28"/>
          <w:szCs w:val="28"/>
          <w:lang w:val="kk-KZ"/>
        </w:rPr>
        <w:t>, но наименьшую роль (β ≈ 0,425</w:t>
      </w:r>
      <w:r w:rsidR="00486569" w:rsidRPr="00486569">
        <w:rPr>
          <w:rFonts w:ascii="Times New Roman" w:hAnsi="Times New Roman" w:cs="Times New Roman"/>
          <w:sz w:val="28"/>
          <w:szCs w:val="28"/>
        </w:rPr>
        <w:t>-</w:t>
      </w:r>
      <w:r w:rsidRPr="000C1190">
        <w:rPr>
          <w:rFonts w:ascii="Times New Roman" w:hAnsi="Times New Roman" w:cs="Times New Roman"/>
          <w:sz w:val="28"/>
          <w:szCs w:val="28"/>
          <w:lang w:val="kk-KZ"/>
        </w:rPr>
        <w:t>0,457), что отражает их ограниченность как драйвера инноваций.</w:t>
      </w:r>
    </w:p>
    <w:p w14:paraId="3D1F7E69" w14:textId="12118C94" w:rsidR="000C1190" w:rsidRPr="000C1190" w:rsidRDefault="000C1190" w:rsidP="002F33D0">
      <w:pPr>
        <w:tabs>
          <w:tab w:val="left" w:pos="993"/>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Количественная оценка силы влияния каждого ресурсного блока на инновационный потенциал представлена в таблице 1</w:t>
      </w:r>
      <w:r w:rsidR="005B1FAD">
        <w:rPr>
          <w:rFonts w:ascii="Times New Roman" w:hAnsi="Times New Roman" w:cs="Times New Roman"/>
          <w:sz w:val="28"/>
          <w:szCs w:val="28"/>
          <w:lang w:val="kk-KZ"/>
        </w:rPr>
        <w:t>0</w:t>
      </w:r>
      <w:r w:rsidRPr="000C1190">
        <w:rPr>
          <w:rFonts w:ascii="Times New Roman" w:hAnsi="Times New Roman" w:cs="Times New Roman"/>
          <w:sz w:val="28"/>
          <w:szCs w:val="28"/>
          <w:lang w:val="kk-KZ"/>
        </w:rPr>
        <w:t>. Она демонстрирует, что во всех размерных группах предприятий сохраняется единая структура значимых факторов, однако их относительное влияние варьирует в зависимости от масштаба бизнеса.</w:t>
      </w:r>
    </w:p>
    <w:p w14:paraId="7C4156BC" w14:textId="77777777" w:rsidR="000C1190" w:rsidRPr="000C1190" w:rsidRDefault="000C1190" w:rsidP="002F33D0">
      <w:pPr>
        <w:tabs>
          <w:tab w:val="left" w:pos="993"/>
        </w:tabs>
        <w:spacing w:after="0" w:line="240" w:lineRule="auto"/>
        <w:ind w:firstLine="567"/>
        <w:jc w:val="both"/>
        <w:rPr>
          <w:rFonts w:ascii="Times New Roman" w:hAnsi="Times New Roman" w:cs="Times New Roman"/>
          <w:sz w:val="28"/>
          <w:szCs w:val="28"/>
          <w:lang w:val="kk-KZ"/>
        </w:rPr>
      </w:pPr>
    </w:p>
    <w:p w14:paraId="71A96D45" w14:textId="02CC6D37" w:rsidR="000C1190" w:rsidRDefault="000C1190" w:rsidP="002F33D0">
      <w:pPr>
        <w:tabs>
          <w:tab w:val="left" w:pos="993"/>
        </w:tabs>
        <w:spacing w:after="0" w:line="240" w:lineRule="auto"/>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Таблица 1</w:t>
      </w:r>
      <w:r w:rsidR="005B1FAD">
        <w:rPr>
          <w:rFonts w:ascii="Times New Roman" w:hAnsi="Times New Roman" w:cs="Times New Roman"/>
          <w:sz w:val="28"/>
          <w:szCs w:val="28"/>
          <w:lang w:val="kk-KZ"/>
        </w:rPr>
        <w:t>0</w:t>
      </w:r>
      <w:r w:rsidRPr="000C1190">
        <w:rPr>
          <w:rFonts w:ascii="Times New Roman" w:hAnsi="Times New Roman" w:cs="Times New Roman"/>
          <w:sz w:val="28"/>
          <w:szCs w:val="28"/>
          <w:lang w:val="kk-KZ"/>
        </w:rPr>
        <w:t xml:space="preserve"> – Стандартизированные коэффициенты влияния ресурсных факторов на инновационный потенциал по размеру предприятия</w:t>
      </w:r>
    </w:p>
    <w:p w14:paraId="410A6FD6" w14:textId="77777777" w:rsidR="00E90D47" w:rsidRPr="000C1190" w:rsidRDefault="00E90D47" w:rsidP="002F33D0">
      <w:pPr>
        <w:tabs>
          <w:tab w:val="left" w:pos="993"/>
        </w:tabs>
        <w:spacing w:after="0" w:line="240" w:lineRule="auto"/>
        <w:jc w:val="both"/>
        <w:rPr>
          <w:rFonts w:ascii="Times New Roman" w:hAnsi="Times New Roman" w:cs="Times New Roman"/>
          <w:sz w:val="28"/>
          <w:szCs w:val="28"/>
          <w:lang w:val="kk-KZ"/>
        </w:rPr>
      </w:pPr>
    </w:p>
    <w:tbl>
      <w:tblPr>
        <w:tblStyle w:val="a5"/>
        <w:tblW w:w="0" w:type="auto"/>
        <w:tblLook w:val="04A0" w:firstRow="1" w:lastRow="0" w:firstColumn="1" w:lastColumn="0" w:noHBand="0" w:noVBand="1"/>
      </w:tblPr>
      <w:tblGrid>
        <w:gridCol w:w="2336"/>
        <w:gridCol w:w="2336"/>
        <w:gridCol w:w="2336"/>
        <w:gridCol w:w="2337"/>
      </w:tblGrid>
      <w:tr w:rsidR="000C1190" w:rsidRPr="009D20AE" w14:paraId="5E7D893F" w14:textId="77777777" w:rsidTr="00E90D47">
        <w:tc>
          <w:tcPr>
            <w:tcW w:w="2336" w:type="dxa"/>
          </w:tcPr>
          <w:p w14:paraId="0BD1DD64" w14:textId="77777777" w:rsidR="000C1190" w:rsidRPr="009D20AE" w:rsidRDefault="000C1190" w:rsidP="002F33D0">
            <w:pPr>
              <w:tabs>
                <w:tab w:val="left" w:pos="993"/>
              </w:tabs>
              <w:ind w:firstLine="0"/>
              <w:jc w:val="center"/>
              <w:rPr>
                <w:szCs w:val="24"/>
                <w:lang w:val="kk-KZ"/>
              </w:rPr>
            </w:pPr>
            <w:r w:rsidRPr="009D20AE">
              <w:rPr>
                <w:szCs w:val="24"/>
                <w:lang w:val="kk-KZ"/>
              </w:rPr>
              <w:t>Группа предприятий</w:t>
            </w:r>
          </w:p>
        </w:tc>
        <w:tc>
          <w:tcPr>
            <w:tcW w:w="2336" w:type="dxa"/>
          </w:tcPr>
          <w:p w14:paraId="0D26F968" w14:textId="77777777" w:rsidR="000C1190" w:rsidRPr="009D20AE" w:rsidRDefault="000C1190" w:rsidP="002F33D0">
            <w:pPr>
              <w:tabs>
                <w:tab w:val="left" w:pos="993"/>
              </w:tabs>
              <w:ind w:firstLine="0"/>
              <w:jc w:val="center"/>
              <w:rPr>
                <w:szCs w:val="24"/>
              </w:rPr>
            </w:pPr>
            <w:r w:rsidRPr="009D20AE">
              <w:rPr>
                <w:szCs w:val="24"/>
                <w:lang w:val="kk-KZ"/>
              </w:rPr>
              <w:t>Фактор 1 – Управленческо-инновационные ресурсы (MR)</w:t>
            </w:r>
          </w:p>
        </w:tc>
        <w:tc>
          <w:tcPr>
            <w:tcW w:w="2336" w:type="dxa"/>
          </w:tcPr>
          <w:p w14:paraId="2B3AC77A" w14:textId="77777777" w:rsidR="000C1190" w:rsidRPr="009D20AE" w:rsidRDefault="000C1190" w:rsidP="002F33D0">
            <w:pPr>
              <w:tabs>
                <w:tab w:val="left" w:pos="993"/>
              </w:tabs>
              <w:ind w:firstLine="0"/>
              <w:jc w:val="center"/>
              <w:rPr>
                <w:szCs w:val="24"/>
              </w:rPr>
            </w:pPr>
            <w:r w:rsidRPr="009D20AE">
              <w:rPr>
                <w:szCs w:val="24"/>
                <w:lang w:val="kk-KZ"/>
              </w:rPr>
              <w:t>Фактор 2 – Финансовые ресурсы и инструменты (FR)</w:t>
            </w:r>
          </w:p>
        </w:tc>
        <w:tc>
          <w:tcPr>
            <w:tcW w:w="2337" w:type="dxa"/>
          </w:tcPr>
          <w:p w14:paraId="09034BBF" w14:textId="77777777" w:rsidR="000C1190" w:rsidRPr="009D20AE" w:rsidRDefault="000C1190" w:rsidP="002F33D0">
            <w:pPr>
              <w:tabs>
                <w:tab w:val="left" w:pos="993"/>
              </w:tabs>
              <w:ind w:firstLine="0"/>
              <w:jc w:val="center"/>
              <w:rPr>
                <w:szCs w:val="24"/>
              </w:rPr>
            </w:pPr>
            <w:r w:rsidRPr="009D20AE">
              <w:rPr>
                <w:szCs w:val="24"/>
                <w:lang w:val="kk-KZ"/>
              </w:rPr>
              <w:t>Технологическая и материально-сырьевая база (TR)</w:t>
            </w:r>
          </w:p>
        </w:tc>
      </w:tr>
      <w:tr w:rsidR="000C1190" w:rsidRPr="009D20AE" w14:paraId="4A003C5C" w14:textId="77777777" w:rsidTr="00E90D47">
        <w:tc>
          <w:tcPr>
            <w:tcW w:w="2336" w:type="dxa"/>
          </w:tcPr>
          <w:p w14:paraId="11070BD5" w14:textId="77777777" w:rsidR="000C1190" w:rsidRPr="009D20AE" w:rsidRDefault="000C1190" w:rsidP="002F33D0">
            <w:pPr>
              <w:tabs>
                <w:tab w:val="left" w:pos="993"/>
              </w:tabs>
              <w:ind w:firstLine="0"/>
              <w:jc w:val="both"/>
              <w:rPr>
                <w:szCs w:val="24"/>
                <w:lang w:val="kk-KZ"/>
              </w:rPr>
            </w:pPr>
            <w:r w:rsidRPr="009D20AE">
              <w:rPr>
                <w:szCs w:val="24"/>
                <w:lang w:val="kk-KZ"/>
              </w:rPr>
              <w:t xml:space="preserve">Крупные – 1 </w:t>
            </w:r>
          </w:p>
        </w:tc>
        <w:tc>
          <w:tcPr>
            <w:tcW w:w="2336" w:type="dxa"/>
            <w:vAlign w:val="center"/>
          </w:tcPr>
          <w:p w14:paraId="565DAAF7" w14:textId="77777777" w:rsidR="000C1190" w:rsidRPr="009D20AE" w:rsidRDefault="000C1190" w:rsidP="002F33D0">
            <w:pPr>
              <w:tabs>
                <w:tab w:val="left" w:pos="993"/>
              </w:tabs>
              <w:ind w:firstLine="0"/>
              <w:jc w:val="center"/>
              <w:rPr>
                <w:szCs w:val="24"/>
                <w:lang w:val="kk-KZ"/>
              </w:rPr>
            </w:pPr>
            <w:r w:rsidRPr="009D20AE">
              <w:rPr>
                <w:szCs w:val="24"/>
                <w:lang w:val="kk-KZ"/>
              </w:rPr>
              <w:t>0,561</w:t>
            </w:r>
          </w:p>
        </w:tc>
        <w:tc>
          <w:tcPr>
            <w:tcW w:w="2336" w:type="dxa"/>
            <w:vAlign w:val="center"/>
          </w:tcPr>
          <w:p w14:paraId="6274B599" w14:textId="77777777" w:rsidR="000C1190" w:rsidRPr="009D20AE" w:rsidRDefault="000C1190" w:rsidP="002F33D0">
            <w:pPr>
              <w:tabs>
                <w:tab w:val="left" w:pos="993"/>
              </w:tabs>
              <w:ind w:firstLine="0"/>
              <w:jc w:val="center"/>
              <w:rPr>
                <w:szCs w:val="24"/>
                <w:lang w:val="kk-KZ"/>
              </w:rPr>
            </w:pPr>
            <w:r w:rsidRPr="009D20AE">
              <w:rPr>
                <w:szCs w:val="24"/>
                <w:lang w:val="kk-KZ"/>
              </w:rPr>
              <w:t>0,425</w:t>
            </w:r>
          </w:p>
        </w:tc>
        <w:tc>
          <w:tcPr>
            <w:tcW w:w="2337" w:type="dxa"/>
            <w:vAlign w:val="center"/>
          </w:tcPr>
          <w:p w14:paraId="32678FB1" w14:textId="77777777" w:rsidR="000C1190" w:rsidRPr="009D20AE" w:rsidRDefault="000C1190" w:rsidP="002F33D0">
            <w:pPr>
              <w:tabs>
                <w:tab w:val="left" w:pos="993"/>
              </w:tabs>
              <w:ind w:firstLine="0"/>
              <w:jc w:val="center"/>
              <w:rPr>
                <w:szCs w:val="24"/>
                <w:lang w:val="kk-KZ"/>
              </w:rPr>
            </w:pPr>
            <w:r w:rsidRPr="009D20AE">
              <w:rPr>
                <w:szCs w:val="24"/>
                <w:lang w:val="kk-KZ"/>
              </w:rPr>
              <w:t>0,527</w:t>
            </w:r>
          </w:p>
        </w:tc>
      </w:tr>
      <w:tr w:rsidR="000C1190" w:rsidRPr="009D20AE" w14:paraId="49BFE9C6" w14:textId="77777777" w:rsidTr="00E90D47">
        <w:tc>
          <w:tcPr>
            <w:tcW w:w="2336" w:type="dxa"/>
          </w:tcPr>
          <w:p w14:paraId="06188512" w14:textId="77777777" w:rsidR="000C1190" w:rsidRPr="009D20AE" w:rsidRDefault="000C1190" w:rsidP="002F33D0">
            <w:pPr>
              <w:tabs>
                <w:tab w:val="left" w:pos="993"/>
              </w:tabs>
              <w:ind w:firstLine="0"/>
              <w:jc w:val="both"/>
              <w:rPr>
                <w:szCs w:val="24"/>
                <w:lang w:val="kk-KZ"/>
              </w:rPr>
            </w:pPr>
            <w:r w:rsidRPr="009D20AE">
              <w:rPr>
                <w:szCs w:val="24"/>
                <w:lang w:val="kk-KZ"/>
              </w:rPr>
              <w:t xml:space="preserve">Средние – 2 </w:t>
            </w:r>
          </w:p>
        </w:tc>
        <w:tc>
          <w:tcPr>
            <w:tcW w:w="2336" w:type="dxa"/>
            <w:vAlign w:val="center"/>
          </w:tcPr>
          <w:p w14:paraId="75B5A960" w14:textId="77777777" w:rsidR="000C1190" w:rsidRPr="009D20AE" w:rsidRDefault="000C1190" w:rsidP="002F33D0">
            <w:pPr>
              <w:tabs>
                <w:tab w:val="left" w:pos="993"/>
              </w:tabs>
              <w:ind w:firstLine="0"/>
              <w:jc w:val="center"/>
              <w:rPr>
                <w:szCs w:val="24"/>
                <w:lang w:val="kk-KZ"/>
              </w:rPr>
            </w:pPr>
            <w:r w:rsidRPr="009D20AE">
              <w:rPr>
                <w:szCs w:val="24"/>
                <w:lang w:val="kk-KZ"/>
              </w:rPr>
              <w:t>0,528</w:t>
            </w:r>
          </w:p>
        </w:tc>
        <w:tc>
          <w:tcPr>
            <w:tcW w:w="2336" w:type="dxa"/>
            <w:vAlign w:val="center"/>
          </w:tcPr>
          <w:p w14:paraId="552FBDA9" w14:textId="77777777" w:rsidR="000C1190" w:rsidRPr="009D20AE" w:rsidRDefault="000C1190" w:rsidP="002F33D0">
            <w:pPr>
              <w:tabs>
                <w:tab w:val="left" w:pos="993"/>
              </w:tabs>
              <w:ind w:firstLine="0"/>
              <w:jc w:val="center"/>
              <w:rPr>
                <w:szCs w:val="24"/>
                <w:lang w:val="kk-KZ"/>
              </w:rPr>
            </w:pPr>
            <w:r w:rsidRPr="009D20AE">
              <w:rPr>
                <w:szCs w:val="24"/>
                <w:lang w:val="kk-KZ"/>
              </w:rPr>
              <w:t>0,457</w:t>
            </w:r>
          </w:p>
        </w:tc>
        <w:tc>
          <w:tcPr>
            <w:tcW w:w="2337" w:type="dxa"/>
            <w:vAlign w:val="center"/>
          </w:tcPr>
          <w:p w14:paraId="238BEAEA" w14:textId="77777777" w:rsidR="000C1190" w:rsidRPr="009D20AE" w:rsidRDefault="000C1190" w:rsidP="002F33D0">
            <w:pPr>
              <w:tabs>
                <w:tab w:val="left" w:pos="993"/>
              </w:tabs>
              <w:ind w:firstLine="0"/>
              <w:jc w:val="center"/>
              <w:rPr>
                <w:szCs w:val="24"/>
                <w:lang w:val="kk-KZ"/>
              </w:rPr>
            </w:pPr>
            <w:r w:rsidRPr="009D20AE">
              <w:rPr>
                <w:szCs w:val="24"/>
                <w:lang w:val="kk-KZ"/>
              </w:rPr>
              <w:t>0,510</w:t>
            </w:r>
          </w:p>
        </w:tc>
      </w:tr>
      <w:tr w:rsidR="000C1190" w:rsidRPr="009D20AE" w14:paraId="1216DEBD" w14:textId="77777777" w:rsidTr="00E90D47">
        <w:tc>
          <w:tcPr>
            <w:tcW w:w="2336" w:type="dxa"/>
          </w:tcPr>
          <w:p w14:paraId="627837CE" w14:textId="77777777" w:rsidR="000C1190" w:rsidRPr="009D20AE" w:rsidRDefault="000C1190" w:rsidP="002F33D0">
            <w:pPr>
              <w:tabs>
                <w:tab w:val="left" w:pos="993"/>
              </w:tabs>
              <w:ind w:firstLine="0"/>
              <w:jc w:val="both"/>
              <w:rPr>
                <w:szCs w:val="24"/>
                <w:lang w:val="kk-KZ"/>
              </w:rPr>
            </w:pPr>
            <w:r w:rsidRPr="009D20AE">
              <w:rPr>
                <w:szCs w:val="24"/>
                <w:lang w:val="kk-KZ"/>
              </w:rPr>
              <w:t xml:space="preserve">Малые – 3 </w:t>
            </w:r>
          </w:p>
        </w:tc>
        <w:tc>
          <w:tcPr>
            <w:tcW w:w="2336" w:type="dxa"/>
            <w:vAlign w:val="center"/>
          </w:tcPr>
          <w:p w14:paraId="3901C2BC" w14:textId="77777777" w:rsidR="000C1190" w:rsidRPr="009D20AE" w:rsidRDefault="000C1190" w:rsidP="002F33D0">
            <w:pPr>
              <w:tabs>
                <w:tab w:val="left" w:pos="993"/>
              </w:tabs>
              <w:ind w:firstLine="0"/>
              <w:jc w:val="center"/>
              <w:rPr>
                <w:szCs w:val="24"/>
                <w:lang w:val="kk-KZ"/>
              </w:rPr>
            </w:pPr>
            <w:r w:rsidRPr="009D20AE">
              <w:rPr>
                <w:szCs w:val="24"/>
                <w:lang w:val="kk-KZ"/>
              </w:rPr>
              <w:t>0,526</w:t>
            </w:r>
          </w:p>
        </w:tc>
        <w:tc>
          <w:tcPr>
            <w:tcW w:w="2336" w:type="dxa"/>
            <w:vAlign w:val="center"/>
          </w:tcPr>
          <w:p w14:paraId="13988B87" w14:textId="77777777" w:rsidR="000C1190" w:rsidRPr="009D20AE" w:rsidRDefault="000C1190" w:rsidP="002F33D0">
            <w:pPr>
              <w:tabs>
                <w:tab w:val="left" w:pos="993"/>
              </w:tabs>
              <w:ind w:firstLine="0"/>
              <w:jc w:val="center"/>
              <w:rPr>
                <w:szCs w:val="24"/>
                <w:lang w:val="kk-KZ"/>
              </w:rPr>
            </w:pPr>
            <w:r w:rsidRPr="009D20AE">
              <w:rPr>
                <w:szCs w:val="24"/>
                <w:lang w:val="kk-KZ"/>
              </w:rPr>
              <w:t>0,457</w:t>
            </w:r>
          </w:p>
        </w:tc>
        <w:tc>
          <w:tcPr>
            <w:tcW w:w="2337" w:type="dxa"/>
            <w:vAlign w:val="center"/>
          </w:tcPr>
          <w:p w14:paraId="5E2D7CBA" w14:textId="77777777" w:rsidR="000C1190" w:rsidRPr="009D20AE" w:rsidRDefault="000C1190" w:rsidP="002F33D0">
            <w:pPr>
              <w:tabs>
                <w:tab w:val="left" w:pos="993"/>
              </w:tabs>
              <w:ind w:firstLine="0"/>
              <w:jc w:val="center"/>
              <w:rPr>
                <w:szCs w:val="24"/>
                <w:lang w:val="kk-KZ"/>
              </w:rPr>
            </w:pPr>
            <w:r w:rsidRPr="009D20AE">
              <w:rPr>
                <w:szCs w:val="24"/>
                <w:lang w:val="kk-KZ"/>
              </w:rPr>
              <w:t>0,531</w:t>
            </w:r>
          </w:p>
        </w:tc>
      </w:tr>
      <w:tr w:rsidR="000C1190" w:rsidRPr="009D20AE" w14:paraId="48C2E05C" w14:textId="77777777" w:rsidTr="000C1190">
        <w:tc>
          <w:tcPr>
            <w:tcW w:w="9345" w:type="dxa"/>
            <w:gridSpan w:val="4"/>
          </w:tcPr>
          <w:p w14:paraId="126BB31B" w14:textId="4A8230D3" w:rsidR="000C1190" w:rsidRPr="009D20AE" w:rsidRDefault="005B1FAD" w:rsidP="00A64D4E">
            <w:pPr>
              <w:tabs>
                <w:tab w:val="left" w:pos="993"/>
              </w:tabs>
              <w:ind w:firstLine="452"/>
              <w:jc w:val="both"/>
              <w:rPr>
                <w:szCs w:val="24"/>
                <w:lang w:val="kk-KZ"/>
              </w:rPr>
            </w:pPr>
            <w:r w:rsidRPr="00660037">
              <w:rPr>
                <w:sz w:val="22"/>
                <w:szCs w:val="24"/>
                <w:lang w:val="kk-KZ"/>
              </w:rPr>
              <w:t xml:space="preserve">Примечание – </w:t>
            </w:r>
            <w:r w:rsidR="000F3C80">
              <w:rPr>
                <w:sz w:val="22"/>
                <w:szCs w:val="24"/>
                <w:lang w:val="kk-KZ"/>
              </w:rPr>
              <w:t>Е</w:t>
            </w:r>
            <w:r w:rsidR="000C1190" w:rsidRPr="00660037">
              <w:rPr>
                <w:sz w:val="22"/>
                <w:szCs w:val="24"/>
                <w:lang w:val="kk-KZ"/>
              </w:rPr>
              <w:t>диница измерения влияния – стандартизированный коэффициент β от 0 до 1, показывающий долю условного влияния фактора на инновационный потенциал</w:t>
            </w:r>
          </w:p>
        </w:tc>
      </w:tr>
    </w:tbl>
    <w:p w14:paraId="7726032F" w14:textId="77777777" w:rsidR="000C1190" w:rsidRPr="000C1190" w:rsidRDefault="000C1190" w:rsidP="002F33D0">
      <w:pPr>
        <w:tabs>
          <w:tab w:val="left" w:pos="993"/>
        </w:tabs>
        <w:spacing w:after="0" w:line="240" w:lineRule="auto"/>
        <w:ind w:firstLine="567"/>
        <w:jc w:val="both"/>
        <w:rPr>
          <w:rFonts w:ascii="Times New Roman" w:hAnsi="Times New Roman" w:cs="Times New Roman"/>
          <w:sz w:val="28"/>
          <w:szCs w:val="28"/>
          <w:lang w:val="kk-KZ"/>
        </w:rPr>
      </w:pPr>
    </w:p>
    <w:p w14:paraId="08551325" w14:textId="6B2455D0" w:rsidR="000C1190" w:rsidRDefault="000C1190" w:rsidP="002F33D0">
      <w:pPr>
        <w:tabs>
          <w:tab w:val="left" w:pos="993"/>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Таким образом, модель демонстрирует высокую объяснительную способность и стабильность структуры влияний. Основным драйвером инновационного потенциала выступает управленческо-инновационный ресурс, поддерживаемый технологической базой, тогда как финансовый фактор играет вспомогательную роль. Проведённый анализ показал, что </w:t>
      </w:r>
      <w:r w:rsidRPr="000C1190">
        <w:rPr>
          <w:rFonts w:ascii="Times New Roman" w:hAnsi="Times New Roman" w:cs="Times New Roman"/>
          <w:sz w:val="28"/>
          <w:szCs w:val="28"/>
          <w:lang w:val="kk-KZ"/>
        </w:rPr>
        <w:lastRenderedPageBreak/>
        <w:t>различия между малыми, средними и крупными предприятиями носят количественный характер и связаны скорее с интенсивностью воздействия факторов, чем с изменением самой структуры модели</w:t>
      </w:r>
      <w:r w:rsidR="00E90D47">
        <w:rPr>
          <w:rFonts w:ascii="Times New Roman" w:hAnsi="Times New Roman" w:cs="Times New Roman"/>
          <w:sz w:val="28"/>
          <w:szCs w:val="28"/>
          <w:lang w:val="kk-KZ"/>
        </w:rPr>
        <w:t xml:space="preserve"> (1)</w:t>
      </w:r>
      <w:r w:rsidRPr="000C1190">
        <w:rPr>
          <w:rFonts w:ascii="Times New Roman" w:hAnsi="Times New Roman" w:cs="Times New Roman"/>
          <w:sz w:val="28"/>
          <w:szCs w:val="28"/>
          <w:lang w:val="kk-KZ"/>
        </w:rPr>
        <w:t>.</w:t>
      </w:r>
    </w:p>
    <w:p w14:paraId="6BFCF649" w14:textId="1E99C4DB" w:rsidR="003F0889" w:rsidRDefault="003F0889" w:rsidP="002F33D0">
      <w:pPr>
        <w:tabs>
          <w:tab w:val="left" w:pos="993"/>
        </w:tabs>
        <w:spacing w:after="0" w:line="240" w:lineRule="auto"/>
        <w:ind w:firstLine="567"/>
        <w:jc w:val="both"/>
        <w:rPr>
          <w:rFonts w:ascii="Times New Roman" w:hAnsi="Times New Roman" w:cs="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8"/>
        <w:gridCol w:w="697"/>
      </w:tblGrid>
      <w:tr w:rsidR="003F0889" w14:paraId="1A073E49" w14:textId="77777777" w:rsidTr="003F0889">
        <w:tc>
          <w:tcPr>
            <w:tcW w:w="8926" w:type="dxa"/>
          </w:tcPr>
          <w:p w14:paraId="0D662242" w14:textId="4B18FE22" w:rsidR="003F0889" w:rsidRDefault="003F0889" w:rsidP="002F33D0">
            <w:pPr>
              <w:tabs>
                <w:tab w:val="left" w:pos="993"/>
              </w:tabs>
              <w:jc w:val="center"/>
              <w:rPr>
                <w:sz w:val="28"/>
                <w:szCs w:val="28"/>
                <w:lang w:val="kk-KZ"/>
              </w:rPr>
            </w:pPr>
            <m:oMathPara>
              <m:oMath>
                <m:r>
                  <w:rPr>
                    <w:rFonts w:ascii="Cambria Math" w:hAnsi="Cambria Math"/>
                    <w:sz w:val="28"/>
                    <w:szCs w:val="28"/>
                    <w:lang w:val="kk-KZ"/>
                  </w:rPr>
                  <m:t>IP=</m:t>
                </m:r>
                <m:sSub>
                  <m:sSubPr>
                    <m:ctrlPr>
                      <w:rPr>
                        <w:rFonts w:ascii="Cambria Math" w:hAnsi="Cambria Math"/>
                        <w:i/>
                        <w:sz w:val="28"/>
                        <w:szCs w:val="28"/>
                        <w:lang w:val="kk-KZ"/>
                      </w:rPr>
                    </m:ctrlPr>
                  </m:sSubPr>
                  <m:e>
                    <m:r>
                      <w:rPr>
                        <w:rFonts w:ascii="Cambria Math" w:hAnsi="Cambria Math"/>
                        <w:sz w:val="28"/>
                        <w:szCs w:val="28"/>
                        <w:lang w:val="kk-KZ"/>
                      </w:rPr>
                      <m:t>β</m:t>
                    </m:r>
                  </m:e>
                  <m:sub>
                    <m:r>
                      <w:rPr>
                        <w:rFonts w:ascii="Cambria Math" w:hAnsi="Cambria Math"/>
                        <w:sz w:val="28"/>
                        <w:szCs w:val="28"/>
                        <w:lang w:val="kk-KZ"/>
                      </w:rPr>
                      <m:t>1</m:t>
                    </m:r>
                  </m:sub>
                </m:sSub>
                <m:r>
                  <w:rPr>
                    <w:rFonts w:ascii="Cambria Math" w:hAnsi="Cambria Math"/>
                    <w:sz w:val="28"/>
                    <w:szCs w:val="28"/>
                    <w:lang w:val="kk-KZ"/>
                  </w:rPr>
                  <m:t>∙MR+</m:t>
                </m:r>
                <m:sSub>
                  <m:sSubPr>
                    <m:ctrlPr>
                      <w:rPr>
                        <w:rFonts w:ascii="Cambria Math" w:hAnsi="Cambria Math"/>
                        <w:i/>
                        <w:sz w:val="28"/>
                        <w:szCs w:val="28"/>
                        <w:lang w:val="kk-KZ"/>
                      </w:rPr>
                    </m:ctrlPr>
                  </m:sSubPr>
                  <m:e>
                    <m:r>
                      <w:rPr>
                        <w:rFonts w:ascii="Cambria Math" w:hAnsi="Cambria Math"/>
                        <w:sz w:val="28"/>
                        <w:szCs w:val="28"/>
                        <w:lang w:val="kk-KZ"/>
                      </w:rPr>
                      <m:t>β</m:t>
                    </m:r>
                  </m:e>
                  <m:sub>
                    <m:r>
                      <w:rPr>
                        <w:rFonts w:ascii="Cambria Math" w:hAnsi="Cambria Math"/>
                        <w:sz w:val="28"/>
                        <w:szCs w:val="28"/>
                        <w:lang w:val="kk-KZ"/>
                      </w:rPr>
                      <m:t>2</m:t>
                    </m:r>
                  </m:sub>
                </m:sSub>
                <m:r>
                  <w:rPr>
                    <w:rFonts w:ascii="Cambria Math" w:hAnsi="Cambria Math"/>
                    <w:sz w:val="28"/>
                    <w:szCs w:val="28"/>
                    <w:lang w:val="kk-KZ"/>
                  </w:rPr>
                  <m:t>∙FR+</m:t>
                </m:r>
                <m:sSub>
                  <m:sSubPr>
                    <m:ctrlPr>
                      <w:rPr>
                        <w:rFonts w:ascii="Cambria Math" w:hAnsi="Cambria Math"/>
                        <w:i/>
                        <w:sz w:val="28"/>
                        <w:szCs w:val="28"/>
                        <w:lang w:val="kk-KZ"/>
                      </w:rPr>
                    </m:ctrlPr>
                  </m:sSubPr>
                  <m:e>
                    <m:r>
                      <w:rPr>
                        <w:rFonts w:ascii="Cambria Math" w:hAnsi="Cambria Math"/>
                        <w:sz w:val="28"/>
                        <w:szCs w:val="28"/>
                        <w:lang w:val="kk-KZ"/>
                      </w:rPr>
                      <m:t>β</m:t>
                    </m:r>
                  </m:e>
                  <m:sub>
                    <m:r>
                      <w:rPr>
                        <w:rFonts w:ascii="Cambria Math" w:hAnsi="Cambria Math"/>
                        <w:sz w:val="28"/>
                        <w:szCs w:val="28"/>
                        <w:lang w:val="kk-KZ"/>
                      </w:rPr>
                      <m:t>3</m:t>
                    </m:r>
                  </m:sub>
                </m:sSub>
                <m:r>
                  <w:rPr>
                    <w:rFonts w:ascii="Cambria Math" w:hAnsi="Cambria Math"/>
                    <w:sz w:val="28"/>
                    <w:szCs w:val="28"/>
                    <w:lang w:val="kk-KZ"/>
                  </w:rPr>
                  <m:t>∙TR+ε</m:t>
                </m:r>
              </m:oMath>
            </m:oMathPara>
          </w:p>
        </w:tc>
        <w:tc>
          <w:tcPr>
            <w:tcW w:w="702" w:type="dxa"/>
          </w:tcPr>
          <w:p w14:paraId="223D0576" w14:textId="1355A8D2" w:rsidR="003F0889" w:rsidRDefault="003F0889" w:rsidP="002F33D0">
            <w:pPr>
              <w:tabs>
                <w:tab w:val="left" w:pos="993"/>
              </w:tabs>
              <w:ind w:firstLine="0"/>
              <w:jc w:val="right"/>
              <w:rPr>
                <w:sz w:val="28"/>
                <w:szCs w:val="28"/>
                <w:lang w:val="kk-KZ"/>
              </w:rPr>
            </w:pPr>
            <w:r>
              <w:rPr>
                <w:rFonts w:eastAsiaTheme="minorEastAsia"/>
                <w:sz w:val="28"/>
                <w:szCs w:val="28"/>
                <w:lang w:val="kk-KZ"/>
              </w:rPr>
              <w:t>(1)</w:t>
            </w:r>
          </w:p>
        </w:tc>
      </w:tr>
    </w:tbl>
    <w:p w14:paraId="6F765EDC" w14:textId="4128F806" w:rsidR="00E90D47" w:rsidRDefault="00E90D47" w:rsidP="002F33D0">
      <w:pPr>
        <w:tabs>
          <w:tab w:val="left" w:pos="993"/>
        </w:tabs>
        <w:spacing w:after="0" w:line="240" w:lineRule="auto"/>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    </w:t>
      </w:r>
    </w:p>
    <w:p w14:paraId="6B327FEB" w14:textId="3D8FC040" w:rsidR="000C1190" w:rsidRPr="000C1190" w:rsidRDefault="005B1FAD" w:rsidP="005B1FAD">
      <w:pPr>
        <w:tabs>
          <w:tab w:val="left" w:pos="993"/>
        </w:tabs>
        <w:spacing w:after="0" w:line="240" w:lineRule="auto"/>
        <w:ind w:firstLine="567"/>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где</w:t>
      </w:r>
    </w:p>
    <w:p w14:paraId="0B623B55" w14:textId="77D607F1" w:rsidR="000C1190" w:rsidRPr="000C1190" w:rsidRDefault="000C1190" w:rsidP="005B1FAD">
      <w:pPr>
        <w:tabs>
          <w:tab w:val="left" w:pos="993"/>
        </w:tabs>
        <w:spacing w:after="0" w:line="240" w:lineRule="auto"/>
        <w:ind w:firstLine="567"/>
        <w:jc w:val="both"/>
        <w:rPr>
          <w:rFonts w:ascii="Times New Roman" w:eastAsiaTheme="minorEastAsia" w:hAnsi="Times New Roman" w:cs="Times New Roman"/>
          <w:sz w:val="28"/>
          <w:szCs w:val="28"/>
          <w:lang w:val="kk-KZ"/>
        </w:rPr>
      </w:pPr>
      <m:oMath>
        <m:r>
          <w:rPr>
            <w:rFonts w:ascii="Cambria Math" w:hAnsi="Cambria Math" w:cs="Times New Roman"/>
            <w:sz w:val="28"/>
            <w:szCs w:val="28"/>
            <w:lang w:val="en-US"/>
          </w:rPr>
          <m:t>IP</m:t>
        </m:r>
      </m:oMath>
      <w:r w:rsidRPr="000C1190">
        <w:rPr>
          <w:rFonts w:ascii="Times New Roman" w:eastAsiaTheme="minorEastAsia" w:hAnsi="Times New Roman" w:cs="Times New Roman"/>
          <w:sz w:val="28"/>
          <w:szCs w:val="28"/>
          <w:lang w:val="kk-KZ"/>
        </w:rPr>
        <w:t xml:space="preserve"> – </w:t>
      </w:r>
      <w:r w:rsidR="005B1FAD">
        <w:rPr>
          <w:rFonts w:ascii="Times New Roman" w:eastAsiaTheme="minorEastAsia" w:hAnsi="Times New Roman" w:cs="Times New Roman"/>
          <w:sz w:val="28"/>
          <w:szCs w:val="28"/>
          <w:lang w:val="kk-KZ"/>
        </w:rPr>
        <w:t>с</w:t>
      </w:r>
      <w:r w:rsidRPr="000C1190">
        <w:rPr>
          <w:rFonts w:ascii="Times New Roman" w:eastAsiaTheme="minorEastAsia" w:hAnsi="Times New Roman" w:cs="Times New Roman"/>
          <w:sz w:val="28"/>
          <w:szCs w:val="28"/>
          <w:lang w:val="kk-KZ"/>
        </w:rPr>
        <w:t>убъективная оценка инновационного потенциала предпринимательской структуры;</w:t>
      </w:r>
    </w:p>
    <w:p w14:paraId="528AE127" w14:textId="77777777" w:rsidR="000C1190" w:rsidRPr="000C1190" w:rsidRDefault="000C1190" w:rsidP="005B1FAD">
      <w:pPr>
        <w:tabs>
          <w:tab w:val="left" w:pos="993"/>
        </w:tabs>
        <w:spacing w:after="0" w:line="240" w:lineRule="auto"/>
        <w:ind w:firstLine="567"/>
        <w:jc w:val="both"/>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MR</m:t>
        </m:r>
      </m:oMath>
      <w:r w:rsidRPr="000C1190">
        <w:rPr>
          <w:rFonts w:ascii="Times New Roman" w:eastAsiaTheme="minorEastAsia" w:hAnsi="Times New Roman" w:cs="Times New Roman"/>
          <w:sz w:val="28"/>
          <w:szCs w:val="28"/>
          <w:lang w:val="kk-KZ"/>
        </w:rPr>
        <w:t xml:space="preserve"> – управленческо-инновационные ресурсы;</w:t>
      </w:r>
    </w:p>
    <w:p w14:paraId="34EC74A1" w14:textId="77777777" w:rsidR="000C1190" w:rsidRPr="000C1190" w:rsidRDefault="000C1190" w:rsidP="005B1FAD">
      <w:pPr>
        <w:tabs>
          <w:tab w:val="left" w:pos="993"/>
        </w:tabs>
        <w:spacing w:after="0" w:line="240" w:lineRule="auto"/>
        <w:ind w:firstLine="567"/>
        <w:jc w:val="both"/>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FR</m:t>
        </m:r>
      </m:oMath>
      <w:r w:rsidRPr="000C1190">
        <w:rPr>
          <w:rFonts w:ascii="Times New Roman" w:eastAsiaTheme="minorEastAsia" w:hAnsi="Times New Roman" w:cs="Times New Roman"/>
          <w:sz w:val="28"/>
          <w:szCs w:val="28"/>
          <w:lang w:val="kk-KZ"/>
        </w:rPr>
        <w:t xml:space="preserve"> – финансовые ресурсы;</w:t>
      </w:r>
    </w:p>
    <w:p w14:paraId="6E4307B2" w14:textId="77777777" w:rsidR="000C1190" w:rsidRPr="000C1190" w:rsidRDefault="000C1190" w:rsidP="005B1FAD">
      <w:pPr>
        <w:tabs>
          <w:tab w:val="left" w:pos="993"/>
        </w:tabs>
        <w:spacing w:after="0" w:line="240" w:lineRule="auto"/>
        <w:ind w:firstLine="567"/>
        <w:jc w:val="both"/>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TR</m:t>
        </m:r>
      </m:oMath>
      <w:r w:rsidRPr="000C1190">
        <w:rPr>
          <w:rFonts w:ascii="Times New Roman" w:eastAsiaTheme="minorEastAsia" w:hAnsi="Times New Roman" w:cs="Times New Roman"/>
          <w:sz w:val="28"/>
          <w:szCs w:val="28"/>
          <w:lang w:val="kk-KZ"/>
        </w:rPr>
        <w:t xml:space="preserve"> – технологическая база;</w:t>
      </w:r>
    </w:p>
    <w:p w14:paraId="1C8B353F" w14:textId="77777777" w:rsidR="000C1190" w:rsidRPr="000C1190" w:rsidRDefault="001D4931" w:rsidP="005B1FAD">
      <w:pPr>
        <w:tabs>
          <w:tab w:val="left" w:pos="993"/>
        </w:tabs>
        <w:spacing w:after="0" w:line="240" w:lineRule="auto"/>
        <w:ind w:firstLine="567"/>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β</m:t>
            </m:r>
          </m:e>
          <m:sub>
            <m:r>
              <w:rPr>
                <w:rFonts w:ascii="Cambria Math" w:hAnsi="Cambria Math" w:cs="Times New Roman"/>
                <w:sz w:val="28"/>
                <w:szCs w:val="28"/>
                <w:lang w:val="kk-KZ"/>
              </w:rPr>
              <m:t>1</m:t>
            </m:r>
          </m:sub>
        </m:sSub>
      </m:oMath>
      <w:r w:rsidR="000C1190" w:rsidRPr="000C1190">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β</m:t>
            </m:r>
          </m:e>
          <m:sub>
            <m:r>
              <w:rPr>
                <w:rFonts w:ascii="Cambria Math" w:hAnsi="Cambria Math" w:cs="Times New Roman"/>
                <w:sz w:val="28"/>
                <w:szCs w:val="28"/>
                <w:lang w:val="kk-KZ"/>
              </w:rPr>
              <m:t>2</m:t>
            </m:r>
          </m:sub>
        </m:sSub>
      </m:oMath>
      <w:r w:rsidR="000C1190" w:rsidRPr="000C1190">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β</m:t>
            </m:r>
          </m:e>
          <m:sub>
            <m:r>
              <w:rPr>
                <w:rFonts w:ascii="Cambria Math" w:hAnsi="Cambria Math" w:cs="Times New Roman"/>
                <w:sz w:val="28"/>
                <w:szCs w:val="28"/>
                <w:lang w:val="kk-KZ"/>
              </w:rPr>
              <m:t>3</m:t>
            </m:r>
          </m:sub>
        </m:sSub>
      </m:oMath>
      <w:r w:rsidR="000C1190" w:rsidRPr="000C1190">
        <w:rPr>
          <w:rFonts w:ascii="Times New Roman" w:eastAsiaTheme="minorEastAsia" w:hAnsi="Times New Roman" w:cs="Times New Roman"/>
          <w:sz w:val="28"/>
          <w:szCs w:val="28"/>
          <w:lang w:val="kk-KZ"/>
        </w:rPr>
        <w:t xml:space="preserve"> – стандартизированные коэффициенты регрессии, отражающиесилу влияния каждого фактора;</w:t>
      </w:r>
    </w:p>
    <w:p w14:paraId="238675D9" w14:textId="77777777" w:rsidR="000C1190" w:rsidRPr="000C1190" w:rsidRDefault="000C1190" w:rsidP="005B1FAD">
      <w:pPr>
        <w:tabs>
          <w:tab w:val="left" w:pos="993"/>
        </w:tabs>
        <w:spacing w:after="0" w:line="240" w:lineRule="auto"/>
        <w:ind w:firstLine="567"/>
        <w:jc w:val="both"/>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ε</m:t>
        </m:r>
      </m:oMath>
      <w:r w:rsidRPr="000C1190">
        <w:rPr>
          <w:rFonts w:ascii="Times New Roman" w:eastAsiaTheme="minorEastAsia" w:hAnsi="Times New Roman" w:cs="Times New Roman"/>
          <w:sz w:val="28"/>
          <w:szCs w:val="28"/>
          <w:lang w:val="kk-KZ"/>
        </w:rPr>
        <w:t xml:space="preserve"> – ошибка модели, включающая прочие нерегламентированные факторы.</w:t>
      </w:r>
    </w:p>
    <w:p w14:paraId="2915CBD7" w14:textId="31110C8F" w:rsidR="000C1190" w:rsidRPr="000C1190" w:rsidRDefault="000C1190" w:rsidP="002F33D0">
      <w:pPr>
        <w:tabs>
          <w:tab w:val="left" w:pos="993"/>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Таким образом, полученные стандартизованные коэффициенты </w:t>
      </w:r>
      <w:r w:rsidRPr="005B1FAD">
        <w:rPr>
          <w:rFonts w:ascii="Times New Roman" w:hAnsi="Times New Roman" w:cs="Times New Roman"/>
          <w:sz w:val="28"/>
          <w:szCs w:val="28"/>
          <w:lang w:val="kk-KZ"/>
        </w:rPr>
        <w:t>(табл</w:t>
      </w:r>
      <w:r w:rsidR="00A438B8" w:rsidRPr="005B1FAD">
        <w:rPr>
          <w:rFonts w:ascii="Times New Roman" w:hAnsi="Times New Roman" w:cs="Times New Roman"/>
          <w:sz w:val="28"/>
          <w:szCs w:val="28"/>
          <w:lang w:val="kk-KZ"/>
        </w:rPr>
        <w:t>ица</w:t>
      </w:r>
      <w:r w:rsidRPr="005B1FAD">
        <w:rPr>
          <w:rFonts w:ascii="Times New Roman" w:hAnsi="Times New Roman" w:cs="Times New Roman"/>
          <w:sz w:val="28"/>
          <w:szCs w:val="28"/>
          <w:lang w:val="kk-KZ"/>
        </w:rPr>
        <w:t xml:space="preserve"> 1</w:t>
      </w:r>
      <w:r w:rsidR="005B1FAD" w:rsidRPr="005B1FAD">
        <w:rPr>
          <w:rFonts w:ascii="Times New Roman" w:hAnsi="Times New Roman" w:cs="Times New Roman"/>
          <w:sz w:val="28"/>
          <w:szCs w:val="28"/>
          <w:lang w:val="kk-KZ"/>
        </w:rPr>
        <w:t>0</w:t>
      </w:r>
      <w:r w:rsidRPr="005B1FAD">
        <w:rPr>
          <w:rFonts w:ascii="Times New Roman" w:hAnsi="Times New Roman" w:cs="Times New Roman"/>
          <w:sz w:val="28"/>
          <w:szCs w:val="28"/>
          <w:lang w:val="kk-KZ"/>
        </w:rPr>
        <w:t>) позволили</w:t>
      </w:r>
      <w:r w:rsidRPr="000C1190">
        <w:rPr>
          <w:rFonts w:ascii="Times New Roman" w:hAnsi="Times New Roman" w:cs="Times New Roman"/>
          <w:sz w:val="28"/>
          <w:szCs w:val="28"/>
          <w:lang w:val="kk-KZ"/>
        </w:rPr>
        <w:t xml:space="preserve"> представить формальные модели формирования инновационного потенциала для трёх групп предприятий. Эти модели носят прогностический характер и могут быть использованы для оценки приоритетных направлений ресурсного развития.</w:t>
      </w:r>
    </w:p>
    <w:p w14:paraId="4439CB1A" w14:textId="646DCCE5" w:rsidR="000C1190" w:rsidRDefault="000C1190" w:rsidP="002F33D0">
      <w:pPr>
        <w:tabs>
          <w:tab w:val="left" w:pos="993"/>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Так, для крупных предприятий наибольшее влияние оказывает управленческо-инновационный ресурс (0,561), в то время как для малых и средних предприятий структура влияний более сбалансирована. Ниже представлены формализованные выражения</w:t>
      </w:r>
      <w:r w:rsidR="003F0889">
        <w:rPr>
          <w:rFonts w:ascii="Times New Roman" w:hAnsi="Times New Roman" w:cs="Times New Roman"/>
          <w:sz w:val="28"/>
          <w:szCs w:val="28"/>
          <w:lang w:val="kk-KZ"/>
        </w:rPr>
        <w:t xml:space="preserve"> (2) (3) (4)</w:t>
      </w:r>
      <w:r w:rsidRPr="000C1190">
        <w:rPr>
          <w:rFonts w:ascii="Times New Roman" w:hAnsi="Times New Roman" w:cs="Times New Roman"/>
          <w:sz w:val="28"/>
          <w:szCs w:val="28"/>
          <w:lang w:val="kk-KZ"/>
        </w:rPr>
        <w:t xml:space="preserve"> для расчёта условного инновационного потенциала на основе ресурсных факторов:</w:t>
      </w:r>
    </w:p>
    <w:p w14:paraId="635A6141" w14:textId="7D0FE84F" w:rsidR="003F0889" w:rsidRDefault="003F0889" w:rsidP="002F33D0">
      <w:pPr>
        <w:tabs>
          <w:tab w:val="left" w:pos="993"/>
        </w:tabs>
        <w:spacing w:after="0" w:line="240" w:lineRule="auto"/>
        <w:ind w:firstLine="567"/>
        <w:jc w:val="both"/>
        <w:rPr>
          <w:rFonts w:ascii="Times New Roman" w:hAnsi="Times New Roman" w:cs="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8"/>
        <w:gridCol w:w="697"/>
      </w:tblGrid>
      <w:tr w:rsidR="003F0889" w14:paraId="1E2F8451" w14:textId="77777777" w:rsidTr="003F0889">
        <w:tc>
          <w:tcPr>
            <w:tcW w:w="8926" w:type="dxa"/>
          </w:tcPr>
          <w:p w14:paraId="2CC51FA4" w14:textId="77777777" w:rsidR="003F0889" w:rsidRPr="000C1190" w:rsidRDefault="001D4931" w:rsidP="002F33D0">
            <w:pPr>
              <w:tabs>
                <w:tab w:val="left" w:pos="993"/>
              </w:tabs>
              <w:jc w:val="both"/>
              <w:rPr>
                <w:rFonts w:eastAsiaTheme="minorEastAsia"/>
                <w:sz w:val="28"/>
                <w:szCs w:val="28"/>
                <w:lang w:val="kk-KZ"/>
              </w:rPr>
            </w:pPr>
            <m:oMathPara>
              <m:oMath>
                <m:sSub>
                  <m:sSubPr>
                    <m:ctrlPr>
                      <w:rPr>
                        <w:rFonts w:ascii="Cambria Math" w:hAnsi="Cambria Math"/>
                        <w:i/>
                        <w:sz w:val="28"/>
                        <w:szCs w:val="28"/>
                        <w:lang w:val="kk-KZ"/>
                      </w:rPr>
                    </m:ctrlPr>
                  </m:sSubPr>
                  <m:e>
                    <m:r>
                      <w:rPr>
                        <w:rFonts w:ascii="Cambria Math" w:hAnsi="Cambria Math"/>
                        <w:sz w:val="28"/>
                        <w:szCs w:val="28"/>
                        <w:lang w:val="en-US"/>
                      </w:rPr>
                      <m:t>IP</m:t>
                    </m:r>
                  </m:e>
                  <m:sub>
                    <m:r>
                      <w:rPr>
                        <w:rFonts w:ascii="Cambria Math" w:hAnsi="Cambria Math"/>
                        <w:sz w:val="28"/>
                        <w:szCs w:val="28"/>
                        <w:lang w:val="kk-KZ"/>
                      </w:rPr>
                      <m:t>крупн.</m:t>
                    </m:r>
                  </m:sub>
                </m:sSub>
                <m:r>
                  <w:rPr>
                    <w:rFonts w:ascii="Cambria Math" w:hAnsi="Cambria Math"/>
                    <w:sz w:val="28"/>
                    <w:szCs w:val="28"/>
                    <w:lang w:val="kk-KZ"/>
                  </w:rPr>
                  <m:t>=0,527∙</m:t>
                </m:r>
                <m:r>
                  <w:rPr>
                    <w:rFonts w:ascii="Cambria Math" w:hAnsi="Cambria Math"/>
                    <w:sz w:val="28"/>
                    <w:szCs w:val="28"/>
                    <w:lang w:val="en-US"/>
                  </w:rPr>
                  <m:t>T</m:t>
                </m:r>
                <m:r>
                  <w:rPr>
                    <w:rFonts w:ascii="Cambria Math" w:hAnsi="Cambria Math"/>
                    <w:sz w:val="28"/>
                    <w:szCs w:val="28"/>
                    <w:lang w:val="kk-KZ"/>
                  </w:rPr>
                  <m:t>R+0,425∙FR+0,561∙MR</m:t>
                </m:r>
              </m:oMath>
            </m:oMathPara>
          </w:p>
          <w:p w14:paraId="12875EE6" w14:textId="77777777" w:rsidR="003F0889" w:rsidRDefault="003F0889" w:rsidP="002F33D0">
            <w:pPr>
              <w:tabs>
                <w:tab w:val="left" w:pos="993"/>
              </w:tabs>
              <w:jc w:val="both"/>
              <w:rPr>
                <w:sz w:val="28"/>
                <w:szCs w:val="28"/>
                <w:lang w:val="kk-KZ"/>
              </w:rPr>
            </w:pPr>
          </w:p>
        </w:tc>
        <w:tc>
          <w:tcPr>
            <w:tcW w:w="702" w:type="dxa"/>
          </w:tcPr>
          <w:p w14:paraId="6E506B41" w14:textId="4E42D055" w:rsidR="003F0889" w:rsidRDefault="003F0889" w:rsidP="002F33D0">
            <w:pPr>
              <w:tabs>
                <w:tab w:val="left" w:pos="993"/>
              </w:tabs>
              <w:ind w:firstLine="0"/>
              <w:jc w:val="right"/>
              <w:rPr>
                <w:sz w:val="28"/>
                <w:szCs w:val="28"/>
                <w:lang w:val="kk-KZ"/>
              </w:rPr>
            </w:pPr>
            <w:r>
              <w:rPr>
                <w:sz w:val="28"/>
                <w:szCs w:val="28"/>
                <w:lang w:val="kk-KZ"/>
              </w:rPr>
              <w:t xml:space="preserve">(2) </w:t>
            </w:r>
          </w:p>
        </w:tc>
      </w:tr>
      <w:tr w:rsidR="003F0889" w14:paraId="75672160" w14:textId="77777777" w:rsidTr="003F0889">
        <w:tc>
          <w:tcPr>
            <w:tcW w:w="8926" w:type="dxa"/>
          </w:tcPr>
          <w:p w14:paraId="5E1A66E8" w14:textId="77777777" w:rsidR="003F0889" w:rsidRPr="000C1190" w:rsidRDefault="001D4931" w:rsidP="002F33D0">
            <w:pPr>
              <w:tabs>
                <w:tab w:val="left" w:pos="993"/>
              </w:tabs>
              <w:jc w:val="both"/>
              <w:rPr>
                <w:rFonts w:eastAsiaTheme="minorEastAsia"/>
                <w:sz w:val="28"/>
                <w:szCs w:val="28"/>
                <w:lang w:val="kk-KZ"/>
              </w:rPr>
            </w:pPr>
            <m:oMathPara>
              <m:oMath>
                <m:sSub>
                  <m:sSubPr>
                    <m:ctrlPr>
                      <w:rPr>
                        <w:rFonts w:ascii="Cambria Math" w:hAnsi="Cambria Math"/>
                        <w:i/>
                        <w:sz w:val="28"/>
                        <w:szCs w:val="28"/>
                        <w:lang w:val="kk-KZ"/>
                      </w:rPr>
                    </m:ctrlPr>
                  </m:sSubPr>
                  <m:e>
                    <m:r>
                      <w:rPr>
                        <w:rFonts w:ascii="Cambria Math" w:hAnsi="Cambria Math"/>
                        <w:sz w:val="28"/>
                        <w:szCs w:val="28"/>
                        <w:lang w:val="en-US"/>
                      </w:rPr>
                      <m:t>IP</m:t>
                    </m:r>
                  </m:e>
                  <m:sub>
                    <m:r>
                      <w:rPr>
                        <w:rFonts w:ascii="Cambria Math" w:hAnsi="Cambria Math"/>
                        <w:sz w:val="28"/>
                        <w:szCs w:val="28"/>
                        <w:lang w:val="kk-KZ"/>
                      </w:rPr>
                      <m:t>средн.</m:t>
                    </m:r>
                  </m:sub>
                </m:sSub>
                <m:r>
                  <w:rPr>
                    <w:rFonts w:ascii="Cambria Math" w:hAnsi="Cambria Math"/>
                    <w:sz w:val="28"/>
                    <w:szCs w:val="28"/>
                    <w:lang w:val="kk-KZ"/>
                  </w:rPr>
                  <m:t>=0,510∙</m:t>
                </m:r>
                <m:r>
                  <w:rPr>
                    <w:rFonts w:ascii="Cambria Math" w:hAnsi="Cambria Math"/>
                    <w:sz w:val="28"/>
                    <w:szCs w:val="28"/>
                    <w:lang w:val="en-US"/>
                  </w:rPr>
                  <m:t>T</m:t>
                </m:r>
                <m:r>
                  <w:rPr>
                    <w:rFonts w:ascii="Cambria Math" w:hAnsi="Cambria Math"/>
                    <w:sz w:val="28"/>
                    <w:szCs w:val="28"/>
                    <w:lang w:val="kk-KZ"/>
                  </w:rPr>
                  <m:t>R+0,457∙FR+0,528∙MR</m:t>
                </m:r>
              </m:oMath>
            </m:oMathPara>
          </w:p>
          <w:p w14:paraId="1FF3D9E4" w14:textId="77777777" w:rsidR="003F0889" w:rsidRDefault="003F0889" w:rsidP="002F33D0">
            <w:pPr>
              <w:tabs>
                <w:tab w:val="left" w:pos="993"/>
              </w:tabs>
              <w:jc w:val="both"/>
              <w:rPr>
                <w:sz w:val="28"/>
                <w:szCs w:val="28"/>
                <w:lang w:val="kk-KZ"/>
              </w:rPr>
            </w:pPr>
          </w:p>
        </w:tc>
        <w:tc>
          <w:tcPr>
            <w:tcW w:w="702" w:type="dxa"/>
          </w:tcPr>
          <w:p w14:paraId="68FAB7B9" w14:textId="4419976D" w:rsidR="003F0889" w:rsidRDefault="003F0889" w:rsidP="002F33D0">
            <w:pPr>
              <w:tabs>
                <w:tab w:val="left" w:pos="993"/>
              </w:tabs>
              <w:ind w:firstLine="0"/>
              <w:jc w:val="right"/>
              <w:rPr>
                <w:sz w:val="28"/>
                <w:szCs w:val="28"/>
                <w:lang w:val="kk-KZ"/>
              </w:rPr>
            </w:pPr>
            <w:r>
              <w:rPr>
                <w:sz w:val="28"/>
                <w:szCs w:val="28"/>
                <w:lang w:val="kk-KZ"/>
              </w:rPr>
              <w:t xml:space="preserve">(3) </w:t>
            </w:r>
          </w:p>
        </w:tc>
      </w:tr>
      <w:tr w:rsidR="003F0889" w14:paraId="1AF6B627" w14:textId="77777777" w:rsidTr="003F0889">
        <w:tc>
          <w:tcPr>
            <w:tcW w:w="8926" w:type="dxa"/>
          </w:tcPr>
          <w:p w14:paraId="49D44269" w14:textId="77777777" w:rsidR="003F0889" w:rsidRPr="000C1190" w:rsidRDefault="001D4931" w:rsidP="002F33D0">
            <w:pPr>
              <w:tabs>
                <w:tab w:val="left" w:pos="993"/>
              </w:tabs>
              <w:jc w:val="both"/>
              <w:rPr>
                <w:rFonts w:eastAsiaTheme="minorEastAsia"/>
                <w:sz w:val="28"/>
                <w:szCs w:val="28"/>
                <w:lang w:val="kk-KZ"/>
              </w:rPr>
            </w:pPr>
            <m:oMathPara>
              <m:oMath>
                <m:sSub>
                  <m:sSubPr>
                    <m:ctrlPr>
                      <w:rPr>
                        <w:rFonts w:ascii="Cambria Math" w:hAnsi="Cambria Math"/>
                        <w:i/>
                        <w:sz w:val="28"/>
                        <w:szCs w:val="28"/>
                        <w:lang w:val="kk-KZ"/>
                      </w:rPr>
                    </m:ctrlPr>
                  </m:sSubPr>
                  <m:e>
                    <m:r>
                      <w:rPr>
                        <w:rFonts w:ascii="Cambria Math" w:hAnsi="Cambria Math"/>
                        <w:sz w:val="28"/>
                        <w:szCs w:val="28"/>
                        <w:lang w:val="en-US"/>
                      </w:rPr>
                      <m:t>IP</m:t>
                    </m:r>
                  </m:e>
                  <m:sub>
                    <m:r>
                      <w:rPr>
                        <w:rFonts w:ascii="Cambria Math" w:hAnsi="Cambria Math"/>
                        <w:sz w:val="28"/>
                        <w:szCs w:val="28"/>
                        <w:lang w:val="kk-KZ"/>
                      </w:rPr>
                      <m:t>мал.</m:t>
                    </m:r>
                  </m:sub>
                </m:sSub>
                <m:r>
                  <w:rPr>
                    <w:rFonts w:ascii="Cambria Math" w:hAnsi="Cambria Math"/>
                    <w:sz w:val="28"/>
                    <w:szCs w:val="28"/>
                    <w:lang w:val="kk-KZ"/>
                  </w:rPr>
                  <m:t>=0,531∙</m:t>
                </m:r>
                <m:r>
                  <w:rPr>
                    <w:rFonts w:ascii="Cambria Math" w:hAnsi="Cambria Math"/>
                    <w:sz w:val="28"/>
                    <w:szCs w:val="28"/>
                    <w:lang w:val="en-US"/>
                  </w:rPr>
                  <m:t>T</m:t>
                </m:r>
                <m:r>
                  <w:rPr>
                    <w:rFonts w:ascii="Cambria Math" w:hAnsi="Cambria Math"/>
                    <w:sz w:val="28"/>
                    <w:szCs w:val="28"/>
                    <w:lang w:val="kk-KZ"/>
                  </w:rPr>
                  <m:t>R+0,457∙FR+0,526∙MR</m:t>
                </m:r>
              </m:oMath>
            </m:oMathPara>
          </w:p>
          <w:p w14:paraId="107852AB" w14:textId="77777777" w:rsidR="003F0889" w:rsidRDefault="003F0889" w:rsidP="002F33D0">
            <w:pPr>
              <w:tabs>
                <w:tab w:val="left" w:pos="993"/>
              </w:tabs>
              <w:jc w:val="both"/>
              <w:rPr>
                <w:sz w:val="28"/>
                <w:szCs w:val="28"/>
                <w:lang w:val="kk-KZ"/>
              </w:rPr>
            </w:pPr>
          </w:p>
        </w:tc>
        <w:tc>
          <w:tcPr>
            <w:tcW w:w="702" w:type="dxa"/>
          </w:tcPr>
          <w:p w14:paraId="73082816" w14:textId="19D05322" w:rsidR="003F0889" w:rsidRDefault="003F0889" w:rsidP="002F33D0">
            <w:pPr>
              <w:tabs>
                <w:tab w:val="left" w:pos="993"/>
              </w:tabs>
              <w:ind w:firstLine="0"/>
              <w:jc w:val="right"/>
              <w:rPr>
                <w:sz w:val="28"/>
                <w:szCs w:val="28"/>
                <w:lang w:val="kk-KZ"/>
              </w:rPr>
            </w:pPr>
            <w:r>
              <w:rPr>
                <w:sz w:val="28"/>
                <w:szCs w:val="28"/>
                <w:lang w:val="kk-KZ"/>
              </w:rPr>
              <w:t>(4)</w:t>
            </w:r>
            <w:r w:rsidRPr="000C1190">
              <w:rPr>
                <w:sz w:val="28"/>
                <w:szCs w:val="28"/>
                <w:lang w:val="kk-KZ"/>
              </w:rPr>
              <w:t xml:space="preserve"> </w:t>
            </w:r>
          </w:p>
        </w:tc>
      </w:tr>
    </w:tbl>
    <w:p w14:paraId="6CED9B4B" w14:textId="77777777" w:rsidR="000C1190" w:rsidRPr="000C1190" w:rsidRDefault="000C1190" w:rsidP="002F33D0">
      <w:pPr>
        <w:tabs>
          <w:tab w:val="left" w:pos="993"/>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Данная модель позволяет не только подтвердить статистическую значимость каждого компонента, но и использовать её как инструмент оценки и планирования на уровне предприятия или группы предприятий.</w:t>
      </w:r>
    </w:p>
    <w:p w14:paraId="726B7DE9" w14:textId="77777777" w:rsidR="000C1190" w:rsidRPr="000C1190" w:rsidRDefault="000C1190" w:rsidP="002F33D0">
      <w:pPr>
        <w:tabs>
          <w:tab w:val="left" w:pos="993"/>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В частности, при формировании программ поддержки предпринимательства в условиях цифровой трансформации возможно приоритезировать развитие управленческих и технологических ресурсов, как показал анализ.</w:t>
      </w:r>
    </w:p>
    <w:p w14:paraId="20CA429E" w14:textId="77777777" w:rsidR="000C1190" w:rsidRPr="000C1190" w:rsidRDefault="000C1190" w:rsidP="002F33D0">
      <w:pPr>
        <w:tabs>
          <w:tab w:val="left" w:pos="993"/>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Результаты анализа подтвердили, что ресурсная база предпринимательских структур имеет многоуровневую организацию. Управленческо-инновационные ресурсы выступают ядром внутреннего потенциала, обеспечивая стратегическое управление инновациями; </w:t>
      </w:r>
      <w:r w:rsidRPr="000C1190">
        <w:rPr>
          <w:rFonts w:ascii="Times New Roman" w:hAnsi="Times New Roman" w:cs="Times New Roman"/>
          <w:sz w:val="28"/>
          <w:szCs w:val="28"/>
          <w:lang w:val="kk-KZ"/>
        </w:rPr>
        <w:lastRenderedPageBreak/>
        <w:t>финансовые ресурсы формируют устойчивость инновационных процессов; технологические ресурсы определяют гибкость и адаптивность предприятий. Совокупное действие этих компонентов формирует основу инновационного развития и объясняет различия в потенциале предприятий разных масштабов.</w:t>
      </w:r>
    </w:p>
    <w:p w14:paraId="2D3E5446" w14:textId="77777777" w:rsidR="000C1190" w:rsidRPr="000C1190" w:rsidRDefault="000C1190" w:rsidP="002F33D0">
      <w:pPr>
        <w:spacing w:after="0" w:line="240" w:lineRule="auto"/>
        <w:ind w:firstLine="567"/>
        <w:jc w:val="both"/>
        <w:rPr>
          <w:rFonts w:ascii="Times New Roman" w:hAnsi="Times New Roman" w:cs="Times New Roman"/>
          <w:b/>
          <w:sz w:val="28"/>
          <w:szCs w:val="28"/>
        </w:rPr>
      </w:pPr>
      <w:r w:rsidRPr="000C1190">
        <w:rPr>
          <w:rFonts w:ascii="Times New Roman" w:hAnsi="Times New Roman" w:cs="Times New Roman"/>
          <w:b/>
          <w:sz w:val="28"/>
          <w:szCs w:val="28"/>
        </w:rPr>
        <w:t xml:space="preserve">2.1.2 Анализ человеческого капитала и компетенций: выявление ключевых </w:t>
      </w:r>
      <w:r w:rsidRPr="000C1190">
        <w:rPr>
          <w:rFonts w:ascii="Times New Roman" w:hAnsi="Times New Roman" w:cs="Times New Roman"/>
          <w:b/>
          <w:sz w:val="28"/>
          <w:szCs w:val="28"/>
          <w:lang w:val="kk-KZ"/>
        </w:rPr>
        <w:t>компетенций</w:t>
      </w:r>
      <w:r w:rsidRPr="000C1190">
        <w:rPr>
          <w:rFonts w:ascii="Times New Roman" w:hAnsi="Times New Roman" w:cs="Times New Roman"/>
          <w:b/>
          <w:sz w:val="28"/>
          <w:szCs w:val="28"/>
        </w:rPr>
        <w:t xml:space="preserve"> как драйверов инновационного потенциала</w:t>
      </w:r>
    </w:p>
    <w:p w14:paraId="4B33C218" w14:textId="18F5502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Человеческий капитал и компетенции сотрудников являются ключевыми элементами формирования инновационного </w:t>
      </w:r>
      <w:r w:rsidR="001304C6" w:rsidRPr="000C1190">
        <w:rPr>
          <w:rFonts w:ascii="Times New Roman" w:hAnsi="Times New Roman" w:cs="Times New Roman"/>
          <w:sz w:val="28"/>
          <w:szCs w:val="28"/>
        </w:rPr>
        <w:t>потенциала предпринимательских</w:t>
      </w:r>
      <w:r w:rsidRPr="000C1190">
        <w:rPr>
          <w:rFonts w:ascii="Times New Roman" w:hAnsi="Times New Roman" w:cs="Times New Roman"/>
          <w:sz w:val="28"/>
          <w:szCs w:val="28"/>
        </w:rPr>
        <w:t xml:space="preserve"> структур, поскольку именно они обеспечивают способность предприятия к восприятию и внедрению новых технологий, адаптации к изменяющимся условиям внешней среды и трансформации организационных процессов в соответствии с требованиями Индустрии 4.0.</w:t>
      </w:r>
    </w:p>
    <w:p w14:paraId="1BA9E332" w14:textId="56AA690C"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Современные исследования в области инновационного менеджмента подчёркивают, что устойчивое развитие предприятий невозможно без целенаправленного формирования кадрового потенциала, включающего как эффективные управленческие практики (HR-практики), так и развитие индивидуальных компетенций работников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soft- и hard-skills, определяющих способность к инновационному поведению, командной работе, креативности и использованию современных технологий</w:t>
      </w:r>
      <w:r w:rsidR="00A438B8">
        <w:rPr>
          <w:rFonts w:ascii="Times New Roman" w:hAnsi="Times New Roman" w:cs="Times New Roman"/>
          <w:sz w:val="28"/>
          <w:szCs w:val="28"/>
          <w:lang w:val="kk-KZ"/>
        </w:rPr>
        <w:t xml:space="preserve"> </w:t>
      </w:r>
      <w:r w:rsidR="00A438B8">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1k3tpaakr0","properties":{"formattedCitation":"[187\\uc0\\u8211{}189]","plainCitation":"[187–189]","noteIndex":0},"citationItems":[{"id":250,"uris":["http://zotero.org/users/16887523/items/B784UCIK"],"itemData":{"id":250,"type":"article-journal","abstract":"This systematic literature review aims to provide an overview of the research related to the soft competency aspects required in industry 4.0 on human capital development. This study used the PRISMA model and included 284 articles from the Scopus, ScienceDirect, and Springerlink databases and three additional report articles with a publication period of 2010 to 2021, which were then selected according to inclusion and exclusion criteria. Thirty-two articles are considered eligible for the further qualitative analysis process. All were analyzed using a content analysis approach that three experts carried out. The result of the analysis shows that articles mention 11 aspects of soft competencies. These aspects are leadership, working with people, customer orientation, communication, task &amp; responsibility engagement, decision making, problem-solving, creative &amp; innovative orientation, flexibility &amp; adaptability, learning orientation, emotional resilience, and problem-solving. These eleven aspects are then classified into Managing People, Tasks, and Self Competencies.","container-title":"Jurnal Ekonomi dan Bisnis","DOI":"10.24914/jeb.v26i1.5466","ISSN":"2528-0147, 1979-6471","issue":"1","journalAbbreviation":"jeb","page":"21-44","source":"DOI.org (Crossref)","title":"Identification of soft competencies aspects in human resource development in the industrial era 4.0","URL":"https://ejournal.uksw.edu/jeb/article/view/5466","volume":"26","author":[{"family":"Tarigan","given":"Medianta"},{"family":"Fadillah","given":"Fadillah"}],"accessed":{"date-parts":[["2025",11,24]]},"issued":{"date-parts":[["2023",3,6]]}}},{"id":252,"uris":["http://zotero.org/users/16887523/items/PF2X88KT"],"itemData":{"id":252,"type":"article-journal","container-title":"International Journal of Science and Research (IJSR)","DOI":"10.21275/SR231014134101","ISSN":"23197064","issue":"9","journalAbbreviation":"IJSR","page":"1228-1232","source":"DOI.org (Crossref)","title":"Integration of Industry 4.0 and Human Resources: Evolving Human Capital Management and Employee Experience through Digital Innovations","title-short":"Integration of Industry 4.0 and Human Resources","URL":"https://www.ijsr.net/getabstract.php?paperid=SR231014134101","volume":"11","author":[{"family":"Nyathani","given":"Ramesh"}],"accessed":{"date-parts":[["2025",11,24]]},"issued":{"date-parts":[["2022",9,5]]}}},{"id":254,"uris":["http://zotero.org/users/16887523/items/XK7SKB9N"],"itemData":{"id":254,"type":"article-journal","abstract":"The Fourth Industrial Revolution or Industry 4.0 is capable of triggering revolutionary (strategic) and evolutionary (operational) changes. Nonetheless, assessing human management competencies in Industry 4.0 has largely been a challenge. Thus, this empirical study aimed to understand the employee competencies and skills needed in Industry 4.0. The scope of the study involved electronic and electrical small and medium Malaysian manufacturing firms. Utilising a research framework based on the human capital theory, a questionnaire-based cross-sectional survey technique was adopted to collect pilot study data from 100 respondents. The results highlighted that competencies of threshold, distinguishing, task requirement, communication and language, and creativity and innovation are necessary to gain employment in Industry 4.0. Additionally, creativity and innovation competencies are considered more important among respondents. The outcome of this pilot study bridged the theoretical gap and provided original contributions to current literature. As a recommendation, the findings can act as a stepping stone for managers and organisations transitioning towards Industry 4.0.","container-title":"Journal of Contemporary Issues and Thought","DOI":"10.37134/jcit.vol14.1.1.2024","ISSN":"0128-0481, 2232-0032","issue":"1","journalAbbreviation":"JCIT","language":"en","page":"1-15","source":"DOI.org (Crossref)","title":"Human Management Competencies of Manufacturing Firms: A Pilot Study from Malaysia","title-short":"Human Management Competencies of Manufacturing Firms","URL":"https://ejournal.upsi.edu.my/index.php/JCIT/article/view/8985/5215","volume":"14","author":[{"family":"Rajaletchumy","given":"Mani"},{"family":"Wan Salmuni","given":"Binti Wan Mustaffa"}],"accessed":{"date-parts":[["2025",11,24]]},"issued":{"date-parts":[["2024",6,30]]}}}],"schema":"https://github.com/citation-style-language/schema/raw/master/csl-citation.json"} </w:instrText>
      </w:r>
      <w:r w:rsidR="00A438B8">
        <w:rPr>
          <w:rFonts w:ascii="Times New Roman" w:hAnsi="Times New Roman" w:cs="Times New Roman"/>
          <w:sz w:val="28"/>
          <w:szCs w:val="28"/>
          <w:lang w:val="kk-KZ"/>
        </w:rPr>
        <w:fldChar w:fldCharType="separate"/>
      </w:r>
      <w:r w:rsidR="00AE44BA" w:rsidRPr="00AE44BA">
        <w:rPr>
          <w:rFonts w:ascii="Times New Roman" w:hAnsi="Times New Roman" w:cs="Times New Roman"/>
          <w:sz w:val="28"/>
          <w:szCs w:val="24"/>
        </w:rPr>
        <w:t>[187–189]</w:t>
      </w:r>
      <w:r w:rsidR="00A438B8">
        <w:rPr>
          <w:rFonts w:ascii="Times New Roman" w:hAnsi="Times New Roman" w:cs="Times New Roman"/>
          <w:sz w:val="28"/>
          <w:szCs w:val="28"/>
          <w:lang w:val="kk-KZ"/>
        </w:rPr>
        <w:fldChar w:fldCharType="end"/>
      </w:r>
      <w:r w:rsidRPr="000C1190">
        <w:rPr>
          <w:rFonts w:ascii="Times New Roman" w:hAnsi="Times New Roman" w:cs="Times New Roman"/>
          <w:sz w:val="28"/>
          <w:szCs w:val="28"/>
        </w:rPr>
        <w:t>.</w:t>
      </w:r>
    </w:p>
    <w:p w14:paraId="5F7DABC9"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Для количественной оценки кадрового компонента инновационного потенциала была проведена эмпирическая обработка данных анкетирования предпринимательских структур Республики Казахстан. Респонденты оценивали распространённость различных компетенций среди сотрудников своих предприятий, указывая долю персонала, обладающего соответствующим навыком.</w:t>
      </w:r>
    </w:p>
    <w:p w14:paraId="733427D1"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Для обеспечения сопоставимости и возможности последующего статистического анализа, данные по компетенциям были преобразованы в пятибалльную шкалу Лайкерта, где:</w:t>
      </w:r>
    </w:p>
    <w:p w14:paraId="32E8690C" w14:textId="77777777" w:rsidR="000C1190" w:rsidRPr="000C1190" w:rsidRDefault="000C1190" w:rsidP="007F5E68">
      <w:pPr>
        <w:pStyle w:val="a3"/>
        <w:numPr>
          <w:ilvl w:val="0"/>
          <w:numId w:val="8"/>
        </w:numPr>
        <w:tabs>
          <w:tab w:val="left" w:pos="851"/>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1 балл соответствовал доле от 0 до 20%,</w:t>
      </w:r>
    </w:p>
    <w:p w14:paraId="1912CF66" w14:textId="6B09EC8A" w:rsidR="000C1190" w:rsidRPr="000C1190" w:rsidRDefault="000C1190" w:rsidP="007F5E68">
      <w:pPr>
        <w:pStyle w:val="a3"/>
        <w:numPr>
          <w:ilvl w:val="0"/>
          <w:numId w:val="8"/>
        </w:numPr>
        <w:tabs>
          <w:tab w:val="left" w:pos="851"/>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2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от 21 до 40%,</w:t>
      </w:r>
    </w:p>
    <w:p w14:paraId="01AB2DF6" w14:textId="6824B781" w:rsidR="000C1190" w:rsidRPr="000C1190" w:rsidRDefault="000C1190" w:rsidP="007F5E68">
      <w:pPr>
        <w:pStyle w:val="a3"/>
        <w:numPr>
          <w:ilvl w:val="0"/>
          <w:numId w:val="8"/>
        </w:numPr>
        <w:tabs>
          <w:tab w:val="left" w:pos="851"/>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3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от 41 до 60%,</w:t>
      </w:r>
    </w:p>
    <w:p w14:paraId="1F0EE8CC" w14:textId="2910883B" w:rsidR="000C1190" w:rsidRPr="000C1190" w:rsidRDefault="000C1190" w:rsidP="007F5E68">
      <w:pPr>
        <w:pStyle w:val="a3"/>
        <w:numPr>
          <w:ilvl w:val="0"/>
          <w:numId w:val="8"/>
        </w:numPr>
        <w:tabs>
          <w:tab w:val="left" w:pos="851"/>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4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от 61 до 80%,</w:t>
      </w:r>
    </w:p>
    <w:p w14:paraId="1A0596F5" w14:textId="1411AA92" w:rsidR="000C1190" w:rsidRPr="000C1190" w:rsidRDefault="000C1190" w:rsidP="007F5E68">
      <w:pPr>
        <w:pStyle w:val="a3"/>
        <w:numPr>
          <w:ilvl w:val="0"/>
          <w:numId w:val="8"/>
        </w:numPr>
        <w:tabs>
          <w:tab w:val="left" w:pos="851"/>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5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от 81 до 100%.</w:t>
      </w:r>
    </w:p>
    <w:p w14:paraId="637CEC00"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Такое шкалирование позволило стандартизировать значения и облегчить интерпретацию различий между группами предприятий различного размера.</w:t>
      </w:r>
    </w:p>
    <w:p w14:paraId="4A76A247" w14:textId="3D19BFD4"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Для анализа HR-практик и управленческих подходов (таких как партнёрства с университетами, наличие системы стимулирования инноваций, участие сотрудников в инициировании инновационных идей и др.) использовалась бинарная шкала, где 0 обозначало отсутствие практики, а 1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её наличие. Несмотря на простоту кодировки, она позволяет определить распространённость управленческих инструментов, стимулирующих инновационное поведение персонала. При интерпретации этих переменных необходимо учитывать, что средние значения отражают долю предприятий, </w:t>
      </w:r>
      <w:r w:rsidRPr="000C1190">
        <w:rPr>
          <w:rFonts w:ascii="Times New Roman" w:hAnsi="Times New Roman" w:cs="Times New Roman"/>
          <w:sz w:val="28"/>
          <w:szCs w:val="28"/>
        </w:rPr>
        <w:lastRenderedPageBreak/>
        <w:t>использующих соответствующую практику, а не уровень развития компетенции.</w:t>
      </w:r>
    </w:p>
    <w:p w14:paraId="443C554F" w14:textId="78EDB7AC"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Для анализа кадрового компонента инновационного потенциала была проведена оценка распространённости ключевых soft- и hard-компетенций среди сотрудников предпринимательских структур различных размеров, а также применяемых HR-практик. Результаты представлены в таблице </w:t>
      </w:r>
      <w:r w:rsidR="005B1FAD" w:rsidRPr="005B1FAD">
        <w:rPr>
          <w:rFonts w:ascii="Times New Roman" w:hAnsi="Times New Roman" w:cs="Times New Roman"/>
          <w:sz w:val="28"/>
          <w:szCs w:val="28"/>
          <w:lang w:val="kk-KZ"/>
        </w:rPr>
        <w:t>1</w:t>
      </w:r>
      <w:r w:rsidRPr="005B1FAD">
        <w:rPr>
          <w:rFonts w:ascii="Times New Roman" w:hAnsi="Times New Roman" w:cs="Times New Roman"/>
          <w:sz w:val="28"/>
          <w:szCs w:val="28"/>
        </w:rPr>
        <w:t>1.</w:t>
      </w:r>
    </w:p>
    <w:p w14:paraId="59A19788" w14:textId="7040ECE1" w:rsidR="000C1190" w:rsidRDefault="005B1FAD"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В разрезе soft-компетенций наибольшие средние значения зафиксиро</w:t>
      </w:r>
      <w:r>
        <w:rPr>
          <w:rFonts w:ascii="Times New Roman" w:hAnsi="Times New Roman" w:cs="Times New Roman"/>
          <w:sz w:val="28"/>
          <w:szCs w:val="28"/>
        </w:rPr>
        <w:t>ваны по навыкам решения проблем</w:t>
      </w:r>
      <w:r w:rsidRPr="000C1190">
        <w:rPr>
          <w:rFonts w:ascii="Times New Roman" w:hAnsi="Times New Roman" w:cs="Times New Roman"/>
          <w:sz w:val="28"/>
          <w:szCs w:val="28"/>
        </w:rPr>
        <w:t>, командной работы и адаптивности, особенно на крупных и средних предприятиях, где показатели варьируются в пределах 3</w:t>
      </w:r>
      <w:r>
        <w:rPr>
          <w:rFonts w:ascii="Times New Roman" w:hAnsi="Times New Roman" w:cs="Times New Roman"/>
          <w:sz w:val="28"/>
          <w:szCs w:val="28"/>
          <w:lang w:val="kk-KZ"/>
        </w:rPr>
        <w:t>,</w:t>
      </w:r>
      <w:r w:rsidRPr="000C1190">
        <w:rPr>
          <w:rFonts w:ascii="Times New Roman" w:hAnsi="Times New Roman" w:cs="Times New Roman"/>
          <w:sz w:val="28"/>
          <w:szCs w:val="28"/>
        </w:rPr>
        <w:t>06–3</w:t>
      </w:r>
      <w:r>
        <w:rPr>
          <w:rFonts w:ascii="Times New Roman" w:hAnsi="Times New Roman" w:cs="Times New Roman"/>
          <w:sz w:val="28"/>
          <w:szCs w:val="28"/>
          <w:lang w:val="kk-KZ"/>
        </w:rPr>
        <w:t>,</w:t>
      </w:r>
      <w:r w:rsidRPr="000C1190">
        <w:rPr>
          <w:rFonts w:ascii="Times New Roman" w:hAnsi="Times New Roman" w:cs="Times New Roman"/>
          <w:sz w:val="28"/>
          <w:szCs w:val="28"/>
        </w:rPr>
        <w:t>24 по пятибалльной шкале. Относительно низкие значения по показателям устойчивого мышления и креативности (≈ 2</w:t>
      </w:r>
      <w:r w:rsidR="001304C6">
        <w:rPr>
          <w:rFonts w:ascii="Times New Roman" w:hAnsi="Times New Roman" w:cs="Times New Roman"/>
          <w:sz w:val="28"/>
          <w:szCs w:val="28"/>
          <w:lang w:val="kk-KZ"/>
        </w:rPr>
        <w:t>,</w:t>
      </w:r>
      <w:r w:rsidRPr="000C1190">
        <w:rPr>
          <w:rFonts w:ascii="Times New Roman" w:hAnsi="Times New Roman" w:cs="Times New Roman"/>
          <w:sz w:val="28"/>
          <w:szCs w:val="28"/>
        </w:rPr>
        <w:t>83–3</w:t>
      </w:r>
      <w:r w:rsidR="001304C6">
        <w:rPr>
          <w:rFonts w:ascii="Times New Roman" w:hAnsi="Times New Roman" w:cs="Times New Roman"/>
          <w:sz w:val="28"/>
          <w:szCs w:val="28"/>
          <w:lang w:val="kk-KZ"/>
        </w:rPr>
        <w:t>,</w:t>
      </w:r>
      <w:r w:rsidRPr="000C1190">
        <w:rPr>
          <w:rFonts w:ascii="Times New Roman" w:hAnsi="Times New Roman" w:cs="Times New Roman"/>
          <w:sz w:val="28"/>
          <w:szCs w:val="28"/>
        </w:rPr>
        <w:t>00) свидетельствуют о недостаточной интеграции принципов устойчивого развития и инновационного подхода в повседневную деятельность предприятий, преимущественно малого и среднего бизнеса.</w:t>
      </w:r>
    </w:p>
    <w:p w14:paraId="0EFF71A0" w14:textId="77777777" w:rsidR="005B1FAD" w:rsidRPr="000C1190" w:rsidRDefault="005B1FAD" w:rsidP="002F33D0">
      <w:pPr>
        <w:spacing w:after="0" w:line="240" w:lineRule="auto"/>
        <w:ind w:firstLine="567"/>
        <w:jc w:val="both"/>
        <w:rPr>
          <w:rFonts w:ascii="Times New Roman" w:hAnsi="Times New Roman" w:cs="Times New Roman"/>
          <w:sz w:val="28"/>
          <w:szCs w:val="28"/>
        </w:rPr>
      </w:pPr>
    </w:p>
    <w:p w14:paraId="273F2276" w14:textId="5AA66F80" w:rsidR="000C1190" w:rsidRDefault="000C1190" w:rsidP="002F33D0">
      <w:pPr>
        <w:spacing w:after="0" w:line="240" w:lineRule="auto"/>
        <w:jc w:val="both"/>
        <w:rPr>
          <w:rFonts w:ascii="Times New Roman" w:hAnsi="Times New Roman" w:cs="Times New Roman"/>
          <w:sz w:val="28"/>
          <w:szCs w:val="28"/>
        </w:rPr>
      </w:pPr>
      <w:r w:rsidRPr="000C1190">
        <w:rPr>
          <w:rFonts w:ascii="Times New Roman" w:hAnsi="Times New Roman" w:cs="Times New Roman"/>
          <w:sz w:val="28"/>
          <w:szCs w:val="28"/>
        </w:rPr>
        <w:t>Таблица 1</w:t>
      </w:r>
      <w:r w:rsidR="005B1FAD">
        <w:rPr>
          <w:rFonts w:ascii="Times New Roman" w:hAnsi="Times New Roman" w:cs="Times New Roman"/>
          <w:sz w:val="28"/>
          <w:szCs w:val="28"/>
          <w:lang w:val="kk-KZ"/>
        </w:rPr>
        <w:t>1</w:t>
      </w:r>
      <w:r w:rsidRPr="000C1190">
        <w:rPr>
          <w:rFonts w:ascii="Times New Roman" w:hAnsi="Times New Roman" w:cs="Times New Roman"/>
          <w:sz w:val="28"/>
          <w:szCs w:val="28"/>
        </w:rPr>
        <w:t xml:space="preserve"> – Кадровые компетенции и HR-практики, формирующие человеческий капитал инновационного потенциала предпринимательских структур</w:t>
      </w:r>
    </w:p>
    <w:p w14:paraId="402E1958" w14:textId="77777777" w:rsidR="00A438B8" w:rsidRPr="000C1190" w:rsidRDefault="00A438B8" w:rsidP="002F33D0">
      <w:pPr>
        <w:spacing w:after="0" w:line="240" w:lineRule="auto"/>
        <w:jc w:val="both"/>
        <w:rPr>
          <w:rFonts w:ascii="Times New Roman" w:hAnsi="Times New Roman" w:cs="Times New Roman"/>
          <w:sz w:val="28"/>
          <w:szCs w:val="28"/>
        </w:rPr>
      </w:pPr>
    </w:p>
    <w:tbl>
      <w:tblPr>
        <w:tblStyle w:val="a5"/>
        <w:tblW w:w="5000" w:type="pct"/>
        <w:tblLayout w:type="fixed"/>
        <w:tblLook w:val="04A0" w:firstRow="1" w:lastRow="0" w:firstColumn="1" w:lastColumn="0" w:noHBand="0" w:noVBand="1"/>
      </w:tblPr>
      <w:tblGrid>
        <w:gridCol w:w="2123"/>
        <w:gridCol w:w="1880"/>
        <w:gridCol w:w="892"/>
        <w:gridCol w:w="893"/>
        <w:gridCol w:w="892"/>
        <w:gridCol w:w="893"/>
        <w:gridCol w:w="890"/>
        <w:gridCol w:w="882"/>
      </w:tblGrid>
      <w:tr w:rsidR="000C1190" w:rsidRPr="000C1190" w14:paraId="6400BD93" w14:textId="77777777" w:rsidTr="003F0E8F">
        <w:tc>
          <w:tcPr>
            <w:tcW w:w="1136" w:type="pct"/>
            <w:vMerge w:val="restart"/>
            <w:vAlign w:val="center"/>
          </w:tcPr>
          <w:p w14:paraId="3C19CB7B" w14:textId="77777777" w:rsidR="000C1190" w:rsidRPr="00A438B8" w:rsidRDefault="000C1190" w:rsidP="002F33D0">
            <w:pPr>
              <w:ind w:firstLine="0"/>
              <w:jc w:val="center"/>
              <w:rPr>
                <w:rFonts w:eastAsia="Times New Roman"/>
                <w:bCs/>
                <w:color w:val="000000"/>
                <w:szCs w:val="24"/>
                <w:lang w:val="kk-KZ" w:eastAsia="ru-RU"/>
              </w:rPr>
            </w:pPr>
            <w:r w:rsidRPr="00A438B8">
              <w:rPr>
                <w:rFonts w:eastAsia="Times New Roman"/>
                <w:bCs/>
                <w:color w:val="000000"/>
                <w:szCs w:val="24"/>
                <w:lang w:val="kk-KZ" w:eastAsia="ru-RU"/>
              </w:rPr>
              <w:t>Название переменной</w:t>
            </w:r>
          </w:p>
        </w:tc>
        <w:tc>
          <w:tcPr>
            <w:tcW w:w="1006" w:type="pct"/>
            <w:vMerge w:val="restart"/>
            <w:vAlign w:val="center"/>
            <w:hideMark/>
          </w:tcPr>
          <w:p w14:paraId="449FF384" w14:textId="77777777" w:rsidR="000C1190" w:rsidRPr="00A438B8" w:rsidRDefault="000C1190" w:rsidP="002F33D0">
            <w:pPr>
              <w:ind w:firstLine="0"/>
              <w:jc w:val="center"/>
              <w:rPr>
                <w:rFonts w:eastAsia="Times New Roman"/>
                <w:bCs/>
                <w:color w:val="000000"/>
                <w:szCs w:val="24"/>
                <w:lang w:eastAsia="ru-RU"/>
              </w:rPr>
            </w:pPr>
            <w:r w:rsidRPr="00A438B8">
              <w:rPr>
                <w:rFonts w:eastAsia="Times New Roman"/>
                <w:bCs/>
                <w:color w:val="000000"/>
                <w:szCs w:val="24"/>
                <w:lang w:eastAsia="ru-RU"/>
              </w:rPr>
              <w:t>Обозначение в анализе</w:t>
            </w:r>
          </w:p>
        </w:tc>
        <w:tc>
          <w:tcPr>
            <w:tcW w:w="955" w:type="pct"/>
            <w:gridSpan w:val="2"/>
            <w:hideMark/>
          </w:tcPr>
          <w:p w14:paraId="474DF3E2" w14:textId="77777777" w:rsidR="000C1190" w:rsidRPr="00A438B8" w:rsidRDefault="000C1190" w:rsidP="002F33D0">
            <w:pPr>
              <w:ind w:firstLine="0"/>
              <w:jc w:val="center"/>
              <w:rPr>
                <w:rFonts w:eastAsia="Times New Roman"/>
                <w:bCs/>
                <w:szCs w:val="24"/>
                <w:lang w:eastAsia="ru-RU"/>
              </w:rPr>
            </w:pPr>
            <w:r w:rsidRPr="00A438B8">
              <w:rPr>
                <w:rFonts w:eastAsia="Times New Roman"/>
                <w:bCs/>
                <w:szCs w:val="24"/>
                <w:lang w:eastAsia="ru-RU"/>
              </w:rPr>
              <w:t>Крупные предприятия</w:t>
            </w:r>
          </w:p>
        </w:tc>
        <w:tc>
          <w:tcPr>
            <w:tcW w:w="955" w:type="pct"/>
            <w:gridSpan w:val="2"/>
            <w:hideMark/>
          </w:tcPr>
          <w:p w14:paraId="1491F248" w14:textId="77777777" w:rsidR="000C1190" w:rsidRPr="00A438B8" w:rsidRDefault="000C1190" w:rsidP="002F33D0">
            <w:pPr>
              <w:ind w:firstLine="0"/>
              <w:jc w:val="center"/>
              <w:rPr>
                <w:rFonts w:eastAsia="Times New Roman"/>
                <w:bCs/>
                <w:szCs w:val="24"/>
                <w:lang w:eastAsia="ru-RU"/>
              </w:rPr>
            </w:pPr>
            <w:r w:rsidRPr="00A438B8">
              <w:rPr>
                <w:rFonts w:eastAsia="Times New Roman"/>
                <w:bCs/>
                <w:szCs w:val="24"/>
                <w:lang w:eastAsia="ru-RU"/>
              </w:rPr>
              <w:t>Средние предприятия</w:t>
            </w:r>
          </w:p>
        </w:tc>
        <w:tc>
          <w:tcPr>
            <w:tcW w:w="948" w:type="pct"/>
            <w:gridSpan w:val="2"/>
            <w:hideMark/>
          </w:tcPr>
          <w:p w14:paraId="3E086B14" w14:textId="77777777" w:rsidR="000C1190" w:rsidRPr="00A438B8" w:rsidRDefault="000C1190" w:rsidP="002F33D0">
            <w:pPr>
              <w:ind w:firstLine="0"/>
              <w:jc w:val="center"/>
              <w:rPr>
                <w:rFonts w:eastAsia="Times New Roman"/>
                <w:bCs/>
                <w:szCs w:val="24"/>
                <w:lang w:eastAsia="ru-RU"/>
              </w:rPr>
            </w:pPr>
            <w:r w:rsidRPr="00A438B8">
              <w:rPr>
                <w:rFonts w:eastAsia="Times New Roman"/>
                <w:bCs/>
                <w:szCs w:val="24"/>
                <w:lang w:eastAsia="ru-RU"/>
              </w:rPr>
              <w:t>Малые предприятия</w:t>
            </w:r>
          </w:p>
        </w:tc>
      </w:tr>
      <w:tr w:rsidR="000C1190" w:rsidRPr="000C1190" w14:paraId="29DE9091" w14:textId="77777777" w:rsidTr="003F0E8F">
        <w:tc>
          <w:tcPr>
            <w:tcW w:w="1136" w:type="pct"/>
            <w:vMerge/>
          </w:tcPr>
          <w:p w14:paraId="0B758C0B" w14:textId="77777777" w:rsidR="000C1190" w:rsidRPr="00A438B8" w:rsidRDefault="000C1190" w:rsidP="002F33D0">
            <w:pPr>
              <w:ind w:firstLine="0"/>
              <w:jc w:val="center"/>
              <w:rPr>
                <w:rFonts w:eastAsia="Times New Roman"/>
                <w:bCs/>
                <w:szCs w:val="24"/>
                <w:lang w:eastAsia="ru-RU"/>
              </w:rPr>
            </w:pPr>
          </w:p>
        </w:tc>
        <w:tc>
          <w:tcPr>
            <w:tcW w:w="1006" w:type="pct"/>
            <w:vMerge/>
          </w:tcPr>
          <w:p w14:paraId="378A3B18" w14:textId="77777777" w:rsidR="000C1190" w:rsidRPr="00A438B8" w:rsidRDefault="000C1190" w:rsidP="002F33D0">
            <w:pPr>
              <w:ind w:firstLine="0"/>
              <w:jc w:val="center"/>
              <w:rPr>
                <w:rFonts w:eastAsia="Times New Roman"/>
                <w:bCs/>
                <w:szCs w:val="24"/>
                <w:lang w:eastAsia="ru-RU"/>
              </w:rPr>
            </w:pPr>
          </w:p>
        </w:tc>
        <w:tc>
          <w:tcPr>
            <w:tcW w:w="477" w:type="pct"/>
          </w:tcPr>
          <w:p w14:paraId="4D09CAEE" w14:textId="77777777" w:rsidR="000C1190" w:rsidRPr="00A438B8" w:rsidRDefault="000C1190" w:rsidP="002F33D0">
            <w:pPr>
              <w:ind w:firstLine="0"/>
              <w:jc w:val="center"/>
              <w:rPr>
                <w:rFonts w:eastAsia="Times New Roman"/>
                <w:bCs/>
                <w:szCs w:val="24"/>
                <w:lang w:val="kk-KZ" w:eastAsia="ru-RU"/>
              </w:rPr>
            </w:pPr>
            <w:r w:rsidRPr="00A438B8">
              <w:rPr>
                <w:rFonts w:eastAsia="Times New Roman"/>
                <w:bCs/>
                <w:szCs w:val="24"/>
                <w:lang w:eastAsia="ru-RU"/>
              </w:rPr>
              <w:t>Сред</w:t>
            </w:r>
            <w:r w:rsidRPr="00A438B8">
              <w:rPr>
                <w:rFonts w:eastAsia="Times New Roman"/>
                <w:bCs/>
                <w:szCs w:val="24"/>
                <w:lang w:val="kk-KZ" w:eastAsia="ru-RU"/>
              </w:rPr>
              <w:t xml:space="preserve">. </w:t>
            </w:r>
            <w:r w:rsidRPr="00A438B8">
              <w:rPr>
                <w:rFonts w:eastAsia="Times New Roman"/>
                <w:bCs/>
                <w:szCs w:val="24"/>
                <w:lang w:eastAsia="ru-RU"/>
              </w:rPr>
              <w:t>зн</w:t>
            </w:r>
            <w:r w:rsidRPr="00A438B8">
              <w:rPr>
                <w:rFonts w:eastAsia="Times New Roman"/>
                <w:bCs/>
                <w:szCs w:val="24"/>
                <w:lang w:val="kk-KZ" w:eastAsia="ru-RU"/>
              </w:rPr>
              <w:t>.</w:t>
            </w:r>
          </w:p>
        </w:tc>
        <w:tc>
          <w:tcPr>
            <w:tcW w:w="478" w:type="pct"/>
          </w:tcPr>
          <w:p w14:paraId="0BBAE3AE" w14:textId="5521D06E" w:rsidR="000C1190" w:rsidRPr="00A438B8" w:rsidRDefault="005B1FAD" w:rsidP="002F33D0">
            <w:pPr>
              <w:ind w:firstLine="0"/>
              <w:jc w:val="center"/>
              <w:rPr>
                <w:rFonts w:eastAsia="Times New Roman"/>
                <w:bCs/>
                <w:szCs w:val="24"/>
                <w:lang w:eastAsia="ru-RU"/>
              </w:rPr>
            </w:pPr>
            <w:r>
              <w:rPr>
                <w:rFonts w:eastAsia="Times New Roman"/>
                <w:bCs/>
                <w:szCs w:val="24"/>
                <w:lang w:eastAsia="ru-RU"/>
              </w:rPr>
              <w:t>Стан</w:t>
            </w:r>
            <w:r w:rsidR="000C1190" w:rsidRPr="00A438B8">
              <w:rPr>
                <w:rFonts w:eastAsia="Times New Roman"/>
                <w:bCs/>
                <w:szCs w:val="24"/>
                <w:lang w:val="kk-KZ" w:eastAsia="ru-RU"/>
              </w:rPr>
              <w:t>. о</w:t>
            </w:r>
            <w:r w:rsidR="000C1190" w:rsidRPr="00A438B8">
              <w:rPr>
                <w:rFonts w:eastAsia="Times New Roman"/>
                <w:bCs/>
                <w:szCs w:val="24"/>
                <w:lang w:eastAsia="ru-RU"/>
              </w:rPr>
              <w:t>ткл</w:t>
            </w:r>
            <w:r w:rsidR="000C1190" w:rsidRPr="00A438B8">
              <w:rPr>
                <w:rFonts w:eastAsia="Times New Roman"/>
                <w:bCs/>
                <w:szCs w:val="24"/>
                <w:lang w:val="kk-KZ" w:eastAsia="ru-RU"/>
              </w:rPr>
              <w:t>.</w:t>
            </w:r>
          </w:p>
        </w:tc>
        <w:tc>
          <w:tcPr>
            <w:tcW w:w="477" w:type="pct"/>
          </w:tcPr>
          <w:p w14:paraId="1BBD4E2C" w14:textId="77777777" w:rsidR="000C1190" w:rsidRPr="00A438B8" w:rsidRDefault="000C1190" w:rsidP="002F33D0">
            <w:pPr>
              <w:ind w:firstLine="0"/>
              <w:jc w:val="center"/>
              <w:rPr>
                <w:rFonts w:eastAsia="Times New Roman"/>
                <w:bCs/>
                <w:szCs w:val="24"/>
                <w:lang w:val="kk-KZ" w:eastAsia="ru-RU"/>
              </w:rPr>
            </w:pPr>
            <w:r w:rsidRPr="00A438B8">
              <w:rPr>
                <w:rFonts w:eastAsia="Times New Roman"/>
                <w:bCs/>
                <w:szCs w:val="24"/>
                <w:lang w:eastAsia="ru-RU"/>
              </w:rPr>
              <w:t>Сред</w:t>
            </w:r>
            <w:r w:rsidRPr="00A438B8">
              <w:rPr>
                <w:rFonts w:eastAsia="Times New Roman"/>
                <w:bCs/>
                <w:szCs w:val="24"/>
                <w:lang w:val="kk-KZ" w:eastAsia="ru-RU"/>
              </w:rPr>
              <w:t xml:space="preserve">. </w:t>
            </w:r>
            <w:r w:rsidRPr="00A438B8">
              <w:rPr>
                <w:rFonts w:eastAsia="Times New Roman"/>
                <w:bCs/>
                <w:szCs w:val="24"/>
                <w:lang w:eastAsia="ru-RU"/>
              </w:rPr>
              <w:t>зн</w:t>
            </w:r>
            <w:r w:rsidRPr="00A438B8">
              <w:rPr>
                <w:rFonts w:eastAsia="Times New Roman"/>
                <w:bCs/>
                <w:szCs w:val="24"/>
                <w:lang w:val="kk-KZ" w:eastAsia="ru-RU"/>
              </w:rPr>
              <w:t>.</w:t>
            </w:r>
          </w:p>
        </w:tc>
        <w:tc>
          <w:tcPr>
            <w:tcW w:w="478" w:type="pct"/>
          </w:tcPr>
          <w:p w14:paraId="486CBE28" w14:textId="2793B229" w:rsidR="000C1190" w:rsidRPr="00A438B8" w:rsidRDefault="005B1FAD" w:rsidP="002F33D0">
            <w:pPr>
              <w:ind w:firstLine="0"/>
              <w:jc w:val="center"/>
              <w:rPr>
                <w:rFonts w:eastAsia="Times New Roman"/>
                <w:bCs/>
                <w:szCs w:val="24"/>
                <w:lang w:eastAsia="ru-RU"/>
              </w:rPr>
            </w:pPr>
            <w:r>
              <w:rPr>
                <w:rFonts w:eastAsia="Times New Roman"/>
                <w:bCs/>
                <w:szCs w:val="24"/>
                <w:lang w:eastAsia="ru-RU"/>
              </w:rPr>
              <w:t>Стан</w:t>
            </w:r>
            <w:r w:rsidR="000C1190" w:rsidRPr="00A438B8">
              <w:rPr>
                <w:rFonts w:eastAsia="Times New Roman"/>
                <w:bCs/>
                <w:szCs w:val="24"/>
                <w:lang w:val="kk-KZ" w:eastAsia="ru-RU"/>
              </w:rPr>
              <w:t>. о</w:t>
            </w:r>
            <w:r w:rsidR="000C1190" w:rsidRPr="00A438B8">
              <w:rPr>
                <w:rFonts w:eastAsia="Times New Roman"/>
                <w:bCs/>
                <w:szCs w:val="24"/>
                <w:lang w:eastAsia="ru-RU"/>
              </w:rPr>
              <w:t>ткл</w:t>
            </w:r>
            <w:r w:rsidR="000C1190" w:rsidRPr="00A438B8">
              <w:rPr>
                <w:rFonts w:eastAsia="Times New Roman"/>
                <w:bCs/>
                <w:szCs w:val="24"/>
                <w:lang w:val="kk-KZ" w:eastAsia="ru-RU"/>
              </w:rPr>
              <w:t>.</w:t>
            </w:r>
          </w:p>
        </w:tc>
        <w:tc>
          <w:tcPr>
            <w:tcW w:w="476" w:type="pct"/>
          </w:tcPr>
          <w:p w14:paraId="0EC7EC03" w14:textId="77777777" w:rsidR="000C1190" w:rsidRPr="00A438B8" w:rsidRDefault="000C1190" w:rsidP="002F33D0">
            <w:pPr>
              <w:ind w:firstLine="0"/>
              <w:jc w:val="center"/>
              <w:rPr>
                <w:rFonts w:eastAsia="Times New Roman"/>
                <w:bCs/>
                <w:szCs w:val="24"/>
                <w:lang w:val="kk-KZ" w:eastAsia="ru-RU"/>
              </w:rPr>
            </w:pPr>
            <w:r w:rsidRPr="00A438B8">
              <w:rPr>
                <w:rFonts w:eastAsia="Times New Roman"/>
                <w:bCs/>
                <w:szCs w:val="24"/>
                <w:lang w:eastAsia="ru-RU"/>
              </w:rPr>
              <w:t>Сред</w:t>
            </w:r>
            <w:r w:rsidRPr="00A438B8">
              <w:rPr>
                <w:rFonts w:eastAsia="Times New Roman"/>
                <w:bCs/>
                <w:szCs w:val="24"/>
                <w:lang w:val="kk-KZ" w:eastAsia="ru-RU"/>
              </w:rPr>
              <w:t xml:space="preserve">. </w:t>
            </w:r>
            <w:r w:rsidRPr="00A438B8">
              <w:rPr>
                <w:rFonts w:eastAsia="Times New Roman"/>
                <w:bCs/>
                <w:szCs w:val="24"/>
                <w:lang w:eastAsia="ru-RU"/>
              </w:rPr>
              <w:t>зн</w:t>
            </w:r>
            <w:r w:rsidRPr="00A438B8">
              <w:rPr>
                <w:rFonts w:eastAsia="Times New Roman"/>
                <w:bCs/>
                <w:szCs w:val="24"/>
                <w:lang w:val="kk-KZ" w:eastAsia="ru-RU"/>
              </w:rPr>
              <w:t>.</w:t>
            </w:r>
          </w:p>
        </w:tc>
        <w:tc>
          <w:tcPr>
            <w:tcW w:w="472" w:type="pct"/>
          </w:tcPr>
          <w:p w14:paraId="26B5DCA6" w14:textId="511D9F9C" w:rsidR="000C1190" w:rsidRPr="00A438B8" w:rsidRDefault="005B1FAD" w:rsidP="002F33D0">
            <w:pPr>
              <w:ind w:firstLine="0"/>
              <w:jc w:val="center"/>
              <w:rPr>
                <w:rFonts w:eastAsia="Times New Roman"/>
                <w:bCs/>
                <w:szCs w:val="24"/>
                <w:lang w:eastAsia="ru-RU"/>
              </w:rPr>
            </w:pPr>
            <w:r>
              <w:rPr>
                <w:rFonts w:eastAsia="Times New Roman"/>
                <w:bCs/>
                <w:szCs w:val="24"/>
                <w:lang w:eastAsia="ru-RU"/>
              </w:rPr>
              <w:t>Стан</w:t>
            </w:r>
            <w:r w:rsidR="000C1190" w:rsidRPr="00A438B8">
              <w:rPr>
                <w:rFonts w:eastAsia="Times New Roman"/>
                <w:bCs/>
                <w:szCs w:val="24"/>
                <w:lang w:val="kk-KZ" w:eastAsia="ru-RU"/>
              </w:rPr>
              <w:t>. о</w:t>
            </w:r>
            <w:r w:rsidR="000C1190" w:rsidRPr="00A438B8">
              <w:rPr>
                <w:rFonts w:eastAsia="Times New Roman"/>
                <w:bCs/>
                <w:szCs w:val="24"/>
                <w:lang w:eastAsia="ru-RU"/>
              </w:rPr>
              <w:t>ткл</w:t>
            </w:r>
            <w:r w:rsidR="000C1190" w:rsidRPr="00A438B8">
              <w:rPr>
                <w:rFonts w:eastAsia="Times New Roman"/>
                <w:bCs/>
                <w:szCs w:val="24"/>
                <w:lang w:val="kk-KZ" w:eastAsia="ru-RU"/>
              </w:rPr>
              <w:t>.</w:t>
            </w:r>
          </w:p>
        </w:tc>
      </w:tr>
      <w:tr w:rsidR="005B1FAD" w:rsidRPr="000C1190" w14:paraId="16BDF5FB" w14:textId="77777777" w:rsidTr="003F0E8F">
        <w:tc>
          <w:tcPr>
            <w:tcW w:w="1136" w:type="pct"/>
          </w:tcPr>
          <w:p w14:paraId="72627376" w14:textId="6E933A61" w:rsidR="005B1FAD" w:rsidRPr="005B1FAD" w:rsidRDefault="005B1FAD" w:rsidP="005B1FAD">
            <w:pPr>
              <w:ind w:firstLine="0"/>
              <w:jc w:val="center"/>
              <w:rPr>
                <w:rFonts w:eastAsia="Times New Roman"/>
                <w:bCs/>
                <w:szCs w:val="24"/>
                <w:lang w:val="kk-KZ" w:eastAsia="ru-RU"/>
              </w:rPr>
            </w:pPr>
            <w:r>
              <w:rPr>
                <w:rFonts w:eastAsia="Times New Roman"/>
                <w:bCs/>
                <w:szCs w:val="24"/>
                <w:lang w:val="kk-KZ" w:eastAsia="ru-RU"/>
              </w:rPr>
              <w:t>1</w:t>
            </w:r>
          </w:p>
        </w:tc>
        <w:tc>
          <w:tcPr>
            <w:tcW w:w="1006" w:type="pct"/>
          </w:tcPr>
          <w:p w14:paraId="45F4618A" w14:textId="2EF85DDD" w:rsidR="005B1FAD" w:rsidRPr="005B1FAD" w:rsidRDefault="005B1FAD" w:rsidP="005B1FAD">
            <w:pPr>
              <w:ind w:firstLine="0"/>
              <w:jc w:val="center"/>
              <w:rPr>
                <w:rFonts w:eastAsia="Times New Roman"/>
                <w:bCs/>
                <w:szCs w:val="24"/>
                <w:lang w:val="kk-KZ" w:eastAsia="ru-RU"/>
              </w:rPr>
            </w:pPr>
            <w:r>
              <w:rPr>
                <w:rFonts w:eastAsia="Times New Roman"/>
                <w:bCs/>
                <w:szCs w:val="24"/>
                <w:lang w:val="kk-KZ" w:eastAsia="ru-RU"/>
              </w:rPr>
              <w:t>2</w:t>
            </w:r>
          </w:p>
        </w:tc>
        <w:tc>
          <w:tcPr>
            <w:tcW w:w="477" w:type="pct"/>
          </w:tcPr>
          <w:p w14:paraId="4B4EC5B9" w14:textId="1DD31309" w:rsidR="005B1FAD" w:rsidRPr="005B1FAD" w:rsidRDefault="005B1FAD" w:rsidP="005B1FAD">
            <w:pPr>
              <w:ind w:firstLine="0"/>
              <w:jc w:val="center"/>
              <w:rPr>
                <w:rFonts w:eastAsia="Times New Roman"/>
                <w:bCs/>
                <w:szCs w:val="24"/>
                <w:lang w:val="kk-KZ" w:eastAsia="ru-RU"/>
              </w:rPr>
            </w:pPr>
            <w:r>
              <w:rPr>
                <w:rFonts w:eastAsia="Times New Roman"/>
                <w:bCs/>
                <w:szCs w:val="24"/>
                <w:lang w:val="kk-KZ" w:eastAsia="ru-RU"/>
              </w:rPr>
              <w:t>3</w:t>
            </w:r>
          </w:p>
        </w:tc>
        <w:tc>
          <w:tcPr>
            <w:tcW w:w="478" w:type="pct"/>
          </w:tcPr>
          <w:p w14:paraId="280414D6" w14:textId="604B461E" w:rsidR="005B1FAD" w:rsidRPr="005B1FAD" w:rsidRDefault="005B1FAD" w:rsidP="005B1FAD">
            <w:pPr>
              <w:ind w:firstLine="0"/>
              <w:jc w:val="center"/>
              <w:rPr>
                <w:rFonts w:eastAsia="Times New Roman"/>
                <w:bCs/>
                <w:szCs w:val="24"/>
                <w:lang w:val="kk-KZ" w:eastAsia="ru-RU"/>
              </w:rPr>
            </w:pPr>
            <w:r>
              <w:rPr>
                <w:rFonts w:eastAsia="Times New Roman"/>
                <w:bCs/>
                <w:szCs w:val="24"/>
                <w:lang w:val="kk-KZ" w:eastAsia="ru-RU"/>
              </w:rPr>
              <w:t>4</w:t>
            </w:r>
          </w:p>
        </w:tc>
        <w:tc>
          <w:tcPr>
            <w:tcW w:w="477" w:type="pct"/>
          </w:tcPr>
          <w:p w14:paraId="3FA02C49" w14:textId="7205D5C5" w:rsidR="005B1FAD" w:rsidRPr="005B1FAD" w:rsidRDefault="005B1FAD" w:rsidP="005B1FAD">
            <w:pPr>
              <w:ind w:firstLine="0"/>
              <w:jc w:val="center"/>
              <w:rPr>
                <w:rFonts w:eastAsia="Times New Roman"/>
                <w:bCs/>
                <w:szCs w:val="24"/>
                <w:lang w:val="kk-KZ" w:eastAsia="ru-RU"/>
              </w:rPr>
            </w:pPr>
            <w:r>
              <w:rPr>
                <w:rFonts w:eastAsia="Times New Roman"/>
                <w:bCs/>
                <w:szCs w:val="24"/>
                <w:lang w:val="kk-KZ" w:eastAsia="ru-RU"/>
              </w:rPr>
              <w:t>5</w:t>
            </w:r>
          </w:p>
        </w:tc>
        <w:tc>
          <w:tcPr>
            <w:tcW w:w="478" w:type="pct"/>
          </w:tcPr>
          <w:p w14:paraId="7ECFBE7D" w14:textId="099A7491" w:rsidR="005B1FAD" w:rsidRPr="005B1FAD" w:rsidRDefault="005B1FAD" w:rsidP="005B1FAD">
            <w:pPr>
              <w:ind w:firstLine="0"/>
              <w:jc w:val="center"/>
              <w:rPr>
                <w:rFonts w:eastAsia="Times New Roman"/>
                <w:bCs/>
                <w:szCs w:val="24"/>
                <w:lang w:val="kk-KZ" w:eastAsia="ru-RU"/>
              </w:rPr>
            </w:pPr>
            <w:r>
              <w:rPr>
                <w:rFonts w:eastAsia="Times New Roman"/>
                <w:bCs/>
                <w:szCs w:val="24"/>
                <w:lang w:val="kk-KZ" w:eastAsia="ru-RU"/>
              </w:rPr>
              <w:t>6</w:t>
            </w:r>
          </w:p>
        </w:tc>
        <w:tc>
          <w:tcPr>
            <w:tcW w:w="476" w:type="pct"/>
          </w:tcPr>
          <w:p w14:paraId="02CBB6AD" w14:textId="01B1CA45" w:rsidR="005B1FAD" w:rsidRPr="005B1FAD" w:rsidRDefault="005B1FAD" w:rsidP="005B1FAD">
            <w:pPr>
              <w:ind w:firstLine="0"/>
              <w:jc w:val="center"/>
              <w:rPr>
                <w:rFonts w:eastAsia="Times New Roman"/>
                <w:bCs/>
                <w:szCs w:val="24"/>
                <w:lang w:val="kk-KZ" w:eastAsia="ru-RU"/>
              </w:rPr>
            </w:pPr>
            <w:r>
              <w:rPr>
                <w:rFonts w:eastAsia="Times New Roman"/>
                <w:bCs/>
                <w:szCs w:val="24"/>
                <w:lang w:val="kk-KZ" w:eastAsia="ru-RU"/>
              </w:rPr>
              <w:t>7</w:t>
            </w:r>
          </w:p>
        </w:tc>
        <w:tc>
          <w:tcPr>
            <w:tcW w:w="472" w:type="pct"/>
          </w:tcPr>
          <w:p w14:paraId="5C2BC8A9" w14:textId="26663695" w:rsidR="005B1FAD" w:rsidRPr="005B1FAD" w:rsidRDefault="005B1FAD" w:rsidP="005B1FAD">
            <w:pPr>
              <w:ind w:firstLine="0"/>
              <w:jc w:val="center"/>
              <w:rPr>
                <w:rFonts w:eastAsia="Times New Roman"/>
                <w:bCs/>
                <w:szCs w:val="24"/>
                <w:lang w:val="kk-KZ" w:eastAsia="ru-RU"/>
              </w:rPr>
            </w:pPr>
            <w:r>
              <w:rPr>
                <w:rFonts w:eastAsia="Times New Roman"/>
                <w:bCs/>
                <w:szCs w:val="24"/>
                <w:lang w:val="kk-KZ" w:eastAsia="ru-RU"/>
              </w:rPr>
              <w:t>8</w:t>
            </w:r>
          </w:p>
        </w:tc>
      </w:tr>
      <w:tr w:rsidR="00A438B8" w:rsidRPr="000C1190" w14:paraId="0FF827EE" w14:textId="77777777" w:rsidTr="00A438B8">
        <w:tc>
          <w:tcPr>
            <w:tcW w:w="5000" w:type="pct"/>
            <w:gridSpan w:val="8"/>
          </w:tcPr>
          <w:p w14:paraId="35B2306A" w14:textId="77777777" w:rsidR="00A438B8" w:rsidRPr="00A438B8" w:rsidRDefault="00A438B8" w:rsidP="002F33D0">
            <w:pPr>
              <w:ind w:firstLine="0"/>
              <w:jc w:val="center"/>
              <w:rPr>
                <w:rFonts w:eastAsia="Times New Roman"/>
                <w:bCs/>
                <w:szCs w:val="24"/>
                <w:lang w:eastAsia="ru-RU"/>
              </w:rPr>
            </w:pPr>
            <w:r w:rsidRPr="00A438B8">
              <w:rPr>
                <w:szCs w:val="24"/>
              </w:rPr>
              <w:t>Soft-компетенции</w:t>
            </w:r>
          </w:p>
        </w:tc>
      </w:tr>
      <w:tr w:rsidR="000C1190" w:rsidRPr="000C1190" w14:paraId="095022C9" w14:textId="77777777" w:rsidTr="003F0E8F">
        <w:tc>
          <w:tcPr>
            <w:tcW w:w="1136" w:type="pct"/>
          </w:tcPr>
          <w:p w14:paraId="3E208BA2" w14:textId="77777777" w:rsidR="000C1190" w:rsidRPr="00A438B8" w:rsidRDefault="000C1190" w:rsidP="002F33D0">
            <w:pPr>
              <w:ind w:firstLine="0"/>
              <w:jc w:val="both"/>
              <w:rPr>
                <w:rFonts w:eastAsia="Times New Roman"/>
                <w:szCs w:val="24"/>
                <w:lang w:eastAsia="ru-RU"/>
              </w:rPr>
            </w:pPr>
            <w:r w:rsidRPr="00A438B8">
              <w:rPr>
                <w:rFonts w:eastAsia="Times New Roman"/>
                <w:szCs w:val="24"/>
                <w:lang w:eastAsia="ru-RU"/>
              </w:rPr>
              <w:t>Гибкость и адаптивность</w:t>
            </w:r>
          </w:p>
        </w:tc>
        <w:tc>
          <w:tcPr>
            <w:tcW w:w="1006" w:type="pct"/>
            <w:hideMark/>
          </w:tcPr>
          <w:p w14:paraId="0199AC35" w14:textId="77777777" w:rsidR="000C1190" w:rsidRPr="00A438B8" w:rsidRDefault="000C1190" w:rsidP="002F33D0">
            <w:pPr>
              <w:ind w:firstLine="0"/>
              <w:jc w:val="both"/>
              <w:rPr>
                <w:rFonts w:eastAsia="Times New Roman"/>
                <w:szCs w:val="24"/>
                <w:lang w:eastAsia="ru-RU"/>
              </w:rPr>
            </w:pPr>
            <w:r w:rsidRPr="00A438B8">
              <w:rPr>
                <w:rFonts w:eastAsia="Times New Roman"/>
                <w:szCs w:val="24"/>
                <w:lang w:eastAsia="ru-RU"/>
              </w:rPr>
              <w:t>skill_soft_adaptability</w:t>
            </w:r>
          </w:p>
        </w:tc>
        <w:tc>
          <w:tcPr>
            <w:tcW w:w="477" w:type="pct"/>
            <w:vAlign w:val="center"/>
            <w:hideMark/>
          </w:tcPr>
          <w:p w14:paraId="7F70255F" w14:textId="5AA99263" w:rsidR="000C1190" w:rsidRPr="00A438B8" w:rsidRDefault="00A438B8" w:rsidP="002F33D0">
            <w:pPr>
              <w:ind w:firstLine="0"/>
              <w:jc w:val="center"/>
              <w:rPr>
                <w:rFonts w:eastAsia="Times New Roman"/>
                <w:szCs w:val="24"/>
                <w:lang w:eastAsia="ru-RU"/>
              </w:rPr>
            </w:pPr>
            <w:r>
              <w:rPr>
                <w:rFonts w:eastAsia="Times New Roman"/>
                <w:szCs w:val="24"/>
                <w:lang w:eastAsia="ru-RU"/>
              </w:rPr>
              <w:t>3</w:t>
            </w:r>
            <w:r>
              <w:rPr>
                <w:rFonts w:eastAsia="Times New Roman"/>
                <w:szCs w:val="24"/>
                <w:lang w:val="kk-KZ" w:eastAsia="ru-RU"/>
              </w:rPr>
              <w:t>,</w:t>
            </w:r>
            <w:r w:rsidR="000C1190" w:rsidRPr="00A438B8">
              <w:rPr>
                <w:rFonts w:eastAsia="Times New Roman"/>
                <w:szCs w:val="24"/>
                <w:lang w:eastAsia="ru-RU"/>
              </w:rPr>
              <w:t>06</w:t>
            </w:r>
          </w:p>
        </w:tc>
        <w:tc>
          <w:tcPr>
            <w:tcW w:w="478" w:type="pct"/>
            <w:vAlign w:val="center"/>
          </w:tcPr>
          <w:p w14:paraId="0C56AF98" w14:textId="40C89664"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1</w:t>
            </w:r>
            <w:r w:rsidR="00A438B8">
              <w:rPr>
                <w:rFonts w:eastAsia="Times New Roman"/>
                <w:szCs w:val="24"/>
                <w:lang w:val="kk-KZ" w:eastAsia="ru-RU"/>
              </w:rPr>
              <w:t>,</w:t>
            </w:r>
            <w:r w:rsidRPr="00A438B8">
              <w:rPr>
                <w:rFonts w:eastAsia="Times New Roman"/>
                <w:szCs w:val="24"/>
                <w:lang w:eastAsia="ru-RU"/>
              </w:rPr>
              <w:t>42</w:t>
            </w:r>
          </w:p>
        </w:tc>
        <w:tc>
          <w:tcPr>
            <w:tcW w:w="477" w:type="pct"/>
            <w:vAlign w:val="center"/>
            <w:hideMark/>
          </w:tcPr>
          <w:p w14:paraId="749AFF75" w14:textId="09F121B0"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3</w:t>
            </w:r>
            <w:r w:rsidR="0052179A">
              <w:rPr>
                <w:rFonts w:eastAsia="Times New Roman"/>
                <w:szCs w:val="24"/>
                <w:lang w:val="kk-KZ" w:eastAsia="ru-RU"/>
              </w:rPr>
              <w:t>,</w:t>
            </w:r>
            <w:r w:rsidRPr="00A438B8">
              <w:rPr>
                <w:rFonts w:eastAsia="Times New Roman"/>
                <w:szCs w:val="24"/>
                <w:lang w:eastAsia="ru-RU"/>
              </w:rPr>
              <w:t>07</w:t>
            </w:r>
          </w:p>
        </w:tc>
        <w:tc>
          <w:tcPr>
            <w:tcW w:w="478" w:type="pct"/>
            <w:vAlign w:val="center"/>
          </w:tcPr>
          <w:p w14:paraId="79470FE8" w14:textId="13D9D774"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1</w:t>
            </w:r>
            <w:r w:rsidR="0052179A">
              <w:rPr>
                <w:rFonts w:eastAsia="Times New Roman"/>
                <w:szCs w:val="24"/>
                <w:lang w:val="kk-KZ" w:eastAsia="ru-RU"/>
              </w:rPr>
              <w:t>,</w:t>
            </w:r>
            <w:r w:rsidRPr="00A438B8">
              <w:rPr>
                <w:rFonts w:eastAsia="Times New Roman"/>
                <w:szCs w:val="24"/>
                <w:lang w:eastAsia="ru-RU"/>
              </w:rPr>
              <w:t>38</w:t>
            </w:r>
          </w:p>
        </w:tc>
        <w:tc>
          <w:tcPr>
            <w:tcW w:w="476" w:type="pct"/>
            <w:vAlign w:val="center"/>
            <w:hideMark/>
          </w:tcPr>
          <w:p w14:paraId="363A2068" w14:textId="6E2F323D"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3</w:t>
            </w:r>
            <w:r w:rsidR="0052179A">
              <w:rPr>
                <w:rFonts w:eastAsia="Times New Roman"/>
                <w:szCs w:val="24"/>
                <w:lang w:val="kk-KZ" w:eastAsia="ru-RU"/>
              </w:rPr>
              <w:t>,</w:t>
            </w:r>
            <w:r w:rsidRPr="00A438B8">
              <w:rPr>
                <w:rFonts w:eastAsia="Times New Roman"/>
                <w:szCs w:val="24"/>
                <w:lang w:eastAsia="ru-RU"/>
              </w:rPr>
              <w:t>07</w:t>
            </w:r>
          </w:p>
        </w:tc>
        <w:tc>
          <w:tcPr>
            <w:tcW w:w="472" w:type="pct"/>
            <w:vAlign w:val="center"/>
          </w:tcPr>
          <w:p w14:paraId="6EFA09A0" w14:textId="7E31DCA6"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1</w:t>
            </w:r>
            <w:r w:rsidR="0052179A">
              <w:rPr>
                <w:rFonts w:eastAsia="Times New Roman"/>
                <w:szCs w:val="24"/>
                <w:lang w:val="kk-KZ" w:eastAsia="ru-RU"/>
              </w:rPr>
              <w:t>,</w:t>
            </w:r>
            <w:r w:rsidRPr="00A438B8">
              <w:rPr>
                <w:rFonts w:eastAsia="Times New Roman"/>
                <w:szCs w:val="24"/>
                <w:lang w:eastAsia="ru-RU"/>
              </w:rPr>
              <w:t>37</w:t>
            </w:r>
          </w:p>
        </w:tc>
      </w:tr>
      <w:tr w:rsidR="000C1190" w:rsidRPr="000C1190" w14:paraId="1E1DB229" w14:textId="77777777" w:rsidTr="003F0E8F">
        <w:tc>
          <w:tcPr>
            <w:tcW w:w="1136" w:type="pct"/>
          </w:tcPr>
          <w:p w14:paraId="62531C9C" w14:textId="77777777" w:rsidR="000C1190" w:rsidRPr="00A438B8" w:rsidRDefault="000C1190" w:rsidP="002F33D0">
            <w:pPr>
              <w:ind w:firstLine="0"/>
              <w:jc w:val="both"/>
              <w:rPr>
                <w:rFonts w:eastAsia="Times New Roman"/>
                <w:szCs w:val="24"/>
                <w:lang w:eastAsia="ru-RU"/>
              </w:rPr>
            </w:pPr>
            <w:r w:rsidRPr="00A438B8">
              <w:rPr>
                <w:rFonts w:eastAsia="Times New Roman"/>
                <w:szCs w:val="24"/>
                <w:lang w:eastAsia="ru-RU"/>
              </w:rPr>
              <w:t>Креативность</w:t>
            </w:r>
          </w:p>
        </w:tc>
        <w:tc>
          <w:tcPr>
            <w:tcW w:w="1006" w:type="pct"/>
            <w:hideMark/>
          </w:tcPr>
          <w:p w14:paraId="297D713A" w14:textId="77777777" w:rsidR="000C1190" w:rsidRPr="00A438B8" w:rsidRDefault="000C1190" w:rsidP="002F33D0">
            <w:pPr>
              <w:ind w:firstLine="0"/>
              <w:jc w:val="both"/>
              <w:rPr>
                <w:rFonts w:eastAsia="Times New Roman"/>
                <w:szCs w:val="24"/>
                <w:lang w:eastAsia="ru-RU"/>
              </w:rPr>
            </w:pPr>
            <w:r w:rsidRPr="00A438B8">
              <w:rPr>
                <w:rFonts w:eastAsia="Times New Roman"/>
                <w:szCs w:val="24"/>
                <w:lang w:eastAsia="ru-RU"/>
              </w:rPr>
              <w:t>skill_soft_creativity</w:t>
            </w:r>
          </w:p>
        </w:tc>
        <w:tc>
          <w:tcPr>
            <w:tcW w:w="477" w:type="pct"/>
            <w:vAlign w:val="center"/>
            <w:hideMark/>
          </w:tcPr>
          <w:p w14:paraId="4C6D8EC5" w14:textId="626E1916"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2</w:t>
            </w:r>
            <w:r w:rsidR="0052179A">
              <w:rPr>
                <w:rFonts w:eastAsia="Times New Roman"/>
                <w:szCs w:val="24"/>
                <w:lang w:val="kk-KZ" w:eastAsia="ru-RU"/>
              </w:rPr>
              <w:t>,</w:t>
            </w:r>
            <w:r w:rsidRPr="00A438B8">
              <w:rPr>
                <w:rFonts w:eastAsia="Times New Roman"/>
                <w:szCs w:val="24"/>
                <w:lang w:eastAsia="ru-RU"/>
              </w:rPr>
              <w:t>86</w:t>
            </w:r>
          </w:p>
        </w:tc>
        <w:tc>
          <w:tcPr>
            <w:tcW w:w="478" w:type="pct"/>
            <w:vAlign w:val="center"/>
          </w:tcPr>
          <w:p w14:paraId="220AE719" w14:textId="200C279C"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1</w:t>
            </w:r>
            <w:r w:rsidR="0052179A">
              <w:rPr>
                <w:rFonts w:eastAsia="Times New Roman"/>
                <w:szCs w:val="24"/>
                <w:lang w:val="kk-KZ" w:eastAsia="ru-RU"/>
              </w:rPr>
              <w:t>,</w:t>
            </w:r>
            <w:r w:rsidRPr="00A438B8">
              <w:rPr>
                <w:rFonts w:eastAsia="Times New Roman"/>
                <w:szCs w:val="24"/>
                <w:lang w:eastAsia="ru-RU"/>
              </w:rPr>
              <w:t>43</w:t>
            </w:r>
          </w:p>
        </w:tc>
        <w:tc>
          <w:tcPr>
            <w:tcW w:w="477" w:type="pct"/>
            <w:vAlign w:val="center"/>
            <w:hideMark/>
          </w:tcPr>
          <w:p w14:paraId="17506128" w14:textId="22357337"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2</w:t>
            </w:r>
            <w:r w:rsidR="0052179A">
              <w:rPr>
                <w:rFonts w:eastAsia="Times New Roman"/>
                <w:szCs w:val="24"/>
                <w:lang w:val="kk-KZ" w:eastAsia="ru-RU"/>
              </w:rPr>
              <w:t>,</w:t>
            </w:r>
            <w:r w:rsidRPr="00A438B8">
              <w:rPr>
                <w:rFonts w:eastAsia="Times New Roman"/>
                <w:szCs w:val="24"/>
                <w:lang w:eastAsia="ru-RU"/>
              </w:rPr>
              <w:t>83</w:t>
            </w:r>
          </w:p>
        </w:tc>
        <w:tc>
          <w:tcPr>
            <w:tcW w:w="478" w:type="pct"/>
            <w:vAlign w:val="center"/>
          </w:tcPr>
          <w:p w14:paraId="01AC026B" w14:textId="639FAB36" w:rsidR="000C1190" w:rsidRPr="00A438B8" w:rsidRDefault="000C1190" w:rsidP="00486569">
            <w:pPr>
              <w:ind w:firstLine="0"/>
              <w:jc w:val="center"/>
              <w:rPr>
                <w:rFonts w:eastAsia="Times New Roman"/>
                <w:szCs w:val="24"/>
                <w:lang w:eastAsia="ru-RU"/>
              </w:rPr>
            </w:pPr>
            <w:r w:rsidRPr="00A438B8">
              <w:rPr>
                <w:rFonts w:eastAsia="Times New Roman"/>
                <w:szCs w:val="24"/>
                <w:lang w:eastAsia="ru-RU"/>
              </w:rPr>
              <w:t>1</w:t>
            </w:r>
            <w:r w:rsidR="00486569">
              <w:rPr>
                <w:rFonts w:eastAsia="Times New Roman"/>
                <w:szCs w:val="24"/>
                <w:lang w:val="kk-KZ" w:eastAsia="ru-RU"/>
              </w:rPr>
              <w:t>,</w:t>
            </w:r>
            <w:r w:rsidRPr="00A438B8">
              <w:rPr>
                <w:rFonts w:eastAsia="Times New Roman"/>
                <w:szCs w:val="24"/>
                <w:lang w:eastAsia="ru-RU"/>
              </w:rPr>
              <w:t>48</w:t>
            </w:r>
          </w:p>
        </w:tc>
        <w:tc>
          <w:tcPr>
            <w:tcW w:w="476" w:type="pct"/>
            <w:vAlign w:val="center"/>
            <w:hideMark/>
          </w:tcPr>
          <w:p w14:paraId="3EE56FE7" w14:textId="0C1D96CB"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3</w:t>
            </w:r>
            <w:r w:rsidR="0052179A">
              <w:rPr>
                <w:rFonts w:eastAsia="Times New Roman"/>
                <w:szCs w:val="24"/>
                <w:lang w:val="kk-KZ" w:eastAsia="ru-RU"/>
              </w:rPr>
              <w:t>,</w:t>
            </w:r>
            <w:r w:rsidRPr="00A438B8">
              <w:rPr>
                <w:rFonts w:eastAsia="Times New Roman"/>
                <w:szCs w:val="24"/>
                <w:lang w:eastAsia="ru-RU"/>
              </w:rPr>
              <w:t>00</w:t>
            </w:r>
          </w:p>
        </w:tc>
        <w:tc>
          <w:tcPr>
            <w:tcW w:w="472" w:type="pct"/>
            <w:vAlign w:val="center"/>
          </w:tcPr>
          <w:p w14:paraId="0302D122" w14:textId="689517B0"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1</w:t>
            </w:r>
            <w:r w:rsidR="0052179A">
              <w:rPr>
                <w:rFonts w:eastAsia="Times New Roman"/>
                <w:szCs w:val="24"/>
                <w:lang w:val="kk-KZ" w:eastAsia="ru-RU"/>
              </w:rPr>
              <w:t>,</w:t>
            </w:r>
            <w:r w:rsidRPr="00A438B8">
              <w:rPr>
                <w:rFonts w:eastAsia="Times New Roman"/>
                <w:szCs w:val="24"/>
                <w:lang w:eastAsia="ru-RU"/>
              </w:rPr>
              <w:t>41</w:t>
            </w:r>
          </w:p>
        </w:tc>
      </w:tr>
      <w:tr w:rsidR="000C1190" w:rsidRPr="000C1190" w14:paraId="3C07C6B3" w14:textId="77777777" w:rsidTr="003F0E8F">
        <w:tc>
          <w:tcPr>
            <w:tcW w:w="1136" w:type="pct"/>
          </w:tcPr>
          <w:p w14:paraId="74489A32" w14:textId="77777777" w:rsidR="000C1190" w:rsidRPr="00A438B8" w:rsidRDefault="000C1190" w:rsidP="002F33D0">
            <w:pPr>
              <w:ind w:firstLine="0"/>
              <w:jc w:val="both"/>
              <w:rPr>
                <w:rFonts w:eastAsia="Times New Roman"/>
                <w:szCs w:val="24"/>
                <w:lang w:eastAsia="ru-RU"/>
              </w:rPr>
            </w:pPr>
            <w:r w:rsidRPr="00A438B8">
              <w:rPr>
                <w:rFonts w:eastAsia="Times New Roman"/>
                <w:szCs w:val="24"/>
                <w:lang w:eastAsia="ru-RU"/>
              </w:rPr>
              <w:t>Критическое мышление и решение проблем</w:t>
            </w:r>
          </w:p>
        </w:tc>
        <w:tc>
          <w:tcPr>
            <w:tcW w:w="1006" w:type="pct"/>
            <w:hideMark/>
          </w:tcPr>
          <w:p w14:paraId="20507610" w14:textId="77777777" w:rsidR="000C1190" w:rsidRPr="00A438B8" w:rsidRDefault="000C1190" w:rsidP="002F33D0">
            <w:pPr>
              <w:ind w:firstLine="0"/>
              <w:jc w:val="both"/>
              <w:rPr>
                <w:rFonts w:eastAsia="Times New Roman"/>
                <w:szCs w:val="24"/>
                <w:lang w:eastAsia="ru-RU"/>
              </w:rPr>
            </w:pPr>
            <w:r w:rsidRPr="00A438B8">
              <w:rPr>
                <w:rFonts w:eastAsia="Times New Roman"/>
                <w:szCs w:val="24"/>
                <w:lang w:eastAsia="ru-RU"/>
              </w:rPr>
              <w:t>skill_soft_problemsolving</w:t>
            </w:r>
          </w:p>
        </w:tc>
        <w:tc>
          <w:tcPr>
            <w:tcW w:w="477" w:type="pct"/>
            <w:vAlign w:val="center"/>
            <w:hideMark/>
          </w:tcPr>
          <w:p w14:paraId="49CE0E11" w14:textId="528201E1"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3</w:t>
            </w:r>
            <w:r w:rsidR="0052179A">
              <w:rPr>
                <w:rFonts w:eastAsia="Times New Roman"/>
                <w:szCs w:val="24"/>
                <w:lang w:val="kk-KZ" w:eastAsia="ru-RU"/>
              </w:rPr>
              <w:t>,</w:t>
            </w:r>
            <w:r w:rsidRPr="00A438B8">
              <w:rPr>
                <w:rFonts w:eastAsia="Times New Roman"/>
                <w:szCs w:val="24"/>
                <w:lang w:eastAsia="ru-RU"/>
              </w:rPr>
              <w:t>24</w:t>
            </w:r>
          </w:p>
        </w:tc>
        <w:tc>
          <w:tcPr>
            <w:tcW w:w="478" w:type="pct"/>
            <w:vAlign w:val="center"/>
          </w:tcPr>
          <w:p w14:paraId="00FE7C3E" w14:textId="62777F06"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1</w:t>
            </w:r>
            <w:r w:rsidR="0052179A">
              <w:rPr>
                <w:rFonts w:eastAsia="Times New Roman"/>
                <w:szCs w:val="24"/>
                <w:lang w:val="kk-KZ" w:eastAsia="ru-RU"/>
              </w:rPr>
              <w:t>,</w:t>
            </w:r>
            <w:r w:rsidRPr="00A438B8">
              <w:rPr>
                <w:rFonts w:eastAsia="Times New Roman"/>
                <w:szCs w:val="24"/>
                <w:lang w:eastAsia="ru-RU"/>
              </w:rPr>
              <w:t>42</w:t>
            </w:r>
          </w:p>
        </w:tc>
        <w:tc>
          <w:tcPr>
            <w:tcW w:w="477" w:type="pct"/>
            <w:vAlign w:val="center"/>
            <w:hideMark/>
          </w:tcPr>
          <w:p w14:paraId="3DF116BD" w14:textId="49CCFAD0"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3</w:t>
            </w:r>
            <w:r w:rsidR="0052179A">
              <w:rPr>
                <w:rFonts w:eastAsia="Times New Roman"/>
                <w:szCs w:val="24"/>
                <w:lang w:val="kk-KZ" w:eastAsia="ru-RU"/>
              </w:rPr>
              <w:t>,</w:t>
            </w:r>
            <w:r w:rsidRPr="00A438B8">
              <w:rPr>
                <w:rFonts w:eastAsia="Times New Roman"/>
                <w:szCs w:val="24"/>
                <w:lang w:eastAsia="ru-RU"/>
              </w:rPr>
              <w:t>23</w:t>
            </w:r>
          </w:p>
        </w:tc>
        <w:tc>
          <w:tcPr>
            <w:tcW w:w="478" w:type="pct"/>
            <w:vAlign w:val="center"/>
          </w:tcPr>
          <w:p w14:paraId="65021DB0" w14:textId="423263A0" w:rsidR="000C1190" w:rsidRPr="00A438B8" w:rsidRDefault="000C1190" w:rsidP="00486569">
            <w:pPr>
              <w:ind w:firstLine="0"/>
              <w:jc w:val="center"/>
              <w:rPr>
                <w:rFonts w:eastAsia="Times New Roman"/>
                <w:szCs w:val="24"/>
                <w:lang w:eastAsia="ru-RU"/>
              </w:rPr>
            </w:pPr>
            <w:r w:rsidRPr="00A438B8">
              <w:rPr>
                <w:rFonts w:eastAsia="Times New Roman"/>
                <w:szCs w:val="24"/>
                <w:lang w:eastAsia="ru-RU"/>
              </w:rPr>
              <w:t>1</w:t>
            </w:r>
            <w:r w:rsidR="00486569">
              <w:rPr>
                <w:rFonts w:eastAsia="Times New Roman"/>
                <w:szCs w:val="24"/>
                <w:lang w:val="kk-KZ" w:eastAsia="ru-RU"/>
              </w:rPr>
              <w:t>,</w:t>
            </w:r>
            <w:r w:rsidRPr="00A438B8">
              <w:rPr>
                <w:rFonts w:eastAsia="Times New Roman"/>
                <w:szCs w:val="24"/>
                <w:lang w:eastAsia="ru-RU"/>
              </w:rPr>
              <w:t>42</w:t>
            </w:r>
          </w:p>
        </w:tc>
        <w:tc>
          <w:tcPr>
            <w:tcW w:w="476" w:type="pct"/>
            <w:vAlign w:val="center"/>
            <w:hideMark/>
          </w:tcPr>
          <w:p w14:paraId="1D39C3C1" w14:textId="30083777"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2</w:t>
            </w:r>
            <w:r w:rsidR="0052179A">
              <w:rPr>
                <w:rFonts w:eastAsia="Times New Roman"/>
                <w:szCs w:val="24"/>
                <w:lang w:val="kk-KZ" w:eastAsia="ru-RU"/>
              </w:rPr>
              <w:t>,</w:t>
            </w:r>
            <w:r w:rsidRPr="00A438B8">
              <w:rPr>
                <w:rFonts w:eastAsia="Times New Roman"/>
                <w:szCs w:val="24"/>
                <w:lang w:eastAsia="ru-RU"/>
              </w:rPr>
              <w:t>89</w:t>
            </w:r>
          </w:p>
        </w:tc>
        <w:tc>
          <w:tcPr>
            <w:tcW w:w="472" w:type="pct"/>
            <w:vAlign w:val="center"/>
          </w:tcPr>
          <w:p w14:paraId="4C177C48" w14:textId="3E0DEBD2"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1</w:t>
            </w:r>
            <w:r w:rsidR="0052179A">
              <w:rPr>
                <w:rFonts w:eastAsia="Times New Roman"/>
                <w:szCs w:val="24"/>
                <w:lang w:val="kk-KZ" w:eastAsia="ru-RU"/>
              </w:rPr>
              <w:t>,</w:t>
            </w:r>
            <w:r w:rsidRPr="00A438B8">
              <w:rPr>
                <w:rFonts w:eastAsia="Times New Roman"/>
                <w:szCs w:val="24"/>
                <w:lang w:eastAsia="ru-RU"/>
              </w:rPr>
              <w:t>42</w:t>
            </w:r>
          </w:p>
        </w:tc>
      </w:tr>
      <w:tr w:rsidR="000C1190" w:rsidRPr="000C1190" w14:paraId="280E1AB8" w14:textId="77777777" w:rsidTr="003F0E8F">
        <w:tc>
          <w:tcPr>
            <w:tcW w:w="1136" w:type="pct"/>
          </w:tcPr>
          <w:p w14:paraId="115E9420" w14:textId="77777777" w:rsidR="000C1190" w:rsidRPr="00A438B8" w:rsidRDefault="000C1190" w:rsidP="002F33D0">
            <w:pPr>
              <w:ind w:firstLine="0"/>
              <w:jc w:val="both"/>
              <w:rPr>
                <w:rFonts w:eastAsia="Times New Roman"/>
                <w:szCs w:val="24"/>
                <w:lang w:eastAsia="ru-RU"/>
              </w:rPr>
            </w:pPr>
            <w:r w:rsidRPr="00A438B8">
              <w:rPr>
                <w:rFonts w:eastAsia="Times New Roman"/>
                <w:szCs w:val="24"/>
                <w:lang w:eastAsia="ru-RU"/>
              </w:rPr>
              <w:t>Командная работа и коммуникации</w:t>
            </w:r>
          </w:p>
        </w:tc>
        <w:tc>
          <w:tcPr>
            <w:tcW w:w="1006" w:type="pct"/>
            <w:hideMark/>
          </w:tcPr>
          <w:p w14:paraId="746553F5" w14:textId="77777777" w:rsidR="000C1190" w:rsidRPr="00A438B8" w:rsidRDefault="000C1190" w:rsidP="002F33D0">
            <w:pPr>
              <w:ind w:firstLine="0"/>
              <w:jc w:val="both"/>
              <w:rPr>
                <w:rFonts w:eastAsia="Times New Roman"/>
                <w:szCs w:val="24"/>
                <w:lang w:eastAsia="ru-RU"/>
              </w:rPr>
            </w:pPr>
            <w:r w:rsidRPr="00A438B8">
              <w:rPr>
                <w:rFonts w:eastAsia="Times New Roman"/>
                <w:szCs w:val="24"/>
                <w:lang w:eastAsia="ru-RU"/>
              </w:rPr>
              <w:t>skill_soft_teamwork</w:t>
            </w:r>
          </w:p>
        </w:tc>
        <w:tc>
          <w:tcPr>
            <w:tcW w:w="477" w:type="pct"/>
            <w:vAlign w:val="center"/>
            <w:hideMark/>
          </w:tcPr>
          <w:p w14:paraId="6E52D104" w14:textId="6AF2E73C"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2</w:t>
            </w:r>
            <w:r w:rsidR="0052179A">
              <w:rPr>
                <w:rFonts w:eastAsia="Times New Roman"/>
                <w:szCs w:val="24"/>
                <w:lang w:val="kk-KZ" w:eastAsia="ru-RU"/>
              </w:rPr>
              <w:t>,</w:t>
            </w:r>
            <w:r w:rsidRPr="00A438B8">
              <w:rPr>
                <w:rFonts w:eastAsia="Times New Roman"/>
                <w:szCs w:val="24"/>
                <w:lang w:eastAsia="ru-RU"/>
              </w:rPr>
              <w:t>96</w:t>
            </w:r>
          </w:p>
        </w:tc>
        <w:tc>
          <w:tcPr>
            <w:tcW w:w="478" w:type="pct"/>
            <w:vAlign w:val="center"/>
          </w:tcPr>
          <w:p w14:paraId="7A297FC2" w14:textId="2F9DEBD2"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1</w:t>
            </w:r>
            <w:r w:rsidR="0052179A">
              <w:rPr>
                <w:rFonts w:eastAsia="Times New Roman"/>
                <w:szCs w:val="24"/>
                <w:lang w:val="kk-KZ" w:eastAsia="ru-RU"/>
              </w:rPr>
              <w:t>,</w:t>
            </w:r>
            <w:r w:rsidRPr="00A438B8">
              <w:rPr>
                <w:rFonts w:eastAsia="Times New Roman"/>
                <w:szCs w:val="24"/>
                <w:lang w:eastAsia="ru-RU"/>
              </w:rPr>
              <w:t>35</w:t>
            </w:r>
          </w:p>
        </w:tc>
        <w:tc>
          <w:tcPr>
            <w:tcW w:w="477" w:type="pct"/>
            <w:vAlign w:val="center"/>
            <w:hideMark/>
          </w:tcPr>
          <w:p w14:paraId="251738AE" w14:textId="441D5A70"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3</w:t>
            </w:r>
            <w:r w:rsidR="0052179A">
              <w:rPr>
                <w:rFonts w:eastAsia="Times New Roman"/>
                <w:szCs w:val="24"/>
                <w:lang w:val="kk-KZ" w:eastAsia="ru-RU"/>
              </w:rPr>
              <w:t>,</w:t>
            </w:r>
            <w:r w:rsidRPr="00A438B8">
              <w:rPr>
                <w:rFonts w:eastAsia="Times New Roman"/>
                <w:szCs w:val="24"/>
                <w:lang w:eastAsia="ru-RU"/>
              </w:rPr>
              <w:t>21</w:t>
            </w:r>
          </w:p>
        </w:tc>
        <w:tc>
          <w:tcPr>
            <w:tcW w:w="478" w:type="pct"/>
            <w:vAlign w:val="center"/>
          </w:tcPr>
          <w:p w14:paraId="06E620CA" w14:textId="38964663"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1</w:t>
            </w:r>
            <w:r w:rsidR="0052179A">
              <w:rPr>
                <w:rFonts w:eastAsia="Times New Roman"/>
                <w:szCs w:val="24"/>
                <w:lang w:val="kk-KZ" w:eastAsia="ru-RU"/>
              </w:rPr>
              <w:t>,</w:t>
            </w:r>
            <w:r w:rsidRPr="00A438B8">
              <w:rPr>
                <w:rFonts w:eastAsia="Times New Roman"/>
                <w:szCs w:val="24"/>
                <w:lang w:eastAsia="ru-RU"/>
              </w:rPr>
              <w:t>46</w:t>
            </w:r>
          </w:p>
        </w:tc>
        <w:tc>
          <w:tcPr>
            <w:tcW w:w="476" w:type="pct"/>
            <w:vAlign w:val="center"/>
            <w:hideMark/>
          </w:tcPr>
          <w:p w14:paraId="458493FD" w14:textId="65D9FF55"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2</w:t>
            </w:r>
            <w:r w:rsidR="0052179A">
              <w:rPr>
                <w:rFonts w:eastAsia="Times New Roman"/>
                <w:szCs w:val="24"/>
                <w:lang w:val="kk-KZ" w:eastAsia="ru-RU"/>
              </w:rPr>
              <w:t>,</w:t>
            </w:r>
            <w:r w:rsidRPr="00A438B8">
              <w:rPr>
                <w:rFonts w:eastAsia="Times New Roman"/>
                <w:szCs w:val="24"/>
                <w:lang w:eastAsia="ru-RU"/>
              </w:rPr>
              <w:t>99</w:t>
            </w:r>
          </w:p>
        </w:tc>
        <w:tc>
          <w:tcPr>
            <w:tcW w:w="472" w:type="pct"/>
            <w:vAlign w:val="center"/>
          </w:tcPr>
          <w:p w14:paraId="0A2E2A01" w14:textId="3B995809"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1</w:t>
            </w:r>
            <w:r w:rsidR="0052179A">
              <w:rPr>
                <w:rFonts w:eastAsia="Times New Roman"/>
                <w:szCs w:val="24"/>
                <w:lang w:val="kk-KZ" w:eastAsia="ru-RU"/>
              </w:rPr>
              <w:t>,</w:t>
            </w:r>
            <w:r w:rsidRPr="00A438B8">
              <w:rPr>
                <w:rFonts w:eastAsia="Times New Roman"/>
                <w:szCs w:val="24"/>
                <w:lang w:eastAsia="ru-RU"/>
              </w:rPr>
              <w:t>40</w:t>
            </w:r>
          </w:p>
        </w:tc>
      </w:tr>
      <w:tr w:rsidR="000C1190" w:rsidRPr="000C1190" w14:paraId="76259986" w14:textId="77777777" w:rsidTr="003F0E8F">
        <w:tc>
          <w:tcPr>
            <w:tcW w:w="1136" w:type="pct"/>
          </w:tcPr>
          <w:p w14:paraId="4023BAB8" w14:textId="77777777" w:rsidR="000C1190" w:rsidRPr="00A438B8" w:rsidRDefault="000C1190" w:rsidP="002F33D0">
            <w:pPr>
              <w:ind w:firstLine="0"/>
              <w:jc w:val="both"/>
              <w:rPr>
                <w:rFonts w:eastAsia="Times New Roman"/>
                <w:szCs w:val="24"/>
                <w:lang w:eastAsia="ru-RU"/>
              </w:rPr>
            </w:pPr>
            <w:r w:rsidRPr="00A438B8">
              <w:rPr>
                <w:rFonts w:eastAsia="Times New Roman"/>
                <w:szCs w:val="24"/>
                <w:lang w:eastAsia="ru-RU"/>
              </w:rPr>
              <w:t>Устойчивое мышление (ориентация на устойчивое развитие)</w:t>
            </w:r>
          </w:p>
        </w:tc>
        <w:tc>
          <w:tcPr>
            <w:tcW w:w="1006" w:type="pct"/>
            <w:hideMark/>
          </w:tcPr>
          <w:p w14:paraId="35BEEF53" w14:textId="77777777" w:rsidR="000C1190" w:rsidRPr="00A438B8" w:rsidRDefault="000C1190" w:rsidP="002F33D0">
            <w:pPr>
              <w:ind w:firstLine="0"/>
              <w:jc w:val="both"/>
              <w:rPr>
                <w:rFonts w:eastAsia="Times New Roman"/>
                <w:szCs w:val="24"/>
                <w:lang w:eastAsia="ru-RU"/>
              </w:rPr>
            </w:pPr>
            <w:r w:rsidRPr="00A438B8">
              <w:rPr>
                <w:rFonts w:eastAsia="Times New Roman"/>
                <w:szCs w:val="24"/>
                <w:lang w:eastAsia="ru-RU"/>
              </w:rPr>
              <w:t>skill_soft_sustainability</w:t>
            </w:r>
          </w:p>
        </w:tc>
        <w:tc>
          <w:tcPr>
            <w:tcW w:w="477" w:type="pct"/>
            <w:vAlign w:val="center"/>
            <w:hideMark/>
          </w:tcPr>
          <w:p w14:paraId="78F00BC1" w14:textId="4613CF7B"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2</w:t>
            </w:r>
            <w:r w:rsidR="0052179A">
              <w:rPr>
                <w:rFonts w:eastAsia="Times New Roman"/>
                <w:szCs w:val="24"/>
                <w:lang w:val="kk-KZ" w:eastAsia="ru-RU"/>
              </w:rPr>
              <w:t>,</w:t>
            </w:r>
            <w:r w:rsidRPr="00A438B8">
              <w:rPr>
                <w:rFonts w:eastAsia="Times New Roman"/>
                <w:szCs w:val="24"/>
                <w:lang w:eastAsia="ru-RU"/>
              </w:rPr>
              <w:t>92</w:t>
            </w:r>
          </w:p>
        </w:tc>
        <w:tc>
          <w:tcPr>
            <w:tcW w:w="478" w:type="pct"/>
            <w:vAlign w:val="center"/>
          </w:tcPr>
          <w:p w14:paraId="2BFFEBB1" w14:textId="7922DF80"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1</w:t>
            </w:r>
            <w:r w:rsidR="0052179A">
              <w:rPr>
                <w:rFonts w:eastAsia="Times New Roman"/>
                <w:szCs w:val="24"/>
                <w:lang w:val="kk-KZ" w:eastAsia="ru-RU"/>
              </w:rPr>
              <w:t>,</w:t>
            </w:r>
            <w:r w:rsidRPr="00A438B8">
              <w:rPr>
                <w:rFonts w:eastAsia="Times New Roman"/>
                <w:szCs w:val="24"/>
                <w:lang w:eastAsia="ru-RU"/>
              </w:rPr>
              <w:t>40</w:t>
            </w:r>
          </w:p>
        </w:tc>
        <w:tc>
          <w:tcPr>
            <w:tcW w:w="477" w:type="pct"/>
            <w:vAlign w:val="center"/>
            <w:hideMark/>
          </w:tcPr>
          <w:p w14:paraId="1401B374" w14:textId="27768359"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2</w:t>
            </w:r>
            <w:r w:rsidR="0052179A">
              <w:rPr>
                <w:rFonts w:eastAsia="Times New Roman"/>
                <w:szCs w:val="24"/>
                <w:lang w:val="kk-KZ" w:eastAsia="ru-RU"/>
              </w:rPr>
              <w:t>,</w:t>
            </w:r>
            <w:r w:rsidRPr="00A438B8">
              <w:rPr>
                <w:rFonts w:eastAsia="Times New Roman"/>
                <w:szCs w:val="24"/>
                <w:lang w:eastAsia="ru-RU"/>
              </w:rPr>
              <w:t>83</w:t>
            </w:r>
          </w:p>
        </w:tc>
        <w:tc>
          <w:tcPr>
            <w:tcW w:w="478" w:type="pct"/>
            <w:vAlign w:val="center"/>
          </w:tcPr>
          <w:p w14:paraId="204E2DED" w14:textId="15F3A4DA"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1</w:t>
            </w:r>
            <w:r w:rsidR="0052179A">
              <w:rPr>
                <w:rFonts w:eastAsia="Times New Roman"/>
                <w:szCs w:val="24"/>
                <w:lang w:val="kk-KZ" w:eastAsia="ru-RU"/>
              </w:rPr>
              <w:t>,</w:t>
            </w:r>
            <w:r w:rsidRPr="00A438B8">
              <w:rPr>
                <w:rFonts w:eastAsia="Times New Roman"/>
                <w:szCs w:val="24"/>
                <w:lang w:eastAsia="ru-RU"/>
              </w:rPr>
              <w:t>40</w:t>
            </w:r>
          </w:p>
        </w:tc>
        <w:tc>
          <w:tcPr>
            <w:tcW w:w="476" w:type="pct"/>
            <w:vAlign w:val="center"/>
            <w:hideMark/>
          </w:tcPr>
          <w:p w14:paraId="7244AD31" w14:textId="2B6BBE17"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2</w:t>
            </w:r>
            <w:r w:rsidR="0052179A">
              <w:rPr>
                <w:rFonts w:eastAsia="Times New Roman"/>
                <w:szCs w:val="24"/>
                <w:lang w:val="kk-KZ" w:eastAsia="ru-RU"/>
              </w:rPr>
              <w:t>,</w:t>
            </w:r>
            <w:r w:rsidRPr="00A438B8">
              <w:rPr>
                <w:rFonts w:eastAsia="Times New Roman"/>
                <w:szCs w:val="24"/>
                <w:lang w:eastAsia="ru-RU"/>
              </w:rPr>
              <w:t>95</w:t>
            </w:r>
          </w:p>
        </w:tc>
        <w:tc>
          <w:tcPr>
            <w:tcW w:w="472" w:type="pct"/>
            <w:vAlign w:val="center"/>
          </w:tcPr>
          <w:p w14:paraId="4FB537AC" w14:textId="2A71B183"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1</w:t>
            </w:r>
            <w:r w:rsidR="0052179A">
              <w:rPr>
                <w:rFonts w:eastAsia="Times New Roman"/>
                <w:szCs w:val="24"/>
                <w:lang w:val="kk-KZ" w:eastAsia="ru-RU"/>
              </w:rPr>
              <w:t>,</w:t>
            </w:r>
            <w:r w:rsidRPr="00A438B8">
              <w:rPr>
                <w:rFonts w:eastAsia="Times New Roman"/>
                <w:szCs w:val="24"/>
                <w:lang w:eastAsia="ru-RU"/>
              </w:rPr>
              <w:t>42</w:t>
            </w:r>
          </w:p>
        </w:tc>
      </w:tr>
      <w:tr w:rsidR="0052179A" w:rsidRPr="000C1190" w14:paraId="20895719" w14:textId="77777777" w:rsidTr="0052179A">
        <w:tc>
          <w:tcPr>
            <w:tcW w:w="5000" w:type="pct"/>
            <w:gridSpan w:val="8"/>
          </w:tcPr>
          <w:p w14:paraId="085ADAD2" w14:textId="77777777" w:rsidR="0052179A" w:rsidRPr="00A438B8" w:rsidRDefault="0052179A" w:rsidP="002F33D0">
            <w:pPr>
              <w:ind w:firstLine="0"/>
              <w:jc w:val="center"/>
              <w:rPr>
                <w:rFonts w:eastAsia="Times New Roman"/>
                <w:szCs w:val="24"/>
                <w:lang w:eastAsia="ru-RU"/>
              </w:rPr>
            </w:pPr>
            <w:r w:rsidRPr="00A438B8">
              <w:rPr>
                <w:rFonts w:eastAsia="Times New Roman"/>
                <w:szCs w:val="24"/>
                <w:lang w:eastAsia="ru-RU"/>
              </w:rPr>
              <w:t>Hard-компетенции</w:t>
            </w:r>
          </w:p>
        </w:tc>
      </w:tr>
      <w:tr w:rsidR="000C1190" w:rsidRPr="000C1190" w14:paraId="27DF6712" w14:textId="77777777" w:rsidTr="003F0E8F">
        <w:tc>
          <w:tcPr>
            <w:tcW w:w="1136" w:type="pct"/>
          </w:tcPr>
          <w:p w14:paraId="4FDF2562" w14:textId="77777777" w:rsidR="000C1190" w:rsidRPr="00A438B8" w:rsidRDefault="000C1190" w:rsidP="002F33D0">
            <w:pPr>
              <w:ind w:firstLine="0"/>
              <w:jc w:val="both"/>
              <w:rPr>
                <w:rFonts w:eastAsia="Times New Roman"/>
                <w:szCs w:val="24"/>
                <w:lang w:eastAsia="ru-RU"/>
              </w:rPr>
            </w:pPr>
            <w:r w:rsidRPr="00A438B8">
              <w:rPr>
                <w:rFonts w:eastAsia="Times New Roman"/>
                <w:szCs w:val="24"/>
                <w:lang w:eastAsia="ru-RU"/>
              </w:rPr>
              <w:t>Знание технологических трендов</w:t>
            </w:r>
          </w:p>
        </w:tc>
        <w:tc>
          <w:tcPr>
            <w:tcW w:w="1006" w:type="pct"/>
            <w:hideMark/>
          </w:tcPr>
          <w:p w14:paraId="3EAA0F7F" w14:textId="77777777" w:rsidR="000C1190" w:rsidRPr="00A438B8" w:rsidRDefault="000C1190" w:rsidP="002F33D0">
            <w:pPr>
              <w:ind w:firstLine="0"/>
              <w:jc w:val="both"/>
              <w:rPr>
                <w:rFonts w:eastAsia="Times New Roman"/>
                <w:szCs w:val="24"/>
                <w:lang w:eastAsia="ru-RU"/>
              </w:rPr>
            </w:pPr>
            <w:r w:rsidRPr="00A438B8">
              <w:rPr>
                <w:rFonts w:eastAsia="Times New Roman"/>
                <w:szCs w:val="24"/>
                <w:lang w:eastAsia="ru-RU"/>
              </w:rPr>
              <w:t>skill_hard_techtrends</w:t>
            </w:r>
          </w:p>
        </w:tc>
        <w:tc>
          <w:tcPr>
            <w:tcW w:w="477" w:type="pct"/>
            <w:vAlign w:val="center"/>
            <w:hideMark/>
          </w:tcPr>
          <w:p w14:paraId="1D214E62" w14:textId="237E5B0B"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3</w:t>
            </w:r>
            <w:r w:rsidR="0052179A">
              <w:rPr>
                <w:rFonts w:eastAsia="Times New Roman"/>
                <w:szCs w:val="24"/>
                <w:lang w:val="kk-KZ" w:eastAsia="ru-RU"/>
              </w:rPr>
              <w:t>,</w:t>
            </w:r>
            <w:r w:rsidRPr="00A438B8">
              <w:rPr>
                <w:rFonts w:eastAsia="Times New Roman"/>
                <w:szCs w:val="24"/>
                <w:lang w:eastAsia="ru-RU"/>
              </w:rPr>
              <w:t>14</w:t>
            </w:r>
          </w:p>
        </w:tc>
        <w:tc>
          <w:tcPr>
            <w:tcW w:w="478" w:type="pct"/>
            <w:vAlign w:val="center"/>
          </w:tcPr>
          <w:p w14:paraId="21C8D7E0" w14:textId="106FF031"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1</w:t>
            </w:r>
            <w:r w:rsidR="0052179A">
              <w:rPr>
                <w:rFonts w:eastAsia="Times New Roman"/>
                <w:szCs w:val="24"/>
                <w:lang w:val="kk-KZ" w:eastAsia="ru-RU"/>
              </w:rPr>
              <w:t>,</w:t>
            </w:r>
            <w:r w:rsidRPr="00A438B8">
              <w:rPr>
                <w:rFonts w:eastAsia="Times New Roman"/>
                <w:szCs w:val="24"/>
                <w:lang w:eastAsia="ru-RU"/>
              </w:rPr>
              <w:t>50</w:t>
            </w:r>
          </w:p>
        </w:tc>
        <w:tc>
          <w:tcPr>
            <w:tcW w:w="477" w:type="pct"/>
            <w:vAlign w:val="center"/>
            <w:hideMark/>
          </w:tcPr>
          <w:p w14:paraId="310E70C9" w14:textId="7C04EC5F"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2</w:t>
            </w:r>
            <w:r w:rsidR="0052179A">
              <w:rPr>
                <w:rFonts w:eastAsia="Times New Roman"/>
                <w:szCs w:val="24"/>
                <w:lang w:val="kk-KZ" w:eastAsia="ru-RU"/>
              </w:rPr>
              <w:t>,</w:t>
            </w:r>
            <w:r w:rsidRPr="00A438B8">
              <w:rPr>
                <w:rFonts w:eastAsia="Times New Roman"/>
                <w:szCs w:val="24"/>
                <w:lang w:eastAsia="ru-RU"/>
              </w:rPr>
              <w:t>87</w:t>
            </w:r>
          </w:p>
        </w:tc>
        <w:tc>
          <w:tcPr>
            <w:tcW w:w="478" w:type="pct"/>
            <w:vAlign w:val="center"/>
          </w:tcPr>
          <w:p w14:paraId="1209A2A5" w14:textId="087CA60E"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1</w:t>
            </w:r>
            <w:r w:rsidR="0052179A">
              <w:rPr>
                <w:rFonts w:eastAsia="Times New Roman"/>
                <w:szCs w:val="24"/>
                <w:lang w:val="kk-KZ" w:eastAsia="ru-RU"/>
              </w:rPr>
              <w:t>,</w:t>
            </w:r>
            <w:r w:rsidRPr="00A438B8">
              <w:rPr>
                <w:rFonts w:eastAsia="Times New Roman"/>
                <w:szCs w:val="24"/>
                <w:lang w:eastAsia="ru-RU"/>
              </w:rPr>
              <w:t>48</w:t>
            </w:r>
          </w:p>
        </w:tc>
        <w:tc>
          <w:tcPr>
            <w:tcW w:w="476" w:type="pct"/>
            <w:vAlign w:val="center"/>
            <w:hideMark/>
          </w:tcPr>
          <w:p w14:paraId="16B13C55" w14:textId="0B4D2A35"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3</w:t>
            </w:r>
            <w:r w:rsidR="0052179A">
              <w:rPr>
                <w:rFonts w:eastAsia="Times New Roman"/>
                <w:szCs w:val="24"/>
                <w:lang w:val="kk-KZ" w:eastAsia="ru-RU"/>
              </w:rPr>
              <w:t>,</w:t>
            </w:r>
            <w:r w:rsidRPr="00A438B8">
              <w:rPr>
                <w:rFonts w:eastAsia="Times New Roman"/>
                <w:szCs w:val="24"/>
                <w:lang w:eastAsia="ru-RU"/>
              </w:rPr>
              <w:t>00</w:t>
            </w:r>
          </w:p>
        </w:tc>
        <w:tc>
          <w:tcPr>
            <w:tcW w:w="472" w:type="pct"/>
            <w:vAlign w:val="center"/>
          </w:tcPr>
          <w:p w14:paraId="286438AF" w14:textId="3A8AE7E3"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1</w:t>
            </w:r>
            <w:r w:rsidR="0052179A">
              <w:rPr>
                <w:rFonts w:eastAsia="Times New Roman"/>
                <w:szCs w:val="24"/>
                <w:lang w:val="kk-KZ" w:eastAsia="ru-RU"/>
              </w:rPr>
              <w:t>,</w:t>
            </w:r>
            <w:r w:rsidRPr="00A438B8">
              <w:rPr>
                <w:rFonts w:eastAsia="Times New Roman"/>
                <w:szCs w:val="24"/>
                <w:lang w:eastAsia="ru-RU"/>
              </w:rPr>
              <w:t>37</w:t>
            </w:r>
          </w:p>
        </w:tc>
      </w:tr>
      <w:tr w:rsidR="000C1190" w:rsidRPr="000C1190" w14:paraId="75442399" w14:textId="77777777" w:rsidTr="003F0E8F">
        <w:tc>
          <w:tcPr>
            <w:tcW w:w="1136" w:type="pct"/>
          </w:tcPr>
          <w:p w14:paraId="4081DAAE" w14:textId="77777777" w:rsidR="000C1190" w:rsidRPr="00A438B8" w:rsidRDefault="000C1190" w:rsidP="002F33D0">
            <w:pPr>
              <w:ind w:firstLine="0"/>
              <w:jc w:val="both"/>
              <w:rPr>
                <w:rFonts w:eastAsia="Times New Roman"/>
                <w:szCs w:val="24"/>
                <w:lang w:eastAsia="ru-RU"/>
              </w:rPr>
            </w:pPr>
            <w:r w:rsidRPr="00A438B8">
              <w:rPr>
                <w:rFonts w:eastAsia="Times New Roman"/>
                <w:szCs w:val="24"/>
                <w:lang w:eastAsia="ru-RU"/>
              </w:rPr>
              <w:t>Навыки работы с искусственным интеллектом и машинным обучением</w:t>
            </w:r>
          </w:p>
        </w:tc>
        <w:tc>
          <w:tcPr>
            <w:tcW w:w="1006" w:type="pct"/>
            <w:hideMark/>
          </w:tcPr>
          <w:p w14:paraId="50AF2771" w14:textId="77777777" w:rsidR="000C1190" w:rsidRPr="00A438B8" w:rsidRDefault="000C1190" w:rsidP="002F33D0">
            <w:pPr>
              <w:ind w:firstLine="0"/>
              <w:jc w:val="both"/>
              <w:rPr>
                <w:rFonts w:eastAsia="Times New Roman"/>
                <w:szCs w:val="24"/>
                <w:lang w:eastAsia="ru-RU"/>
              </w:rPr>
            </w:pPr>
            <w:r w:rsidRPr="00A438B8">
              <w:rPr>
                <w:rFonts w:eastAsia="Times New Roman"/>
                <w:szCs w:val="24"/>
                <w:lang w:eastAsia="ru-RU"/>
              </w:rPr>
              <w:t>skill_hard_aiml</w:t>
            </w:r>
          </w:p>
        </w:tc>
        <w:tc>
          <w:tcPr>
            <w:tcW w:w="477" w:type="pct"/>
            <w:vAlign w:val="center"/>
            <w:hideMark/>
          </w:tcPr>
          <w:p w14:paraId="6A88F8E8" w14:textId="1DCB6136"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2</w:t>
            </w:r>
            <w:r w:rsidR="0052179A">
              <w:rPr>
                <w:rFonts w:eastAsia="Times New Roman"/>
                <w:szCs w:val="24"/>
                <w:lang w:val="kk-KZ" w:eastAsia="ru-RU"/>
              </w:rPr>
              <w:t>,</w:t>
            </w:r>
            <w:r w:rsidRPr="00A438B8">
              <w:rPr>
                <w:rFonts w:eastAsia="Times New Roman"/>
                <w:szCs w:val="24"/>
                <w:lang w:eastAsia="ru-RU"/>
              </w:rPr>
              <w:t>90</w:t>
            </w:r>
          </w:p>
        </w:tc>
        <w:tc>
          <w:tcPr>
            <w:tcW w:w="478" w:type="pct"/>
            <w:vAlign w:val="center"/>
          </w:tcPr>
          <w:p w14:paraId="23C1DAD6" w14:textId="70935A4F"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1</w:t>
            </w:r>
            <w:r w:rsidR="0052179A">
              <w:rPr>
                <w:rFonts w:eastAsia="Times New Roman"/>
                <w:szCs w:val="24"/>
                <w:lang w:val="kk-KZ" w:eastAsia="ru-RU"/>
              </w:rPr>
              <w:t>,</w:t>
            </w:r>
            <w:r w:rsidRPr="00A438B8">
              <w:rPr>
                <w:rFonts w:eastAsia="Times New Roman"/>
                <w:szCs w:val="24"/>
                <w:lang w:eastAsia="ru-RU"/>
              </w:rPr>
              <w:t>50</w:t>
            </w:r>
          </w:p>
        </w:tc>
        <w:tc>
          <w:tcPr>
            <w:tcW w:w="477" w:type="pct"/>
            <w:vAlign w:val="center"/>
            <w:hideMark/>
          </w:tcPr>
          <w:p w14:paraId="5EF51590" w14:textId="11429CEB"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2</w:t>
            </w:r>
            <w:r w:rsidR="0052179A">
              <w:rPr>
                <w:rFonts w:eastAsia="Times New Roman"/>
                <w:szCs w:val="24"/>
                <w:lang w:val="kk-KZ" w:eastAsia="ru-RU"/>
              </w:rPr>
              <w:t>,</w:t>
            </w:r>
            <w:r w:rsidRPr="00A438B8">
              <w:rPr>
                <w:rFonts w:eastAsia="Times New Roman"/>
                <w:szCs w:val="24"/>
                <w:lang w:eastAsia="ru-RU"/>
              </w:rPr>
              <w:t>83</w:t>
            </w:r>
          </w:p>
        </w:tc>
        <w:tc>
          <w:tcPr>
            <w:tcW w:w="478" w:type="pct"/>
            <w:vAlign w:val="center"/>
          </w:tcPr>
          <w:p w14:paraId="7B491CA3" w14:textId="05E12334"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1</w:t>
            </w:r>
            <w:r w:rsidR="0052179A">
              <w:rPr>
                <w:rFonts w:eastAsia="Times New Roman"/>
                <w:szCs w:val="24"/>
                <w:lang w:val="kk-KZ" w:eastAsia="ru-RU"/>
              </w:rPr>
              <w:t>,</w:t>
            </w:r>
            <w:r w:rsidRPr="00A438B8">
              <w:rPr>
                <w:rFonts w:eastAsia="Times New Roman"/>
                <w:szCs w:val="24"/>
                <w:lang w:eastAsia="ru-RU"/>
              </w:rPr>
              <w:t>44</w:t>
            </w:r>
          </w:p>
        </w:tc>
        <w:tc>
          <w:tcPr>
            <w:tcW w:w="476" w:type="pct"/>
            <w:vAlign w:val="center"/>
            <w:hideMark/>
          </w:tcPr>
          <w:p w14:paraId="3EDC8590" w14:textId="6827B456"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2</w:t>
            </w:r>
            <w:r w:rsidR="0052179A">
              <w:rPr>
                <w:rFonts w:eastAsia="Times New Roman"/>
                <w:szCs w:val="24"/>
                <w:lang w:val="kk-KZ" w:eastAsia="ru-RU"/>
              </w:rPr>
              <w:t>,</w:t>
            </w:r>
            <w:r w:rsidRPr="00A438B8">
              <w:rPr>
                <w:rFonts w:eastAsia="Times New Roman"/>
                <w:szCs w:val="24"/>
                <w:lang w:eastAsia="ru-RU"/>
              </w:rPr>
              <w:t>94</w:t>
            </w:r>
          </w:p>
        </w:tc>
        <w:tc>
          <w:tcPr>
            <w:tcW w:w="472" w:type="pct"/>
            <w:vAlign w:val="center"/>
          </w:tcPr>
          <w:p w14:paraId="2CFCB1F7" w14:textId="2BBBD2E3" w:rsidR="000C1190" w:rsidRPr="00A438B8" w:rsidRDefault="000C1190" w:rsidP="002F33D0">
            <w:pPr>
              <w:ind w:firstLine="0"/>
              <w:jc w:val="center"/>
              <w:rPr>
                <w:rFonts w:eastAsia="Times New Roman"/>
                <w:szCs w:val="24"/>
                <w:lang w:eastAsia="ru-RU"/>
              </w:rPr>
            </w:pPr>
            <w:r w:rsidRPr="00A438B8">
              <w:rPr>
                <w:rFonts w:eastAsia="Times New Roman"/>
                <w:szCs w:val="24"/>
                <w:lang w:eastAsia="ru-RU"/>
              </w:rPr>
              <w:t>1</w:t>
            </w:r>
            <w:r w:rsidR="0052179A">
              <w:rPr>
                <w:rFonts w:eastAsia="Times New Roman"/>
                <w:szCs w:val="24"/>
                <w:lang w:val="kk-KZ" w:eastAsia="ru-RU"/>
              </w:rPr>
              <w:t>,</w:t>
            </w:r>
            <w:r w:rsidRPr="00A438B8">
              <w:rPr>
                <w:rFonts w:eastAsia="Times New Roman"/>
                <w:szCs w:val="24"/>
                <w:lang w:eastAsia="ru-RU"/>
              </w:rPr>
              <w:t>42</w:t>
            </w:r>
          </w:p>
        </w:tc>
      </w:tr>
    </w:tbl>
    <w:p w14:paraId="2F4031F8" w14:textId="77777777" w:rsidR="003F0E8F" w:rsidRPr="005B1FAD" w:rsidRDefault="003F0E8F" w:rsidP="003F0E8F">
      <w:pPr>
        <w:rPr>
          <w:rFonts w:ascii="Times New Roman" w:hAnsi="Times New Roman" w:cs="Times New Roman"/>
          <w:sz w:val="28"/>
          <w:szCs w:val="28"/>
          <w:lang w:val="kk-KZ"/>
        </w:rPr>
      </w:pPr>
      <w:r w:rsidRPr="005B1FAD">
        <w:rPr>
          <w:rFonts w:ascii="Times New Roman" w:hAnsi="Times New Roman" w:cs="Times New Roman"/>
          <w:sz w:val="28"/>
          <w:szCs w:val="28"/>
          <w:lang w:val="kk-KZ"/>
        </w:rPr>
        <w:lastRenderedPageBreak/>
        <w:t>Продолжение таблицы 11</w:t>
      </w:r>
    </w:p>
    <w:tbl>
      <w:tblPr>
        <w:tblStyle w:val="a5"/>
        <w:tblW w:w="5000" w:type="pct"/>
        <w:tblLayout w:type="fixed"/>
        <w:tblLook w:val="04A0" w:firstRow="1" w:lastRow="0" w:firstColumn="1" w:lastColumn="0" w:noHBand="0" w:noVBand="1"/>
      </w:tblPr>
      <w:tblGrid>
        <w:gridCol w:w="2108"/>
        <w:gridCol w:w="15"/>
        <w:gridCol w:w="1880"/>
        <w:gridCol w:w="892"/>
        <w:gridCol w:w="893"/>
        <w:gridCol w:w="892"/>
        <w:gridCol w:w="893"/>
        <w:gridCol w:w="890"/>
        <w:gridCol w:w="882"/>
      </w:tblGrid>
      <w:tr w:rsidR="003F0E8F" w:rsidRPr="005B1FAD" w14:paraId="335CC313" w14:textId="77777777" w:rsidTr="003F0E8F">
        <w:tc>
          <w:tcPr>
            <w:tcW w:w="1136" w:type="pct"/>
            <w:gridSpan w:val="2"/>
          </w:tcPr>
          <w:p w14:paraId="784C5D62" w14:textId="77777777" w:rsidR="003F0E8F" w:rsidRPr="005B1FAD" w:rsidRDefault="003F0E8F" w:rsidP="00FD618C">
            <w:pPr>
              <w:ind w:firstLine="0"/>
              <w:jc w:val="center"/>
              <w:rPr>
                <w:rFonts w:eastAsia="Times New Roman"/>
                <w:bCs/>
                <w:szCs w:val="24"/>
                <w:lang w:val="kk-KZ" w:eastAsia="ru-RU"/>
              </w:rPr>
            </w:pPr>
            <w:r>
              <w:rPr>
                <w:rFonts w:eastAsia="Times New Roman"/>
                <w:bCs/>
                <w:szCs w:val="24"/>
                <w:lang w:val="kk-KZ" w:eastAsia="ru-RU"/>
              </w:rPr>
              <w:t>1</w:t>
            </w:r>
          </w:p>
        </w:tc>
        <w:tc>
          <w:tcPr>
            <w:tcW w:w="1006" w:type="pct"/>
          </w:tcPr>
          <w:p w14:paraId="24A7756F" w14:textId="77777777" w:rsidR="003F0E8F" w:rsidRPr="005B1FAD" w:rsidRDefault="003F0E8F" w:rsidP="00FD618C">
            <w:pPr>
              <w:ind w:firstLine="0"/>
              <w:jc w:val="center"/>
              <w:rPr>
                <w:rFonts w:eastAsia="Times New Roman"/>
                <w:bCs/>
                <w:szCs w:val="24"/>
                <w:lang w:val="kk-KZ" w:eastAsia="ru-RU"/>
              </w:rPr>
            </w:pPr>
            <w:r>
              <w:rPr>
                <w:rFonts w:eastAsia="Times New Roman"/>
                <w:bCs/>
                <w:szCs w:val="24"/>
                <w:lang w:val="kk-KZ" w:eastAsia="ru-RU"/>
              </w:rPr>
              <w:t>2</w:t>
            </w:r>
          </w:p>
        </w:tc>
        <w:tc>
          <w:tcPr>
            <w:tcW w:w="477" w:type="pct"/>
          </w:tcPr>
          <w:p w14:paraId="4750EE7A" w14:textId="77777777" w:rsidR="003F0E8F" w:rsidRPr="005B1FAD" w:rsidRDefault="003F0E8F" w:rsidP="00FD618C">
            <w:pPr>
              <w:ind w:firstLine="0"/>
              <w:jc w:val="center"/>
              <w:rPr>
                <w:rFonts w:eastAsia="Times New Roman"/>
                <w:bCs/>
                <w:szCs w:val="24"/>
                <w:lang w:val="kk-KZ" w:eastAsia="ru-RU"/>
              </w:rPr>
            </w:pPr>
            <w:r>
              <w:rPr>
                <w:rFonts w:eastAsia="Times New Roman"/>
                <w:bCs/>
                <w:szCs w:val="24"/>
                <w:lang w:val="kk-KZ" w:eastAsia="ru-RU"/>
              </w:rPr>
              <w:t>3</w:t>
            </w:r>
          </w:p>
        </w:tc>
        <w:tc>
          <w:tcPr>
            <w:tcW w:w="478" w:type="pct"/>
          </w:tcPr>
          <w:p w14:paraId="06D99F48" w14:textId="77777777" w:rsidR="003F0E8F" w:rsidRPr="005B1FAD" w:rsidRDefault="003F0E8F" w:rsidP="00FD618C">
            <w:pPr>
              <w:ind w:firstLine="0"/>
              <w:jc w:val="center"/>
              <w:rPr>
                <w:rFonts w:eastAsia="Times New Roman"/>
                <w:bCs/>
                <w:szCs w:val="24"/>
                <w:lang w:val="kk-KZ" w:eastAsia="ru-RU"/>
              </w:rPr>
            </w:pPr>
            <w:r>
              <w:rPr>
                <w:rFonts w:eastAsia="Times New Roman"/>
                <w:bCs/>
                <w:szCs w:val="24"/>
                <w:lang w:val="kk-KZ" w:eastAsia="ru-RU"/>
              </w:rPr>
              <w:t>4</w:t>
            </w:r>
          </w:p>
        </w:tc>
        <w:tc>
          <w:tcPr>
            <w:tcW w:w="477" w:type="pct"/>
          </w:tcPr>
          <w:p w14:paraId="65C04247" w14:textId="77777777" w:rsidR="003F0E8F" w:rsidRPr="005B1FAD" w:rsidRDefault="003F0E8F" w:rsidP="00FD618C">
            <w:pPr>
              <w:ind w:firstLine="0"/>
              <w:jc w:val="center"/>
              <w:rPr>
                <w:rFonts w:eastAsia="Times New Roman"/>
                <w:bCs/>
                <w:szCs w:val="24"/>
                <w:lang w:val="kk-KZ" w:eastAsia="ru-RU"/>
              </w:rPr>
            </w:pPr>
            <w:r>
              <w:rPr>
                <w:rFonts w:eastAsia="Times New Roman"/>
                <w:bCs/>
                <w:szCs w:val="24"/>
                <w:lang w:val="kk-KZ" w:eastAsia="ru-RU"/>
              </w:rPr>
              <w:t>5</w:t>
            </w:r>
          </w:p>
        </w:tc>
        <w:tc>
          <w:tcPr>
            <w:tcW w:w="478" w:type="pct"/>
          </w:tcPr>
          <w:p w14:paraId="1BBB95AE" w14:textId="77777777" w:rsidR="003F0E8F" w:rsidRPr="005B1FAD" w:rsidRDefault="003F0E8F" w:rsidP="00FD618C">
            <w:pPr>
              <w:ind w:firstLine="0"/>
              <w:jc w:val="center"/>
              <w:rPr>
                <w:rFonts w:eastAsia="Times New Roman"/>
                <w:bCs/>
                <w:szCs w:val="24"/>
                <w:lang w:val="kk-KZ" w:eastAsia="ru-RU"/>
              </w:rPr>
            </w:pPr>
            <w:r>
              <w:rPr>
                <w:rFonts w:eastAsia="Times New Roman"/>
                <w:bCs/>
                <w:szCs w:val="24"/>
                <w:lang w:val="kk-KZ" w:eastAsia="ru-RU"/>
              </w:rPr>
              <w:t>6</w:t>
            </w:r>
          </w:p>
        </w:tc>
        <w:tc>
          <w:tcPr>
            <w:tcW w:w="476" w:type="pct"/>
          </w:tcPr>
          <w:p w14:paraId="0669FFAB" w14:textId="77777777" w:rsidR="003F0E8F" w:rsidRPr="005B1FAD" w:rsidRDefault="003F0E8F" w:rsidP="00FD618C">
            <w:pPr>
              <w:ind w:firstLine="0"/>
              <w:jc w:val="center"/>
              <w:rPr>
                <w:rFonts w:eastAsia="Times New Roman"/>
                <w:bCs/>
                <w:szCs w:val="24"/>
                <w:lang w:val="kk-KZ" w:eastAsia="ru-RU"/>
              </w:rPr>
            </w:pPr>
            <w:r>
              <w:rPr>
                <w:rFonts w:eastAsia="Times New Roman"/>
                <w:bCs/>
                <w:szCs w:val="24"/>
                <w:lang w:val="kk-KZ" w:eastAsia="ru-RU"/>
              </w:rPr>
              <w:t>7</w:t>
            </w:r>
          </w:p>
        </w:tc>
        <w:tc>
          <w:tcPr>
            <w:tcW w:w="472" w:type="pct"/>
          </w:tcPr>
          <w:p w14:paraId="2B81F33A" w14:textId="77777777" w:rsidR="003F0E8F" w:rsidRPr="005B1FAD" w:rsidRDefault="003F0E8F" w:rsidP="00FD618C">
            <w:pPr>
              <w:ind w:firstLine="0"/>
              <w:jc w:val="center"/>
              <w:rPr>
                <w:rFonts w:eastAsia="Times New Roman"/>
                <w:bCs/>
                <w:szCs w:val="24"/>
                <w:lang w:val="kk-KZ" w:eastAsia="ru-RU"/>
              </w:rPr>
            </w:pPr>
            <w:r>
              <w:rPr>
                <w:rFonts w:eastAsia="Times New Roman"/>
                <w:bCs/>
                <w:szCs w:val="24"/>
                <w:lang w:val="kk-KZ" w:eastAsia="ru-RU"/>
              </w:rPr>
              <w:t>8</w:t>
            </w:r>
          </w:p>
        </w:tc>
      </w:tr>
      <w:tr w:rsidR="000C1190" w:rsidRPr="000C1190" w14:paraId="71AA32AC" w14:textId="77777777" w:rsidTr="003F0E8F">
        <w:tc>
          <w:tcPr>
            <w:tcW w:w="1136" w:type="pct"/>
            <w:gridSpan w:val="2"/>
          </w:tcPr>
          <w:p w14:paraId="5216A0BD" w14:textId="77777777" w:rsidR="000C1190" w:rsidRPr="00A438B8" w:rsidRDefault="000C1190" w:rsidP="002F33D0">
            <w:pPr>
              <w:ind w:firstLine="0"/>
              <w:jc w:val="both"/>
              <w:rPr>
                <w:rFonts w:eastAsia="Times New Roman"/>
                <w:szCs w:val="24"/>
                <w:lang w:eastAsia="ru-RU"/>
              </w:rPr>
            </w:pPr>
            <w:r w:rsidRPr="00A438B8">
              <w:rPr>
                <w:rFonts w:eastAsia="Times New Roman"/>
                <w:szCs w:val="24"/>
                <w:lang w:eastAsia="ru-RU"/>
              </w:rPr>
              <w:t>Знания в области биотехнологий</w:t>
            </w:r>
          </w:p>
        </w:tc>
        <w:tc>
          <w:tcPr>
            <w:tcW w:w="1006" w:type="pct"/>
          </w:tcPr>
          <w:p w14:paraId="49214BC0" w14:textId="77777777" w:rsidR="000C1190" w:rsidRPr="00A438B8" w:rsidRDefault="000C1190" w:rsidP="002F33D0">
            <w:pPr>
              <w:ind w:firstLine="0"/>
              <w:jc w:val="both"/>
              <w:rPr>
                <w:rFonts w:eastAsia="Times New Roman"/>
                <w:szCs w:val="24"/>
                <w:lang w:eastAsia="ru-RU"/>
              </w:rPr>
            </w:pPr>
            <w:r w:rsidRPr="00A438B8">
              <w:rPr>
                <w:rFonts w:eastAsia="Times New Roman"/>
                <w:szCs w:val="24"/>
                <w:lang w:eastAsia="ru-RU"/>
              </w:rPr>
              <w:t>skill_hard_biotech</w:t>
            </w:r>
          </w:p>
        </w:tc>
        <w:tc>
          <w:tcPr>
            <w:tcW w:w="477" w:type="pct"/>
            <w:vAlign w:val="center"/>
          </w:tcPr>
          <w:p w14:paraId="1D63DD78"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3,35</w:t>
            </w:r>
          </w:p>
        </w:tc>
        <w:tc>
          <w:tcPr>
            <w:tcW w:w="478" w:type="pct"/>
            <w:vAlign w:val="center"/>
          </w:tcPr>
          <w:p w14:paraId="1B33FA78"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1,28</w:t>
            </w:r>
          </w:p>
        </w:tc>
        <w:tc>
          <w:tcPr>
            <w:tcW w:w="477" w:type="pct"/>
            <w:vAlign w:val="center"/>
          </w:tcPr>
          <w:p w14:paraId="341C9813"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2,94</w:t>
            </w:r>
          </w:p>
        </w:tc>
        <w:tc>
          <w:tcPr>
            <w:tcW w:w="478" w:type="pct"/>
            <w:vAlign w:val="center"/>
          </w:tcPr>
          <w:p w14:paraId="4802D982"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1,44</w:t>
            </w:r>
          </w:p>
        </w:tc>
        <w:tc>
          <w:tcPr>
            <w:tcW w:w="476" w:type="pct"/>
            <w:vAlign w:val="center"/>
          </w:tcPr>
          <w:p w14:paraId="305F2A71"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2,88</w:t>
            </w:r>
          </w:p>
        </w:tc>
        <w:tc>
          <w:tcPr>
            <w:tcW w:w="472" w:type="pct"/>
            <w:vAlign w:val="center"/>
          </w:tcPr>
          <w:p w14:paraId="4DEBFF33"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1,44</w:t>
            </w:r>
          </w:p>
        </w:tc>
      </w:tr>
      <w:tr w:rsidR="000C1190" w:rsidRPr="000C1190" w14:paraId="30CEA8C4" w14:textId="77777777" w:rsidTr="003F0E8F">
        <w:tc>
          <w:tcPr>
            <w:tcW w:w="1136" w:type="pct"/>
            <w:gridSpan w:val="2"/>
          </w:tcPr>
          <w:p w14:paraId="2966E6F3" w14:textId="77777777" w:rsidR="000C1190" w:rsidRPr="00A438B8" w:rsidRDefault="000C1190" w:rsidP="002F33D0">
            <w:pPr>
              <w:ind w:firstLine="0"/>
              <w:jc w:val="both"/>
              <w:rPr>
                <w:rFonts w:eastAsia="Times New Roman"/>
                <w:szCs w:val="24"/>
                <w:lang w:eastAsia="ru-RU"/>
              </w:rPr>
            </w:pPr>
            <w:r w:rsidRPr="00A438B8">
              <w:rPr>
                <w:rFonts w:eastAsia="Times New Roman"/>
                <w:szCs w:val="24"/>
                <w:lang w:eastAsia="ru-RU"/>
              </w:rPr>
              <w:t>Навыки программирования и робототехники</w:t>
            </w:r>
          </w:p>
        </w:tc>
        <w:tc>
          <w:tcPr>
            <w:tcW w:w="1006" w:type="pct"/>
          </w:tcPr>
          <w:p w14:paraId="6BB6B27F" w14:textId="77777777" w:rsidR="000C1190" w:rsidRPr="00A438B8" w:rsidRDefault="000C1190" w:rsidP="002F33D0">
            <w:pPr>
              <w:ind w:firstLine="0"/>
              <w:jc w:val="both"/>
              <w:rPr>
                <w:rFonts w:eastAsia="Times New Roman"/>
                <w:szCs w:val="24"/>
                <w:lang w:eastAsia="ru-RU"/>
              </w:rPr>
            </w:pPr>
            <w:r w:rsidRPr="00A438B8">
              <w:rPr>
                <w:rFonts w:eastAsia="Times New Roman"/>
                <w:szCs w:val="24"/>
                <w:lang w:eastAsia="ru-RU"/>
              </w:rPr>
              <w:t>skill_hard_robotics</w:t>
            </w:r>
          </w:p>
        </w:tc>
        <w:tc>
          <w:tcPr>
            <w:tcW w:w="477" w:type="pct"/>
            <w:vAlign w:val="center"/>
          </w:tcPr>
          <w:p w14:paraId="5AEA9125"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2,86</w:t>
            </w:r>
          </w:p>
        </w:tc>
        <w:tc>
          <w:tcPr>
            <w:tcW w:w="478" w:type="pct"/>
            <w:vAlign w:val="center"/>
          </w:tcPr>
          <w:p w14:paraId="73CF1E91"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1,47</w:t>
            </w:r>
          </w:p>
        </w:tc>
        <w:tc>
          <w:tcPr>
            <w:tcW w:w="477" w:type="pct"/>
            <w:vAlign w:val="center"/>
          </w:tcPr>
          <w:p w14:paraId="6BD4909E"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2,83</w:t>
            </w:r>
          </w:p>
        </w:tc>
        <w:tc>
          <w:tcPr>
            <w:tcW w:w="478" w:type="pct"/>
            <w:vAlign w:val="center"/>
          </w:tcPr>
          <w:p w14:paraId="54BCE59F"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1,54</w:t>
            </w:r>
          </w:p>
        </w:tc>
        <w:tc>
          <w:tcPr>
            <w:tcW w:w="476" w:type="pct"/>
            <w:vAlign w:val="center"/>
          </w:tcPr>
          <w:p w14:paraId="6DC1F813"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2,86</w:t>
            </w:r>
          </w:p>
        </w:tc>
        <w:tc>
          <w:tcPr>
            <w:tcW w:w="472" w:type="pct"/>
            <w:vAlign w:val="center"/>
          </w:tcPr>
          <w:p w14:paraId="4556DFA5"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1,43</w:t>
            </w:r>
          </w:p>
        </w:tc>
      </w:tr>
      <w:tr w:rsidR="000C1190" w:rsidRPr="000C1190" w14:paraId="04D5BCFD" w14:textId="77777777" w:rsidTr="003F0E8F">
        <w:tc>
          <w:tcPr>
            <w:tcW w:w="1136" w:type="pct"/>
            <w:gridSpan w:val="2"/>
          </w:tcPr>
          <w:p w14:paraId="032D294B" w14:textId="77777777" w:rsidR="000C1190" w:rsidRPr="00A438B8" w:rsidRDefault="000C1190" w:rsidP="002F33D0">
            <w:pPr>
              <w:ind w:firstLine="0"/>
              <w:jc w:val="both"/>
              <w:rPr>
                <w:szCs w:val="24"/>
              </w:rPr>
            </w:pPr>
            <w:r w:rsidRPr="00A438B8">
              <w:rPr>
                <w:szCs w:val="24"/>
              </w:rPr>
              <w:t>Навыки кибербезопасности</w:t>
            </w:r>
          </w:p>
        </w:tc>
        <w:tc>
          <w:tcPr>
            <w:tcW w:w="1006" w:type="pct"/>
          </w:tcPr>
          <w:p w14:paraId="7695DDA9" w14:textId="77777777" w:rsidR="000C1190" w:rsidRPr="00A438B8" w:rsidRDefault="000C1190" w:rsidP="002F33D0">
            <w:pPr>
              <w:ind w:firstLine="0"/>
              <w:jc w:val="both"/>
              <w:rPr>
                <w:rFonts w:eastAsia="Times New Roman"/>
                <w:szCs w:val="24"/>
                <w:lang w:eastAsia="ru-RU"/>
              </w:rPr>
            </w:pPr>
            <w:r w:rsidRPr="00A438B8">
              <w:rPr>
                <w:szCs w:val="24"/>
              </w:rPr>
              <w:t>skill_hard_cybersecurity</w:t>
            </w:r>
          </w:p>
        </w:tc>
        <w:tc>
          <w:tcPr>
            <w:tcW w:w="477" w:type="pct"/>
            <w:vAlign w:val="center"/>
          </w:tcPr>
          <w:p w14:paraId="6E659E2C"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3,16</w:t>
            </w:r>
          </w:p>
        </w:tc>
        <w:tc>
          <w:tcPr>
            <w:tcW w:w="478" w:type="pct"/>
            <w:vAlign w:val="center"/>
          </w:tcPr>
          <w:p w14:paraId="4B71DF9E"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1,45</w:t>
            </w:r>
          </w:p>
        </w:tc>
        <w:tc>
          <w:tcPr>
            <w:tcW w:w="477" w:type="pct"/>
            <w:vAlign w:val="center"/>
          </w:tcPr>
          <w:p w14:paraId="6A9C7DF2"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3,15</w:t>
            </w:r>
          </w:p>
        </w:tc>
        <w:tc>
          <w:tcPr>
            <w:tcW w:w="478" w:type="pct"/>
            <w:vAlign w:val="center"/>
          </w:tcPr>
          <w:p w14:paraId="1098AD0B"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1,36</w:t>
            </w:r>
          </w:p>
        </w:tc>
        <w:tc>
          <w:tcPr>
            <w:tcW w:w="476" w:type="pct"/>
            <w:vAlign w:val="center"/>
          </w:tcPr>
          <w:p w14:paraId="4C3349B3"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2,93</w:t>
            </w:r>
          </w:p>
        </w:tc>
        <w:tc>
          <w:tcPr>
            <w:tcW w:w="472" w:type="pct"/>
            <w:vAlign w:val="center"/>
          </w:tcPr>
          <w:p w14:paraId="669F3589"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1,41</w:t>
            </w:r>
          </w:p>
        </w:tc>
      </w:tr>
      <w:tr w:rsidR="000C1190" w:rsidRPr="000C1190" w14:paraId="5EE88231" w14:textId="77777777" w:rsidTr="003F0E8F">
        <w:tc>
          <w:tcPr>
            <w:tcW w:w="1136" w:type="pct"/>
            <w:gridSpan w:val="2"/>
          </w:tcPr>
          <w:p w14:paraId="16BFDED3" w14:textId="77777777" w:rsidR="000C1190" w:rsidRPr="00A438B8" w:rsidRDefault="000C1190" w:rsidP="002F33D0">
            <w:pPr>
              <w:ind w:firstLine="0"/>
              <w:jc w:val="both"/>
              <w:rPr>
                <w:szCs w:val="24"/>
              </w:rPr>
            </w:pPr>
            <w:r w:rsidRPr="00A438B8">
              <w:rPr>
                <w:szCs w:val="24"/>
              </w:rPr>
              <w:t>Навыки работы с большими данными</w:t>
            </w:r>
          </w:p>
        </w:tc>
        <w:tc>
          <w:tcPr>
            <w:tcW w:w="1006" w:type="pct"/>
          </w:tcPr>
          <w:p w14:paraId="59D3FEDF" w14:textId="77777777" w:rsidR="000C1190" w:rsidRPr="00A438B8" w:rsidRDefault="000C1190" w:rsidP="002F33D0">
            <w:pPr>
              <w:ind w:firstLine="0"/>
              <w:jc w:val="both"/>
              <w:rPr>
                <w:szCs w:val="24"/>
              </w:rPr>
            </w:pPr>
            <w:r w:rsidRPr="00A438B8">
              <w:rPr>
                <w:szCs w:val="24"/>
              </w:rPr>
              <w:t>skill_hard_bigdata</w:t>
            </w:r>
          </w:p>
        </w:tc>
        <w:tc>
          <w:tcPr>
            <w:tcW w:w="477" w:type="pct"/>
            <w:vAlign w:val="center"/>
          </w:tcPr>
          <w:p w14:paraId="34E59006"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3,08</w:t>
            </w:r>
          </w:p>
        </w:tc>
        <w:tc>
          <w:tcPr>
            <w:tcW w:w="478" w:type="pct"/>
            <w:vAlign w:val="center"/>
          </w:tcPr>
          <w:p w14:paraId="65D2F5F1"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1,38</w:t>
            </w:r>
          </w:p>
        </w:tc>
        <w:tc>
          <w:tcPr>
            <w:tcW w:w="477" w:type="pct"/>
            <w:vAlign w:val="center"/>
          </w:tcPr>
          <w:p w14:paraId="69320E7E"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3,05</w:t>
            </w:r>
          </w:p>
        </w:tc>
        <w:tc>
          <w:tcPr>
            <w:tcW w:w="478" w:type="pct"/>
            <w:vAlign w:val="center"/>
          </w:tcPr>
          <w:p w14:paraId="4062DFD9"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1,30</w:t>
            </w:r>
          </w:p>
        </w:tc>
        <w:tc>
          <w:tcPr>
            <w:tcW w:w="476" w:type="pct"/>
            <w:vAlign w:val="center"/>
          </w:tcPr>
          <w:p w14:paraId="2C326D23"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3,21</w:t>
            </w:r>
          </w:p>
        </w:tc>
        <w:tc>
          <w:tcPr>
            <w:tcW w:w="472" w:type="pct"/>
            <w:vAlign w:val="center"/>
          </w:tcPr>
          <w:p w14:paraId="2591A15F"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1,44</w:t>
            </w:r>
          </w:p>
        </w:tc>
      </w:tr>
      <w:tr w:rsidR="0052179A" w:rsidRPr="000C1190" w14:paraId="1BC0ADED" w14:textId="77777777" w:rsidTr="0052179A">
        <w:tc>
          <w:tcPr>
            <w:tcW w:w="5000" w:type="pct"/>
            <w:gridSpan w:val="9"/>
          </w:tcPr>
          <w:p w14:paraId="1C62F794" w14:textId="77777777" w:rsidR="0052179A" w:rsidRPr="00A438B8" w:rsidRDefault="0052179A" w:rsidP="002F33D0">
            <w:pPr>
              <w:ind w:firstLine="0"/>
              <w:jc w:val="center"/>
              <w:rPr>
                <w:rFonts w:eastAsia="Times New Roman"/>
                <w:szCs w:val="24"/>
                <w:lang w:val="kk-KZ" w:eastAsia="ru-RU"/>
              </w:rPr>
            </w:pPr>
            <w:r w:rsidRPr="00A438B8">
              <w:rPr>
                <w:rFonts w:eastAsia="Times New Roman"/>
                <w:szCs w:val="24"/>
                <w:lang w:val="kk-KZ" w:eastAsia="ru-RU"/>
              </w:rPr>
              <w:t>HR-практики и управленческие подходы</w:t>
            </w:r>
          </w:p>
        </w:tc>
      </w:tr>
      <w:tr w:rsidR="000C1190" w:rsidRPr="000C1190" w14:paraId="59B9EF25" w14:textId="77777777" w:rsidTr="003F0E8F">
        <w:tc>
          <w:tcPr>
            <w:tcW w:w="1136" w:type="pct"/>
            <w:gridSpan w:val="2"/>
          </w:tcPr>
          <w:p w14:paraId="49DD29AD" w14:textId="1EAE040D" w:rsidR="000C1190" w:rsidRPr="00A438B8" w:rsidRDefault="000C1190" w:rsidP="005B1FAD">
            <w:pPr>
              <w:ind w:firstLine="0"/>
              <w:jc w:val="both"/>
              <w:rPr>
                <w:szCs w:val="24"/>
              </w:rPr>
            </w:pPr>
            <w:r w:rsidRPr="00A438B8">
              <w:rPr>
                <w:szCs w:val="24"/>
              </w:rPr>
              <w:t xml:space="preserve">Интервью при найме на </w:t>
            </w:r>
            <w:r w:rsidR="003F0E8F" w:rsidRPr="00A438B8">
              <w:rPr>
                <w:szCs w:val="24"/>
              </w:rPr>
              <w:t>инновационные должности</w:t>
            </w:r>
          </w:p>
        </w:tc>
        <w:tc>
          <w:tcPr>
            <w:tcW w:w="1006" w:type="pct"/>
          </w:tcPr>
          <w:p w14:paraId="44949DC0" w14:textId="77777777" w:rsidR="000C1190" w:rsidRPr="00A438B8" w:rsidRDefault="000C1190" w:rsidP="002F33D0">
            <w:pPr>
              <w:ind w:firstLine="0"/>
              <w:jc w:val="both"/>
              <w:rPr>
                <w:szCs w:val="24"/>
              </w:rPr>
            </w:pPr>
            <w:r w:rsidRPr="00A438B8">
              <w:rPr>
                <w:szCs w:val="24"/>
              </w:rPr>
              <w:t>hr_selectioninterview</w:t>
            </w:r>
          </w:p>
        </w:tc>
        <w:tc>
          <w:tcPr>
            <w:tcW w:w="477" w:type="pct"/>
            <w:vAlign w:val="center"/>
          </w:tcPr>
          <w:p w14:paraId="1474A8AB"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0,49</w:t>
            </w:r>
          </w:p>
        </w:tc>
        <w:tc>
          <w:tcPr>
            <w:tcW w:w="478" w:type="pct"/>
            <w:vAlign w:val="center"/>
          </w:tcPr>
          <w:p w14:paraId="5A775A66"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0,51</w:t>
            </w:r>
          </w:p>
        </w:tc>
        <w:tc>
          <w:tcPr>
            <w:tcW w:w="477" w:type="pct"/>
            <w:vAlign w:val="center"/>
          </w:tcPr>
          <w:p w14:paraId="2FD3D053"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0,50</w:t>
            </w:r>
          </w:p>
        </w:tc>
        <w:tc>
          <w:tcPr>
            <w:tcW w:w="478" w:type="pct"/>
            <w:vAlign w:val="center"/>
          </w:tcPr>
          <w:p w14:paraId="6BEBCEC0"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0,50</w:t>
            </w:r>
          </w:p>
        </w:tc>
        <w:tc>
          <w:tcPr>
            <w:tcW w:w="476" w:type="pct"/>
            <w:vAlign w:val="center"/>
          </w:tcPr>
          <w:p w14:paraId="50678A58"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0,44</w:t>
            </w:r>
          </w:p>
        </w:tc>
        <w:tc>
          <w:tcPr>
            <w:tcW w:w="472" w:type="pct"/>
            <w:vAlign w:val="center"/>
          </w:tcPr>
          <w:p w14:paraId="2F332FB5"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0,50</w:t>
            </w:r>
          </w:p>
        </w:tc>
      </w:tr>
      <w:tr w:rsidR="000C1190" w:rsidRPr="000C1190" w14:paraId="3D8BD40F" w14:textId="77777777" w:rsidTr="003F0E8F">
        <w:tc>
          <w:tcPr>
            <w:tcW w:w="1128" w:type="pct"/>
          </w:tcPr>
          <w:p w14:paraId="4D1847B7" w14:textId="77777777" w:rsidR="000C1190" w:rsidRPr="00A438B8" w:rsidRDefault="000C1190" w:rsidP="002F33D0">
            <w:pPr>
              <w:ind w:firstLine="0"/>
              <w:jc w:val="both"/>
              <w:rPr>
                <w:szCs w:val="24"/>
              </w:rPr>
            </w:pPr>
            <w:r w:rsidRPr="00A438B8">
              <w:rPr>
                <w:szCs w:val="24"/>
              </w:rPr>
              <w:t>Наличие экспертов по искусственному интеллекту</w:t>
            </w:r>
          </w:p>
        </w:tc>
        <w:tc>
          <w:tcPr>
            <w:tcW w:w="1014" w:type="pct"/>
            <w:gridSpan w:val="2"/>
          </w:tcPr>
          <w:p w14:paraId="37841930" w14:textId="77777777" w:rsidR="000C1190" w:rsidRPr="00A438B8" w:rsidRDefault="000C1190" w:rsidP="002F33D0">
            <w:pPr>
              <w:ind w:firstLine="0"/>
              <w:jc w:val="both"/>
              <w:rPr>
                <w:szCs w:val="24"/>
              </w:rPr>
            </w:pPr>
            <w:r w:rsidRPr="00A438B8">
              <w:rPr>
                <w:szCs w:val="24"/>
              </w:rPr>
              <w:t>hr_expertsai</w:t>
            </w:r>
          </w:p>
        </w:tc>
        <w:tc>
          <w:tcPr>
            <w:tcW w:w="477" w:type="pct"/>
            <w:vAlign w:val="center"/>
          </w:tcPr>
          <w:p w14:paraId="61C71AE1"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0,57</w:t>
            </w:r>
          </w:p>
        </w:tc>
        <w:tc>
          <w:tcPr>
            <w:tcW w:w="478" w:type="pct"/>
            <w:vAlign w:val="center"/>
          </w:tcPr>
          <w:p w14:paraId="2E5F1EC7"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0,50</w:t>
            </w:r>
          </w:p>
        </w:tc>
        <w:tc>
          <w:tcPr>
            <w:tcW w:w="477" w:type="pct"/>
            <w:vAlign w:val="center"/>
          </w:tcPr>
          <w:p w14:paraId="122C877F"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0,56</w:t>
            </w:r>
          </w:p>
        </w:tc>
        <w:tc>
          <w:tcPr>
            <w:tcW w:w="478" w:type="pct"/>
            <w:vAlign w:val="center"/>
          </w:tcPr>
          <w:p w14:paraId="5156C663"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0,50</w:t>
            </w:r>
          </w:p>
        </w:tc>
        <w:tc>
          <w:tcPr>
            <w:tcW w:w="476" w:type="pct"/>
            <w:vAlign w:val="center"/>
          </w:tcPr>
          <w:p w14:paraId="0905A719"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0,53</w:t>
            </w:r>
          </w:p>
        </w:tc>
        <w:tc>
          <w:tcPr>
            <w:tcW w:w="472" w:type="pct"/>
            <w:vAlign w:val="center"/>
          </w:tcPr>
          <w:p w14:paraId="38E82979"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0,50</w:t>
            </w:r>
          </w:p>
        </w:tc>
      </w:tr>
      <w:tr w:rsidR="000C1190" w:rsidRPr="000C1190" w14:paraId="2D5626B5" w14:textId="77777777" w:rsidTr="003F0E8F">
        <w:tc>
          <w:tcPr>
            <w:tcW w:w="1128" w:type="pct"/>
          </w:tcPr>
          <w:p w14:paraId="385319C4" w14:textId="77777777" w:rsidR="000C1190" w:rsidRPr="00A438B8" w:rsidRDefault="000C1190" w:rsidP="002F33D0">
            <w:pPr>
              <w:ind w:firstLine="0"/>
              <w:jc w:val="both"/>
              <w:rPr>
                <w:szCs w:val="24"/>
              </w:rPr>
            </w:pPr>
            <w:r w:rsidRPr="00A438B8">
              <w:rPr>
                <w:szCs w:val="24"/>
              </w:rPr>
              <w:t>Наличие сотрудников с учёной степенью</w:t>
            </w:r>
          </w:p>
        </w:tc>
        <w:tc>
          <w:tcPr>
            <w:tcW w:w="1014" w:type="pct"/>
            <w:gridSpan w:val="2"/>
          </w:tcPr>
          <w:p w14:paraId="671057A2" w14:textId="77777777" w:rsidR="000C1190" w:rsidRPr="00A438B8" w:rsidRDefault="000C1190" w:rsidP="002F33D0">
            <w:pPr>
              <w:ind w:firstLine="0"/>
              <w:jc w:val="both"/>
              <w:rPr>
                <w:szCs w:val="24"/>
              </w:rPr>
            </w:pPr>
            <w:r w:rsidRPr="00A438B8">
              <w:rPr>
                <w:szCs w:val="24"/>
              </w:rPr>
              <w:t>hr_scientificdegree</w:t>
            </w:r>
          </w:p>
        </w:tc>
        <w:tc>
          <w:tcPr>
            <w:tcW w:w="477" w:type="pct"/>
            <w:vAlign w:val="center"/>
          </w:tcPr>
          <w:p w14:paraId="78FEBD1C"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0,59</w:t>
            </w:r>
          </w:p>
        </w:tc>
        <w:tc>
          <w:tcPr>
            <w:tcW w:w="478" w:type="pct"/>
            <w:vAlign w:val="center"/>
          </w:tcPr>
          <w:p w14:paraId="5FA9E484"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0,50</w:t>
            </w:r>
          </w:p>
        </w:tc>
        <w:tc>
          <w:tcPr>
            <w:tcW w:w="477" w:type="pct"/>
            <w:vAlign w:val="center"/>
          </w:tcPr>
          <w:p w14:paraId="13B073D9"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0,63</w:t>
            </w:r>
          </w:p>
        </w:tc>
        <w:tc>
          <w:tcPr>
            <w:tcW w:w="478" w:type="pct"/>
            <w:vAlign w:val="center"/>
          </w:tcPr>
          <w:p w14:paraId="735901C7"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0,50</w:t>
            </w:r>
          </w:p>
        </w:tc>
        <w:tc>
          <w:tcPr>
            <w:tcW w:w="476" w:type="pct"/>
            <w:vAlign w:val="center"/>
          </w:tcPr>
          <w:p w14:paraId="38A6271B"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0,60</w:t>
            </w:r>
          </w:p>
        </w:tc>
        <w:tc>
          <w:tcPr>
            <w:tcW w:w="472" w:type="pct"/>
            <w:vAlign w:val="center"/>
          </w:tcPr>
          <w:p w14:paraId="5936FB5E"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0,49</w:t>
            </w:r>
          </w:p>
        </w:tc>
      </w:tr>
      <w:tr w:rsidR="000C1190" w:rsidRPr="000C1190" w14:paraId="1478AE62" w14:textId="77777777" w:rsidTr="003F0E8F">
        <w:tc>
          <w:tcPr>
            <w:tcW w:w="1128" w:type="pct"/>
          </w:tcPr>
          <w:p w14:paraId="5D17B443" w14:textId="77777777" w:rsidR="000C1190" w:rsidRPr="00A438B8" w:rsidRDefault="000C1190" w:rsidP="002F33D0">
            <w:pPr>
              <w:ind w:firstLine="0"/>
              <w:jc w:val="both"/>
              <w:rPr>
                <w:szCs w:val="24"/>
              </w:rPr>
            </w:pPr>
            <w:r w:rsidRPr="00A438B8">
              <w:rPr>
                <w:szCs w:val="24"/>
              </w:rPr>
              <w:t>Патенты как результат кадровой активности</w:t>
            </w:r>
          </w:p>
        </w:tc>
        <w:tc>
          <w:tcPr>
            <w:tcW w:w="1014" w:type="pct"/>
            <w:gridSpan w:val="2"/>
          </w:tcPr>
          <w:p w14:paraId="716B4541" w14:textId="77777777" w:rsidR="000C1190" w:rsidRPr="00A438B8" w:rsidRDefault="000C1190" w:rsidP="002F33D0">
            <w:pPr>
              <w:ind w:firstLine="0"/>
              <w:jc w:val="both"/>
              <w:rPr>
                <w:szCs w:val="24"/>
              </w:rPr>
            </w:pPr>
            <w:r w:rsidRPr="00A438B8">
              <w:rPr>
                <w:szCs w:val="24"/>
              </w:rPr>
              <w:t>hr_patents</w:t>
            </w:r>
          </w:p>
        </w:tc>
        <w:tc>
          <w:tcPr>
            <w:tcW w:w="477" w:type="pct"/>
            <w:vAlign w:val="center"/>
          </w:tcPr>
          <w:p w14:paraId="3B4CC36D"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0,41</w:t>
            </w:r>
          </w:p>
        </w:tc>
        <w:tc>
          <w:tcPr>
            <w:tcW w:w="478" w:type="pct"/>
            <w:vAlign w:val="center"/>
          </w:tcPr>
          <w:p w14:paraId="0AF20D55"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0,50</w:t>
            </w:r>
          </w:p>
        </w:tc>
        <w:tc>
          <w:tcPr>
            <w:tcW w:w="477" w:type="pct"/>
            <w:vAlign w:val="center"/>
          </w:tcPr>
          <w:p w14:paraId="02F63C77"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0,47</w:t>
            </w:r>
          </w:p>
        </w:tc>
        <w:tc>
          <w:tcPr>
            <w:tcW w:w="478" w:type="pct"/>
            <w:vAlign w:val="center"/>
          </w:tcPr>
          <w:p w14:paraId="3B7A58C1"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0,50</w:t>
            </w:r>
          </w:p>
        </w:tc>
        <w:tc>
          <w:tcPr>
            <w:tcW w:w="476" w:type="pct"/>
            <w:vAlign w:val="center"/>
          </w:tcPr>
          <w:p w14:paraId="5FABAE71"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0,43</w:t>
            </w:r>
          </w:p>
        </w:tc>
        <w:tc>
          <w:tcPr>
            <w:tcW w:w="472" w:type="pct"/>
            <w:vAlign w:val="center"/>
          </w:tcPr>
          <w:p w14:paraId="58501D16"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0,50</w:t>
            </w:r>
          </w:p>
        </w:tc>
      </w:tr>
      <w:tr w:rsidR="000C1190" w:rsidRPr="000C1190" w14:paraId="0BFB7030" w14:textId="77777777" w:rsidTr="003F0E8F">
        <w:tc>
          <w:tcPr>
            <w:tcW w:w="1128" w:type="pct"/>
          </w:tcPr>
          <w:p w14:paraId="74C6B3D3" w14:textId="77777777" w:rsidR="000C1190" w:rsidRPr="00A438B8" w:rsidRDefault="000C1190" w:rsidP="002F33D0">
            <w:pPr>
              <w:ind w:firstLine="0"/>
              <w:jc w:val="both"/>
              <w:rPr>
                <w:szCs w:val="24"/>
              </w:rPr>
            </w:pPr>
            <w:r w:rsidRPr="00A438B8">
              <w:rPr>
                <w:szCs w:val="24"/>
              </w:rPr>
              <w:t>Партнёрства с университетами</w:t>
            </w:r>
          </w:p>
        </w:tc>
        <w:tc>
          <w:tcPr>
            <w:tcW w:w="1014" w:type="pct"/>
            <w:gridSpan w:val="2"/>
          </w:tcPr>
          <w:p w14:paraId="05ED97C6" w14:textId="77777777" w:rsidR="000C1190" w:rsidRPr="00A438B8" w:rsidRDefault="000C1190" w:rsidP="002F33D0">
            <w:pPr>
              <w:ind w:firstLine="0"/>
              <w:jc w:val="both"/>
              <w:rPr>
                <w:szCs w:val="24"/>
              </w:rPr>
            </w:pPr>
            <w:r w:rsidRPr="00A438B8">
              <w:rPr>
                <w:szCs w:val="24"/>
              </w:rPr>
              <w:t>hr_universitypartners</w:t>
            </w:r>
          </w:p>
        </w:tc>
        <w:tc>
          <w:tcPr>
            <w:tcW w:w="477" w:type="pct"/>
            <w:vAlign w:val="center"/>
          </w:tcPr>
          <w:p w14:paraId="06E42C9F"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0,43</w:t>
            </w:r>
          </w:p>
        </w:tc>
        <w:tc>
          <w:tcPr>
            <w:tcW w:w="478" w:type="pct"/>
            <w:vAlign w:val="center"/>
          </w:tcPr>
          <w:p w14:paraId="7A90913F"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0,50</w:t>
            </w:r>
          </w:p>
        </w:tc>
        <w:tc>
          <w:tcPr>
            <w:tcW w:w="477" w:type="pct"/>
            <w:vAlign w:val="center"/>
          </w:tcPr>
          <w:p w14:paraId="172114A7"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0,33</w:t>
            </w:r>
          </w:p>
        </w:tc>
        <w:tc>
          <w:tcPr>
            <w:tcW w:w="478" w:type="pct"/>
            <w:vAlign w:val="center"/>
          </w:tcPr>
          <w:p w14:paraId="6B21FA65"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0,47</w:t>
            </w:r>
          </w:p>
        </w:tc>
        <w:tc>
          <w:tcPr>
            <w:tcW w:w="476" w:type="pct"/>
            <w:vAlign w:val="center"/>
          </w:tcPr>
          <w:p w14:paraId="118FE995"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0,43</w:t>
            </w:r>
          </w:p>
        </w:tc>
        <w:tc>
          <w:tcPr>
            <w:tcW w:w="472" w:type="pct"/>
            <w:vAlign w:val="center"/>
          </w:tcPr>
          <w:p w14:paraId="5900BA64"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0,50</w:t>
            </w:r>
          </w:p>
        </w:tc>
      </w:tr>
      <w:tr w:rsidR="000C1190" w:rsidRPr="000C1190" w14:paraId="74704824" w14:textId="77777777" w:rsidTr="003F0E8F">
        <w:tc>
          <w:tcPr>
            <w:tcW w:w="1128" w:type="pct"/>
          </w:tcPr>
          <w:p w14:paraId="480B9D74" w14:textId="77777777" w:rsidR="000C1190" w:rsidRPr="00A438B8" w:rsidRDefault="000C1190" w:rsidP="002F33D0">
            <w:pPr>
              <w:ind w:firstLine="0"/>
              <w:jc w:val="both"/>
              <w:rPr>
                <w:szCs w:val="24"/>
              </w:rPr>
            </w:pPr>
            <w:r w:rsidRPr="00A438B8">
              <w:rPr>
                <w:szCs w:val="24"/>
              </w:rPr>
              <w:t>Система поощрения за инновации</w:t>
            </w:r>
          </w:p>
        </w:tc>
        <w:tc>
          <w:tcPr>
            <w:tcW w:w="1014" w:type="pct"/>
            <w:gridSpan w:val="2"/>
          </w:tcPr>
          <w:p w14:paraId="00A457F1" w14:textId="77777777" w:rsidR="000C1190" w:rsidRPr="00A438B8" w:rsidRDefault="000C1190" w:rsidP="002F33D0">
            <w:pPr>
              <w:ind w:firstLine="0"/>
              <w:jc w:val="both"/>
              <w:rPr>
                <w:szCs w:val="24"/>
              </w:rPr>
            </w:pPr>
            <w:r w:rsidRPr="00A438B8">
              <w:rPr>
                <w:szCs w:val="24"/>
              </w:rPr>
              <w:t>hr_incentivesystem</w:t>
            </w:r>
          </w:p>
        </w:tc>
        <w:tc>
          <w:tcPr>
            <w:tcW w:w="477" w:type="pct"/>
            <w:vAlign w:val="center"/>
          </w:tcPr>
          <w:p w14:paraId="3BCE6223"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0,47</w:t>
            </w:r>
          </w:p>
        </w:tc>
        <w:tc>
          <w:tcPr>
            <w:tcW w:w="478" w:type="pct"/>
            <w:vAlign w:val="center"/>
          </w:tcPr>
          <w:p w14:paraId="7797AB49"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0,50</w:t>
            </w:r>
          </w:p>
        </w:tc>
        <w:tc>
          <w:tcPr>
            <w:tcW w:w="477" w:type="pct"/>
            <w:vAlign w:val="center"/>
          </w:tcPr>
          <w:p w14:paraId="1092FB45"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0,40</w:t>
            </w:r>
          </w:p>
        </w:tc>
        <w:tc>
          <w:tcPr>
            <w:tcW w:w="478" w:type="pct"/>
            <w:vAlign w:val="center"/>
          </w:tcPr>
          <w:p w14:paraId="71BE4155"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0,50</w:t>
            </w:r>
          </w:p>
        </w:tc>
        <w:tc>
          <w:tcPr>
            <w:tcW w:w="476" w:type="pct"/>
            <w:vAlign w:val="center"/>
          </w:tcPr>
          <w:p w14:paraId="2ADD4DB8"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0,37</w:t>
            </w:r>
          </w:p>
        </w:tc>
        <w:tc>
          <w:tcPr>
            <w:tcW w:w="472" w:type="pct"/>
            <w:vAlign w:val="center"/>
          </w:tcPr>
          <w:p w14:paraId="06FB5ECB"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0,48</w:t>
            </w:r>
          </w:p>
        </w:tc>
      </w:tr>
      <w:tr w:rsidR="000C1190" w:rsidRPr="000C1190" w14:paraId="08C8CCFA" w14:textId="77777777" w:rsidTr="003F0E8F">
        <w:tc>
          <w:tcPr>
            <w:tcW w:w="1128" w:type="pct"/>
          </w:tcPr>
          <w:p w14:paraId="128C8857" w14:textId="77777777" w:rsidR="000C1190" w:rsidRPr="00A438B8" w:rsidRDefault="000C1190" w:rsidP="002F33D0">
            <w:pPr>
              <w:ind w:firstLine="0"/>
              <w:jc w:val="both"/>
              <w:rPr>
                <w:szCs w:val="24"/>
              </w:rPr>
            </w:pPr>
            <w:r w:rsidRPr="00A438B8">
              <w:rPr>
                <w:szCs w:val="24"/>
              </w:rPr>
              <w:t>Сбор инновационных идей от персонала</w:t>
            </w:r>
          </w:p>
        </w:tc>
        <w:tc>
          <w:tcPr>
            <w:tcW w:w="1014" w:type="pct"/>
            <w:gridSpan w:val="2"/>
          </w:tcPr>
          <w:p w14:paraId="34571D71" w14:textId="77777777" w:rsidR="000C1190" w:rsidRPr="00A438B8" w:rsidRDefault="000C1190" w:rsidP="002F33D0">
            <w:pPr>
              <w:ind w:firstLine="0"/>
              <w:jc w:val="both"/>
              <w:rPr>
                <w:szCs w:val="24"/>
              </w:rPr>
            </w:pPr>
            <w:r w:rsidRPr="00A438B8">
              <w:rPr>
                <w:szCs w:val="24"/>
              </w:rPr>
              <w:t>hr_ideacollection</w:t>
            </w:r>
          </w:p>
        </w:tc>
        <w:tc>
          <w:tcPr>
            <w:tcW w:w="477" w:type="pct"/>
            <w:vAlign w:val="center"/>
          </w:tcPr>
          <w:p w14:paraId="0D11357F"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0,61</w:t>
            </w:r>
          </w:p>
        </w:tc>
        <w:tc>
          <w:tcPr>
            <w:tcW w:w="478" w:type="pct"/>
            <w:vAlign w:val="center"/>
          </w:tcPr>
          <w:p w14:paraId="683DFA83"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0,49</w:t>
            </w:r>
          </w:p>
        </w:tc>
        <w:tc>
          <w:tcPr>
            <w:tcW w:w="477" w:type="pct"/>
            <w:vAlign w:val="center"/>
          </w:tcPr>
          <w:p w14:paraId="2CC06854"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0,60</w:t>
            </w:r>
          </w:p>
        </w:tc>
        <w:tc>
          <w:tcPr>
            <w:tcW w:w="478" w:type="pct"/>
            <w:vAlign w:val="center"/>
          </w:tcPr>
          <w:p w14:paraId="6C6F3834"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0,49</w:t>
            </w:r>
          </w:p>
        </w:tc>
        <w:tc>
          <w:tcPr>
            <w:tcW w:w="476" w:type="pct"/>
            <w:vAlign w:val="center"/>
          </w:tcPr>
          <w:p w14:paraId="01CC0CFE"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0,69</w:t>
            </w:r>
          </w:p>
        </w:tc>
        <w:tc>
          <w:tcPr>
            <w:tcW w:w="472" w:type="pct"/>
            <w:vAlign w:val="center"/>
          </w:tcPr>
          <w:p w14:paraId="0C1B278C"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0,46</w:t>
            </w:r>
          </w:p>
        </w:tc>
      </w:tr>
      <w:tr w:rsidR="000C1190" w:rsidRPr="000C1190" w14:paraId="00F3C0C1" w14:textId="77777777" w:rsidTr="003F0E8F">
        <w:tc>
          <w:tcPr>
            <w:tcW w:w="1128" w:type="pct"/>
          </w:tcPr>
          <w:p w14:paraId="1A6C5640" w14:textId="77777777" w:rsidR="000C1190" w:rsidRPr="00A438B8" w:rsidRDefault="000C1190" w:rsidP="002F33D0">
            <w:pPr>
              <w:ind w:firstLine="0"/>
              <w:jc w:val="both"/>
              <w:rPr>
                <w:szCs w:val="24"/>
              </w:rPr>
            </w:pPr>
            <w:r w:rsidRPr="00A438B8">
              <w:rPr>
                <w:szCs w:val="24"/>
              </w:rPr>
              <w:t>Анализ кадровых потребностей</w:t>
            </w:r>
          </w:p>
        </w:tc>
        <w:tc>
          <w:tcPr>
            <w:tcW w:w="1014" w:type="pct"/>
            <w:gridSpan w:val="2"/>
          </w:tcPr>
          <w:p w14:paraId="49358BC0" w14:textId="77777777" w:rsidR="000C1190" w:rsidRPr="00A438B8" w:rsidRDefault="000C1190" w:rsidP="002F33D0">
            <w:pPr>
              <w:ind w:firstLine="0"/>
              <w:jc w:val="both"/>
              <w:rPr>
                <w:szCs w:val="24"/>
              </w:rPr>
            </w:pPr>
            <w:r w:rsidRPr="00A438B8">
              <w:rPr>
                <w:szCs w:val="24"/>
              </w:rPr>
              <w:t>hr_skillsneedsanalysis</w:t>
            </w:r>
          </w:p>
        </w:tc>
        <w:tc>
          <w:tcPr>
            <w:tcW w:w="477" w:type="pct"/>
            <w:vAlign w:val="center"/>
          </w:tcPr>
          <w:p w14:paraId="263F2808"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0,39</w:t>
            </w:r>
          </w:p>
        </w:tc>
        <w:tc>
          <w:tcPr>
            <w:tcW w:w="478" w:type="pct"/>
            <w:vAlign w:val="center"/>
          </w:tcPr>
          <w:p w14:paraId="5FEF883B"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0,49</w:t>
            </w:r>
          </w:p>
        </w:tc>
        <w:tc>
          <w:tcPr>
            <w:tcW w:w="477" w:type="pct"/>
            <w:vAlign w:val="center"/>
          </w:tcPr>
          <w:p w14:paraId="034A2AA9"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0,49</w:t>
            </w:r>
          </w:p>
        </w:tc>
        <w:tc>
          <w:tcPr>
            <w:tcW w:w="478" w:type="pct"/>
            <w:vAlign w:val="center"/>
          </w:tcPr>
          <w:p w14:paraId="4F534619"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0,50</w:t>
            </w:r>
          </w:p>
        </w:tc>
        <w:tc>
          <w:tcPr>
            <w:tcW w:w="476" w:type="pct"/>
            <w:vAlign w:val="center"/>
          </w:tcPr>
          <w:p w14:paraId="48B50979"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0,43</w:t>
            </w:r>
          </w:p>
        </w:tc>
        <w:tc>
          <w:tcPr>
            <w:tcW w:w="472" w:type="pct"/>
            <w:vAlign w:val="center"/>
          </w:tcPr>
          <w:p w14:paraId="64393003" w14:textId="77777777" w:rsidR="000C1190" w:rsidRPr="00A438B8" w:rsidRDefault="000C1190" w:rsidP="002F33D0">
            <w:pPr>
              <w:ind w:firstLine="0"/>
              <w:jc w:val="center"/>
              <w:rPr>
                <w:rFonts w:eastAsia="Times New Roman"/>
                <w:szCs w:val="24"/>
                <w:lang w:val="kk-KZ" w:eastAsia="ru-RU"/>
              </w:rPr>
            </w:pPr>
            <w:r w:rsidRPr="00A438B8">
              <w:rPr>
                <w:rFonts w:eastAsia="Times New Roman"/>
                <w:szCs w:val="24"/>
                <w:lang w:val="kk-KZ" w:eastAsia="ru-RU"/>
              </w:rPr>
              <w:t>0,50</w:t>
            </w:r>
          </w:p>
        </w:tc>
      </w:tr>
      <w:tr w:rsidR="000C1190" w:rsidRPr="000C1190" w14:paraId="1B48B22B" w14:textId="77777777" w:rsidTr="000C1190">
        <w:tc>
          <w:tcPr>
            <w:tcW w:w="5000" w:type="pct"/>
            <w:gridSpan w:val="9"/>
          </w:tcPr>
          <w:p w14:paraId="2236618A" w14:textId="12FF38E8" w:rsidR="000C1190" w:rsidRPr="00EE311D" w:rsidRDefault="005B1FAD" w:rsidP="000F3C80">
            <w:pPr>
              <w:ind w:firstLine="459"/>
              <w:jc w:val="both"/>
              <w:rPr>
                <w:rFonts w:eastAsia="Times New Roman"/>
                <w:szCs w:val="24"/>
                <w:lang w:val="kk-KZ" w:eastAsia="ru-RU"/>
              </w:rPr>
            </w:pPr>
            <w:r w:rsidRPr="00EE311D">
              <w:rPr>
                <w:rFonts w:eastAsia="Times New Roman"/>
                <w:szCs w:val="24"/>
                <w:lang w:val="kk-KZ" w:eastAsia="ru-RU"/>
              </w:rPr>
              <w:t xml:space="preserve">Примечание – </w:t>
            </w:r>
            <w:r w:rsidR="000F3C80" w:rsidRPr="00EE311D">
              <w:rPr>
                <w:rFonts w:eastAsia="Times New Roman"/>
                <w:szCs w:val="24"/>
                <w:lang w:val="kk-KZ" w:eastAsia="ru-RU"/>
              </w:rPr>
              <w:t>С</w:t>
            </w:r>
            <w:r w:rsidR="000C1190" w:rsidRPr="00EE311D">
              <w:rPr>
                <w:rFonts w:eastAsia="Times New Roman"/>
                <w:szCs w:val="24"/>
                <w:lang w:val="kk-KZ" w:eastAsia="ru-RU"/>
              </w:rPr>
              <w:t xml:space="preserve">оставлено </w:t>
            </w:r>
            <w:r w:rsidR="0052179A" w:rsidRPr="00EE311D">
              <w:rPr>
                <w:rFonts w:eastAsia="Times New Roman"/>
                <w:szCs w:val="24"/>
                <w:lang w:val="kk-KZ" w:eastAsia="ru-RU"/>
              </w:rPr>
              <w:t>автором</w:t>
            </w:r>
          </w:p>
        </w:tc>
      </w:tr>
    </w:tbl>
    <w:p w14:paraId="4EE7E217" w14:textId="77777777" w:rsidR="000C1190" w:rsidRPr="000C1190" w:rsidRDefault="000C1190" w:rsidP="002F33D0">
      <w:pPr>
        <w:spacing w:after="0" w:line="240" w:lineRule="auto"/>
        <w:ind w:firstLine="567"/>
        <w:jc w:val="both"/>
        <w:rPr>
          <w:rFonts w:ascii="Times New Roman" w:hAnsi="Times New Roman" w:cs="Times New Roman"/>
          <w:sz w:val="28"/>
          <w:szCs w:val="28"/>
        </w:rPr>
      </w:pPr>
    </w:p>
    <w:p w14:paraId="211C77C0" w14:textId="39BC4CE4"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Hard-компетенции в целом демонстрируют более низкие значения. Исключение составляют знания технологических трендов </w:t>
      </w:r>
      <w:r w:rsidR="0052179A">
        <w:rPr>
          <w:rFonts w:ascii="Times New Roman" w:hAnsi="Times New Roman" w:cs="Times New Roman"/>
          <w:sz w:val="28"/>
          <w:szCs w:val="28"/>
        </w:rPr>
        <w:t>и биотехнологий</w:t>
      </w:r>
      <w:r w:rsidRPr="000C1190">
        <w:rPr>
          <w:rFonts w:ascii="Times New Roman" w:hAnsi="Times New Roman" w:cs="Times New Roman"/>
          <w:sz w:val="28"/>
          <w:szCs w:val="28"/>
        </w:rPr>
        <w:t>, средние оценки которых достигают 3</w:t>
      </w:r>
      <w:r w:rsidR="0052179A">
        <w:rPr>
          <w:rFonts w:ascii="Times New Roman" w:hAnsi="Times New Roman" w:cs="Times New Roman"/>
          <w:sz w:val="28"/>
          <w:szCs w:val="28"/>
          <w:lang w:val="kk-KZ"/>
        </w:rPr>
        <w:t>,</w:t>
      </w:r>
      <w:r w:rsidRPr="000C1190">
        <w:rPr>
          <w:rFonts w:ascii="Times New Roman" w:hAnsi="Times New Roman" w:cs="Times New Roman"/>
          <w:sz w:val="28"/>
          <w:szCs w:val="28"/>
        </w:rPr>
        <w:t>14</w:t>
      </w:r>
      <w:r w:rsidR="00486569">
        <w:rPr>
          <w:rFonts w:ascii="Times New Roman" w:hAnsi="Times New Roman" w:cs="Times New Roman"/>
          <w:sz w:val="28"/>
          <w:szCs w:val="28"/>
          <w:lang w:val="kk-KZ"/>
        </w:rPr>
        <w:t>-</w:t>
      </w:r>
      <w:r w:rsidRPr="000C1190">
        <w:rPr>
          <w:rFonts w:ascii="Times New Roman" w:hAnsi="Times New Roman" w:cs="Times New Roman"/>
          <w:sz w:val="28"/>
          <w:szCs w:val="28"/>
        </w:rPr>
        <w:t>3</w:t>
      </w:r>
      <w:r w:rsidR="0052179A">
        <w:rPr>
          <w:rFonts w:ascii="Times New Roman" w:hAnsi="Times New Roman" w:cs="Times New Roman"/>
          <w:sz w:val="28"/>
          <w:szCs w:val="28"/>
          <w:lang w:val="kk-KZ"/>
        </w:rPr>
        <w:t>,</w:t>
      </w:r>
      <w:r w:rsidRPr="000C1190">
        <w:rPr>
          <w:rFonts w:ascii="Times New Roman" w:hAnsi="Times New Roman" w:cs="Times New Roman"/>
          <w:sz w:val="28"/>
          <w:szCs w:val="28"/>
        </w:rPr>
        <w:t>35 на крупных предприятиях. Эти результаты отражают возрастающий интерес к современным технологическим направлениям и Индустрии 4.0. Вместе с тем компетенции, связан</w:t>
      </w:r>
      <w:r w:rsidR="0052179A">
        <w:rPr>
          <w:rFonts w:ascii="Times New Roman" w:hAnsi="Times New Roman" w:cs="Times New Roman"/>
          <w:sz w:val="28"/>
          <w:szCs w:val="28"/>
        </w:rPr>
        <w:t>ные с искусственным интеллектом</w:t>
      </w:r>
      <w:r w:rsidRPr="000C1190">
        <w:rPr>
          <w:rFonts w:ascii="Times New Roman" w:hAnsi="Times New Roman" w:cs="Times New Roman"/>
          <w:sz w:val="28"/>
          <w:szCs w:val="28"/>
        </w:rPr>
        <w:t xml:space="preserve">, большими данными </w:t>
      </w:r>
      <w:r w:rsidR="0052179A">
        <w:rPr>
          <w:rFonts w:ascii="Times New Roman" w:hAnsi="Times New Roman" w:cs="Times New Roman"/>
          <w:sz w:val="28"/>
          <w:szCs w:val="28"/>
        </w:rPr>
        <w:t>и кибербезопасностью</w:t>
      </w:r>
      <w:r w:rsidRPr="000C1190">
        <w:rPr>
          <w:rFonts w:ascii="Times New Roman" w:hAnsi="Times New Roman" w:cs="Times New Roman"/>
          <w:sz w:val="28"/>
          <w:szCs w:val="28"/>
        </w:rPr>
        <w:t>, остаются слабо распространёнными, особенно в секторе малых предприятий, где средние значения не превышают 2</w:t>
      </w:r>
      <w:r w:rsidR="0052179A">
        <w:rPr>
          <w:rFonts w:ascii="Times New Roman" w:hAnsi="Times New Roman" w:cs="Times New Roman"/>
          <w:sz w:val="28"/>
          <w:szCs w:val="28"/>
          <w:lang w:val="kk-KZ"/>
        </w:rPr>
        <w:t>,</w:t>
      </w:r>
      <w:r w:rsidRPr="000C1190">
        <w:rPr>
          <w:rFonts w:ascii="Times New Roman" w:hAnsi="Times New Roman" w:cs="Times New Roman"/>
          <w:sz w:val="28"/>
          <w:szCs w:val="28"/>
        </w:rPr>
        <w:t>9</w:t>
      </w:r>
      <w:r w:rsidR="00486569">
        <w:rPr>
          <w:rFonts w:ascii="Times New Roman" w:hAnsi="Times New Roman" w:cs="Times New Roman"/>
          <w:sz w:val="28"/>
          <w:szCs w:val="28"/>
          <w:lang w:val="kk-KZ"/>
        </w:rPr>
        <w:t>-</w:t>
      </w:r>
      <w:r w:rsidRPr="000C1190">
        <w:rPr>
          <w:rFonts w:ascii="Times New Roman" w:hAnsi="Times New Roman" w:cs="Times New Roman"/>
          <w:sz w:val="28"/>
          <w:szCs w:val="28"/>
        </w:rPr>
        <w:t>2</w:t>
      </w:r>
      <w:r w:rsidR="0052179A">
        <w:rPr>
          <w:rFonts w:ascii="Times New Roman" w:hAnsi="Times New Roman" w:cs="Times New Roman"/>
          <w:sz w:val="28"/>
          <w:szCs w:val="28"/>
          <w:lang w:val="kk-KZ"/>
        </w:rPr>
        <w:t>,</w:t>
      </w:r>
      <w:r w:rsidRPr="000C1190">
        <w:rPr>
          <w:rFonts w:ascii="Times New Roman" w:hAnsi="Times New Roman" w:cs="Times New Roman"/>
          <w:sz w:val="28"/>
          <w:szCs w:val="28"/>
        </w:rPr>
        <w:t>94.</w:t>
      </w:r>
    </w:p>
    <w:p w14:paraId="5C2ACA8E" w14:textId="741C28A8"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lastRenderedPageBreak/>
        <w:t>Результаты по блоку HR-практик демонстрируют межгрупповые различия. Наиболее часто применяются такие инструменты, как наличие экспертов по ИИ (0</w:t>
      </w:r>
      <w:r w:rsidR="0052179A">
        <w:rPr>
          <w:rFonts w:ascii="Times New Roman" w:hAnsi="Times New Roman" w:cs="Times New Roman"/>
          <w:sz w:val="28"/>
          <w:szCs w:val="28"/>
          <w:lang w:val="kk-KZ"/>
        </w:rPr>
        <w:t>,</w:t>
      </w:r>
      <w:r w:rsidRPr="000C1190">
        <w:rPr>
          <w:rFonts w:ascii="Times New Roman" w:hAnsi="Times New Roman" w:cs="Times New Roman"/>
          <w:sz w:val="28"/>
          <w:szCs w:val="28"/>
        </w:rPr>
        <w:t>57</w:t>
      </w:r>
      <w:r w:rsidR="00486569">
        <w:rPr>
          <w:rFonts w:ascii="Times New Roman" w:hAnsi="Times New Roman" w:cs="Times New Roman"/>
          <w:sz w:val="28"/>
          <w:szCs w:val="28"/>
          <w:lang w:val="kk-KZ"/>
        </w:rPr>
        <w:t>-</w:t>
      </w:r>
      <w:r w:rsidRPr="000C1190">
        <w:rPr>
          <w:rFonts w:ascii="Times New Roman" w:hAnsi="Times New Roman" w:cs="Times New Roman"/>
          <w:sz w:val="28"/>
          <w:szCs w:val="28"/>
        </w:rPr>
        <w:t>0</w:t>
      </w:r>
      <w:r w:rsidR="0052179A">
        <w:rPr>
          <w:rFonts w:ascii="Times New Roman" w:hAnsi="Times New Roman" w:cs="Times New Roman"/>
          <w:sz w:val="28"/>
          <w:szCs w:val="28"/>
          <w:lang w:val="kk-KZ"/>
        </w:rPr>
        <w:t>,</w:t>
      </w:r>
      <w:r w:rsidRPr="000C1190">
        <w:rPr>
          <w:rFonts w:ascii="Times New Roman" w:hAnsi="Times New Roman" w:cs="Times New Roman"/>
          <w:sz w:val="28"/>
          <w:szCs w:val="28"/>
        </w:rPr>
        <w:t>53), наличие сотрудников с учёной степенью (0</w:t>
      </w:r>
      <w:r w:rsidR="0052179A">
        <w:rPr>
          <w:rFonts w:ascii="Times New Roman" w:hAnsi="Times New Roman" w:cs="Times New Roman"/>
          <w:sz w:val="28"/>
          <w:szCs w:val="28"/>
          <w:lang w:val="kk-KZ"/>
        </w:rPr>
        <w:t>,</w:t>
      </w:r>
      <w:r w:rsidRPr="000C1190">
        <w:rPr>
          <w:rFonts w:ascii="Times New Roman" w:hAnsi="Times New Roman" w:cs="Times New Roman"/>
          <w:sz w:val="28"/>
          <w:szCs w:val="28"/>
        </w:rPr>
        <w:t>59</w:t>
      </w:r>
      <w:r w:rsidR="00486569">
        <w:rPr>
          <w:rFonts w:ascii="Times New Roman" w:hAnsi="Times New Roman" w:cs="Times New Roman"/>
          <w:sz w:val="28"/>
          <w:szCs w:val="28"/>
          <w:lang w:val="kk-KZ"/>
        </w:rPr>
        <w:t>-</w:t>
      </w:r>
      <w:r w:rsidRPr="000C1190">
        <w:rPr>
          <w:rFonts w:ascii="Times New Roman" w:hAnsi="Times New Roman" w:cs="Times New Roman"/>
          <w:sz w:val="28"/>
          <w:szCs w:val="28"/>
        </w:rPr>
        <w:t>0</w:t>
      </w:r>
      <w:r w:rsidR="0052179A">
        <w:rPr>
          <w:rFonts w:ascii="Times New Roman" w:hAnsi="Times New Roman" w:cs="Times New Roman"/>
          <w:sz w:val="28"/>
          <w:szCs w:val="28"/>
          <w:lang w:val="kk-KZ"/>
        </w:rPr>
        <w:t>,</w:t>
      </w:r>
      <w:r w:rsidRPr="000C1190">
        <w:rPr>
          <w:rFonts w:ascii="Times New Roman" w:hAnsi="Times New Roman" w:cs="Times New Roman"/>
          <w:sz w:val="28"/>
          <w:szCs w:val="28"/>
        </w:rPr>
        <w:t>63) и системы сбора инновационных идей (0</w:t>
      </w:r>
      <w:r w:rsidR="0052179A">
        <w:rPr>
          <w:rFonts w:ascii="Times New Roman" w:hAnsi="Times New Roman" w:cs="Times New Roman"/>
          <w:sz w:val="28"/>
          <w:szCs w:val="28"/>
          <w:lang w:val="kk-KZ"/>
        </w:rPr>
        <w:t>,</w:t>
      </w:r>
      <w:r w:rsidRPr="000C1190">
        <w:rPr>
          <w:rFonts w:ascii="Times New Roman" w:hAnsi="Times New Roman" w:cs="Times New Roman"/>
          <w:sz w:val="28"/>
          <w:szCs w:val="28"/>
        </w:rPr>
        <w:t>60</w:t>
      </w:r>
      <w:r w:rsidR="00486569">
        <w:rPr>
          <w:rFonts w:ascii="Times New Roman" w:hAnsi="Times New Roman" w:cs="Times New Roman"/>
          <w:sz w:val="28"/>
          <w:szCs w:val="28"/>
          <w:lang w:val="kk-KZ"/>
        </w:rPr>
        <w:t>-</w:t>
      </w:r>
      <w:r w:rsidRPr="000C1190">
        <w:rPr>
          <w:rFonts w:ascii="Times New Roman" w:hAnsi="Times New Roman" w:cs="Times New Roman"/>
          <w:sz w:val="28"/>
          <w:szCs w:val="28"/>
        </w:rPr>
        <w:t>0</w:t>
      </w:r>
      <w:r w:rsidR="0052179A">
        <w:rPr>
          <w:rFonts w:ascii="Times New Roman" w:hAnsi="Times New Roman" w:cs="Times New Roman"/>
          <w:sz w:val="28"/>
          <w:szCs w:val="28"/>
          <w:lang w:val="kk-KZ"/>
        </w:rPr>
        <w:t>,</w:t>
      </w:r>
      <w:r w:rsidRPr="000C1190">
        <w:rPr>
          <w:rFonts w:ascii="Times New Roman" w:hAnsi="Times New Roman" w:cs="Times New Roman"/>
          <w:sz w:val="28"/>
          <w:szCs w:val="28"/>
        </w:rPr>
        <w:t>69). В то же время практики анализа кадровых потребностей, партнёрства с университетами и системы поощрения за инновации пока не получили широкого распрост</w:t>
      </w:r>
      <w:r w:rsidR="0052179A">
        <w:rPr>
          <w:rFonts w:ascii="Times New Roman" w:hAnsi="Times New Roman" w:cs="Times New Roman"/>
          <w:sz w:val="28"/>
          <w:szCs w:val="28"/>
        </w:rPr>
        <w:t>ранения (их используют менее 50</w:t>
      </w:r>
      <w:r w:rsidRPr="000C1190">
        <w:rPr>
          <w:rFonts w:ascii="Times New Roman" w:hAnsi="Times New Roman" w:cs="Times New Roman"/>
          <w:sz w:val="28"/>
          <w:szCs w:val="28"/>
        </w:rPr>
        <w:t xml:space="preserve">% предприятий). Примечательно, что малые предприятия демонстрируют более высокую активность в области неформальных инновационных практик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гибкости и вовлечения персонала в процесс генерации идей, однако уступают крупным по уровню формализации HR-процессов и систем мотивации.</w:t>
      </w:r>
    </w:p>
    <w:p w14:paraId="70A98033" w14:textId="3407A07E" w:rsid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Таким образом, человеческий капитал как структурный компонент инновационного потенциала характеризуется выраженной неоднородностью. Наиболее развитым он является в крупных предпринимательских структурах, где кадровые компетенции и HR-практики интегрированы в стратегию инновационного развития. Для малых и средних предприятий выявленные различия подтверждают необходимость институционального стимулирования кадровой цифровизации, повышения уровня компетенций, а также формирования современной модели управления человеческим капиталом, ориентированной на развитие soft- и hard-skills как ключевых драйверов инновационного потенциала.</w:t>
      </w:r>
    </w:p>
    <w:p w14:paraId="23A4D9F7" w14:textId="615F788F" w:rsidR="00BC76B6" w:rsidRPr="003F0E8F" w:rsidRDefault="00BC76B6" w:rsidP="002F33D0">
      <w:pPr>
        <w:spacing w:after="0" w:line="240" w:lineRule="auto"/>
        <w:ind w:firstLine="567"/>
        <w:jc w:val="both"/>
        <w:rPr>
          <w:rFonts w:ascii="Times New Roman" w:hAnsi="Times New Roman" w:cs="Times New Roman"/>
          <w:sz w:val="28"/>
          <w:szCs w:val="28"/>
        </w:rPr>
      </w:pPr>
      <w:r w:rsidRPr="003F0E8F">
        <w:rPr>
          <w:rFonts w:ascii="Times New Roman" w:hAnsi="Times New Roman" w:cs="Times New Roman"/>
          <w:sz w:val="28"/>
          <w:szCs w:val="28"/>
        </w:rPr>
        <w:t>Эмпирическая оценка кадрового компонента, проведённая в рамках нашего исследования</w:t>
      </w:r>
      <w:r w:rsidRPr="003F0E8F">
        <w:rPr>
          <w:rFonts w:ascii="Times New Roman" w:hAnsi="Times New Roman" w:cs="Times New Roman"/>
          <w:sz w:val="28"/>
          <w:szCs w:val="28"/>
          <w:lang w:val="kk-KZ"/>
        </w:rPr>
        <w:t xml:space="preserve"> </w:t>
      </w:r>
      <w:r w:rsidRPr="003F0E8F">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140nn1b980","properties":{"formattedCitation":"[190\\uc0\\u8211{}192]","plainCitation":"[190–192]","noteIndex":0},"citationItems":[{"id":382,"uris":["http://zotero.org/users/16887523/items/F4DNBCPS"],"itemData":{"id":382,"type":"article-journal","abstract":"Amid rapid digitalization and the ongoing transformation of the economy, the need to revise approaches to the assessment and development of human capital is growing. This study aims to develop an empirically grounded competency map to support strategic human capital management in Kazakhstan’s entrepreneurial sector. The research employed a cross-sectional survey of 368 enterprises, selected through proportional stratified sampling to reflect the official structure of small, medium, and large businesses. The data was collected using an online questionnaire that included 12 key competencies: cognitive, soft, digital, environmental, and technological skills. Primary data processing employed indexing and tabular aggregation methods, while the analysis involved descriptive statistics, analysis of variance (ANOVA), and clustering techniques, implemented using Jamovi software. The results show that basic cognitive and soft competencies such as adaptability (59.9%) and environmental thinking (65.9%) are most common in all types of enterprises, while advanced digital and technological skills, including working with robotic systems (33.4%) and artificial intelligence (38.0%), remain underdeveloped., especially in the SME sector. ANOVA revealed statistically significant differences (p &lt; 0.05) for 11 of the 12 competencies in terms of enterprise size, with large companies demonstrating a higher level of digital and technological skills. The findings formed the basis for the development of a visualized radar map reflecting the integrated competency profile by enterprise size. The results presented contribute to the formation of evidence-based strategies for the development of human capital under conditions of industrial and digital transformation.","container-title":"Eurasian Journal of Economic and Business Studies","DOI":"10.47703/ejebs.v69i3.528","ISSN":"2789-8261, 2789-8253","issue":"3","journalAbbreviation":"EJEBS","license":"https://creativecommons.org/licenses/by/4.0","page":"18-34","source":"DOI.org (Crossref)","title":"Competency Mapping for Industry 4.0: An Empirical Study of Kazakhstan’s Entrepreneurial Sector","title-short":"Competency Mapping for Industry 4.0","URL":"https://ejebs.com/index.php/main/article/view/528","volume":"69","author":[{"family":"Sadenova","given":"Assel"},{"family":"Suieubayeva","given":"Saltanat"},{"family":"Kozlova","given":"Marina"},{"family":"Słoniec","given":"Jolanta"}],"accessed":{"date-parts":[["2025",12,13]]},"issued":{"date-parts":[["2025",9,30]]}}},{"id":577,"uris":["http://zotero.org/users/16887523/items/DUDR2FBU"],"itemData":{"id":577,"type":"article-journal","container-title":"Вестник Торайгыров университета. Экономическая серия","DOI":"https://doi.org/10.48081/BTFD7661","ISSN":"2710-3552","issue":"4","page":"105-124","publisher":"Торайгыров Университет","publisher-place":"Павлодар","title":"Подготовка человеческого капитала для условий Индустрии 4.0 в Казахстане","URL":"https://vestnik-economic.tou.edu.kz/storage/journals/129.pdf","author":[{"family":"Денисова","given":"О.К."},{"family":"Конурбаева","given":"Ж.Т."},{"family":"Саденова","given":"А.М."}],"issued":{"date-parts":[["2025"]]}}},{"id":578,"uris":["http://zotero.org/users/16887523/items/EZVMFNSG"],"itemData":{"id":578,"type":"book","ISBN":"978-601-208-903-5","number-of-pages":"142","publisher":"Шығыс Полиграф","publisher-place":"Өскемен","title":"Индустрия 4.0 жағдайында адам ресурстарын дамыту: теориялық негіздер, құзыреттілік профилі және басқарудың заманауи әдістері","author":[{"family":"Суйеубаева","given":"С.Н."},{"family":"Саденова","given":"А.М."},{"family":"Серегина","given":"Е.Р."},{"family":"Геминхан","given":"Е."}],"issued":{"date-parts":[["2025"]]}}}],"schema":"https://github.com/citation-style-language/schema/raw/master/csl-citation.json"} </w:instrText>
      </w:r>
      <w:r w:rsidRPr="003F0E8F">
        <w:rPr>
          <w:rFonts w:ascii="Times New Roman" w:hAnsi="Times New Roman" w:cs="Times New Roman"/>
          <w:sz w:val="28"/>
          <w:szCs w:val="28"/>
          <w:lang w:val="kk-KZ"/>
        </w:rPr>
        <w:fldChar w:fldCharType="separate"/>
      </w:r>
      <w:r w:rsidR="00AE44BA" w:rsidRPr="00AE44BA">
        <w:rPr>
          <w:rFonts w:ascii="Times New Roman" w:hAnsi="Times New Roman" w:cs="Times New Roman"/>
          <w:sz w:val="28"/>
          <w:szCs w:val="24"/>
        </w:rPr>
        <w:t>[190–192]</w:t>
      </w:r>
      <w:r w:rsidRPr="003F0E8F">
        <w:rPr>
          <w:rFonts w:ascii="Times New Roman" w:hAnsi="Times New Roman" w:cs="Times New Roman"/>
          <w:sz w:val="28"/>
          <w:szCs w:val="28"/>
          <w:lang w:val="kk-KZ"/>
        </w:rPr>
        <w:fldChar w:fldCharType="end"/>
      </w:r>
      <w:r w:rsidRPr="003F0E8F">
        <w:rPr>
          <w:rFonts w:ascii="Times New Roman" w:hAnsi="Times New Roman" w:cs="Times New Roman"/>
          <w:sz w:val="28"/>
          <w:szCs w:val="28"/>
        </w:rPr>
        <w:t xml:space="preserve">, позволила идентифицировать 12 ключевых компетенций и выявить статистически значимые различия в их развитии по масштабам предприятий. </w:t>
      </w:r>
      <w:r w:rsidR="00656D04" w:rsidRPr="003F0E8F">
        <w:rPr>
          <w:rFonts w:ascii="Times New Roman" w:hAnsi="Times New Roman" w:cs="Times New Roman"/>
          <w:sz w:val="28"/>
          <w:szCs w:val="28"/>
        </w:rPr>
        <w:t>При этом результаты ранее проведённого автором исследования показали, что уровень цифровой грамотности персонала выступает базовым фактором, определяющим способность предпринимательских структур трансформировать кадровые ресурсы в инновационную активность, особенно в сегменте малого и среднего бизнеса</w:t>
      </w:r>
      <w:r w:rsidR="00656D04" w:rsidRPr="003F0E8F">
        <w:rPr>
          <w:rFonts w:ascii="Times New Roman" w:hAnsi="Times New Roman" w:cs="Times New Roman"/>
          <w:sz w:val="28"/>
          <w:szCs w:val="28"/>
          <w:lang w:val="kk-KZ"/>
        </w:rPr>
        <w:t xml:space="preserve"> </w:t>
      </w:r>
      <w:r w:rsidR="00656D04" w:rsidRPr="003F0E8F">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{"citationID":"a1bsdkq89hq","properties":{"formattedCitation":"[193]","plainCitation":"[193]","noteIndex":0},"citationItems":[{"id":582,"uris":["http://zotero.org/users/16887523/items/WGYCUV2Z"],"itemData":{"id":582,"type":"paper-conference","event-title":"Сборник докладов XIV международного Форума молодых ученых «Современные научные направления: от прикладных исследований до инноваций»","issue":"6","page":"45-49","publisher":"Казахстанско-Американский свободный университет","publisher-place":"Усть-каменогорск","title":"Цифровая грамотность населения как фактор роста инновационной активности предприятий","author":[{"family":"Саденова","given":"А.М."},{"family":"Суйеубаева","given":"С.Н."}],"issued":{"date-parts":[["2024"]],"season":"12"}}}],"schema":"https://github.com/citation-style-language/schema/raw/master/csl-citation.json"} </w:instrText>
      </w:r>
      <w:r w:rsidR="00656D04" w:rsidRPr="003F0E8F">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[193]</w:t>
      </w:r>
      <w:r w:rsidR="00656D04" w:rsidRPr="003F0E8F">
        <w:rPr>
          <w:rFonts w:ascii="Times New Roman" w:hAnsi="Times New Roman" w:cs="Times New Roman"/>
          <w:sz w:val="28"/>
          <w:szCs w:val="28"/>
          <w:lang w:val="kk-KZ"/>
        </w:rPr>
        <w:fldChar w:fldCharType="end"/>
      </w:r>
      <w:r w:rsidR="00656D04" w:rsidRPr="003F0E8F">
        <w:rPr>
          <w:rFonts w:ascii="Times New Roman" w:hAnsi="Times New Roman" w:cs="Times New Roman"/>
          <w:sz w:val="28"/>
          <w:szCs w:val="28"/>
          <w:lang w:val="kk-KZ"/>
        </w:rPr>
        <w:t xml:space="preserve">. </w:t>
      </w:r>
      <w:r w:rsidRPr="003F0E8F">
        <w:rPr>
          <w:rFonts w:ascii="Times New Roman" w:hAnsi="Times New Roman" w:cs="Times New Roman"/>
          <w:sz w:val="28"/>
          <w:szCs w:val="28"/>
        </w:rPr>
        <w:t>Установлено, что для малых предприятий инновационный потенциал в наибольшей степени определяется универсальными компетенциями, тогда как для крупных структур решающими являются технологические hard-</w:t>
      </w:r>
      <w:r w:rsidR="00CB7B36" w:rsidRPr="003F0E8F">
        <w:rPr>
          <w:rFonts w:ascii="Times New Roman" w:hAnsi="Times New Roman" w:cs="Times New Roman"/>
          <w:sz w:val="28"/>
          <w:szCs w:val="28"/>
          <w:lang w:val="kk-KZ"/>
        </w:rPr>
        <w:t>компетенции</w:t>
      </w:r>
      <w:r w:rsidRPr="003F0E8F">
        <w:rPr>
          <w:rFonts w:ascii="Times New Roman" w:hAnsi="Times New Roman" w:cs="Times New Roman"/>
          <w:sz w:val="28"/>
          <w:szCs w:val="28"/>
        </w:rPr>
        <w:t xml:space="preserve"> (робототехника, Big Data). Полученные профили компетенций легли в основу разработки визуализированной радарной карты компетенций, которая может служить инструментом для оценки человеческого потенциала и страте</w:t>
      </w:r>
      <w:r w:rsidR="00CB7B36" w:rsidRPr="003F0E8F">
        <w:rPr>
          <w:rFonts w:ascii="Times New Roman" w:hAnsi="Times New Roman" w:cs="Times New Roman"/>
          <w:sz w:val="28"/>
          <w:szCs w:val="28"/>
        </w:rPr>
        <w:t>гического управления персоналом</w:t>
      </w:r>
      <w:r w:rsidRPr="003F0E8F">
        <w:rPr>
          <w:rFonts w:ascii="Times New Roman" w:hAnsi="Times New Roman" w:cs="Times New Roman"/>
          <w:sz w:val="28"/>
          <w:szCs w:val="28"/>
        </w:rPr>
        <w:t>.</w:t>
      </w:r>
    </w:p>
    <w:p w14:paraId="31A823D5" w14:textId="197E4A4E"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С целью выявления ключевых компетенций и HR-практик, влияющих на субъективную оценку инновационного потенциала (IP_selfrate) в крупных предпринимательских структурах, была построена линейная регрессионная модель на подвыборке предприятий данной категории</w:t>
      </w:r>
      <w:r w:rsidR="001304C6">
        <w:rPr>
          <w:rFonts w:ascii="Times New Roman" w:hAnsi="Times New Roman" w:cs="Times New Roman"/>
          <w:sz w:val="28"/>
          <w:szCs w:val="28"/>
          <w:lang w:val="kk-KZ"/>
        </w:rPr>
        <w:t xml:space="preserve"> (</w:t>
      </w:r>
      <w:r w:rsidR="00557C40">
        <w:rPr>
          <w:rFonts w:ascii="Times New Roman" w:hAnsi="Times New Roman" w:cs="Times New Roman"/>
          <w:sz w:val="28"/>
          <w:szCs w:val="28"/>
          <w:lang w:val="kk-KZ"/>
        </w:rPr>
        <w:t xml:space="preserve">Приложение </w:t>
      </w:r>
      <w:r w:rsidR="00AA67DC">
        <w:rPr>
          <w:rFonts w:ascii="Times New Roman" w:hAnsi="Times New Roman" w:cs="Times New Roman"/>
          <w:sz w:val="28"/>
          <w:szCs w:val="28"/>
          <w:lang w:val="kk-KZ"/>
        </w:rPr>
        <w:t>И</w:t>
      </w:r>
      <w:r w:rsidR="001304C6">
        <w:rPr>
          <w:rFonts w:ascii="Times New Roman" w:hAnsi="Times New Roman" w:cs="Times New Roman"/>
          <w:sz w:val="28"/>
          <w:szCs w:val="28"/>
          <w:lang w:val="kk-KZ"/>
        </w:rPr>
        <w:t>)</w:t>
      </w:r>
      <w:r w:rsidRPr="000C1190">
        <w:rPr>
          <w:rFonts w:ascii="Times New Roman" w:hAnsi="Times New Roman" w:cs="Times New Roman"/>
          <w:sz w:val="28"/>
          <w:szCs w:val="28"/>
        </w:rPr>
        <w:t>.</w:t>
      </w:r>
    </w:p>
    <w:p w14:paraId="1A736D3C" w14:textId="34806D4B"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Модель оказалась статистически значимой (R</w:t>
      </w:r>
      <w:r w:rsidR="001304C6" w:rsidRPr="001304C6">
        <w:rPr>
          <w:rFonts w:ascii="Times New Roman" w:hAnsi="Times New Roman" w:cs="Times New Roman"/>
          <w:sz w:val="28"/>
          <w:szCs w:val="28"/>
          <w:vertAlign w:val="superscript"/>
          <w:lang w:val="kk-KZ"/>
        </w:rPr>
        <w:t>2</w:t>
      </w:r>
      <w:r w:rsidRPr="000C1190">
        <w:rPr>
          <w:rFonts w:ascii="Times New Roman" w:hAnsi="Times New Roman" w:cs="Times New Roman"/>
          <w:sz w:val="28"/>
          <w:szCs w:val="28"/>
        </w:rPr>
        <w:t xml:space="preserve"> = 0</w:t>
      </w:r>
      <w:r w:rsidR="0052179A">
        <w:rPr>
          <w:rFonts w:ascii="Times New Roman" w:hAnsi="Times New Roman" w:cs="Times New Roman"/>
          <w:sz w:val="28"/>
          <w:szCs w:val="28"/>
          <w:lang w:val="kk-KZ"/>
        </w:rPr>
        <w:t>,</w:t>
      </w:r>
      <w:r w:rsidRPr="000C1190">
        <w:rPr>
          <w:rFonts w:ascii="Times New Roman" w:hAnsi="Times New Roman" w:cs="Times New Roman"/>
          <w:sz w:val="28"/>
          <w:szCs w:val="28"/>
        </w:rPr>
        <w:t>678; p = 0</w:t>
      </w:r>
      <w:r w:rsidR="0052179A">
        <w:rPr>
          <w:rFonts w:ascii="Times New Roman" w:hAnsi="Times New Roman" w:cs="Times New Roman"/>
          <w:sz w:val="28"/>
          <w:szCs w:val="28"/>
          <w:lang w:val="kk-KZ"/>
        </w:rPr>
        <w:t>,</w:t>
      </w:r>
      <w:r w:rsidRPr="000C1190">
        <w:rPr>
          <w:rFonts w:ascii="Times New Roman" w:hAnsi="Times New Roman" w:cs="Times New Roman"/>
          <w:sz w:val="28"/>
          <w:szCs w:val="28"/>
        </w:rPr>
        <w:t>004), что указывает на высокую объяснительную способность в пределах рассматриваемой группы. При этом скорректированный коэффициент детерминации (Adj. R² = 0</w:t>
      </w:r>
      <w:r w:rsidR="0052179A">
        <w:rPr>
          <w:rFonts w:ascii="Times New Roman" w:hAnsi="Times New Roman" w:cs="Times New Roman"/>
          <w:sz w:val="28"/>
          <w:szCs w:val="28"/>
          <w:lang w:val="kk-KZ"/>
        </w:rPr>
        <w:t>,</w:t>
      </w:r>
      <w:r w:rsidRPr="000C1190">
        <w:rPr>
          <w:rFonts w:ascii="Times New Roman" w:hAnsi="Times New Roman" w:cs="Times New Roman"/>
          <w:sz w:val="28"/>
          <w:szCs w:val="28"/>
        </w:rPr>
        <w:t xml:space="preserve">448) свидетельствует о чувствительности модели к </w:t>
      </w:r>
      <w:r w:rsidRPr="000C1190">
        <w:rPr>
          <w:rFonts w:ascii="Times New Roman" w:hAnsi="Times New Roman" w:cs="Times New Roman"/>
          <w:sz w:val="28"/>
          <w:szCs w:val="28"/>
        </w:rPr>
        <w:lastRenderedPageBreak/>
        <w:t>числу предикторов (20 переменных), что является допустимым при комплексном характере кадровых факторов.</w:t>
      </w:r>
    </w:p>
    <w:p w14:paraId="59325BE1"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Из всех включённых переменных наибольшее положительное влияние на инновационный потенциал крупных предприятий оказывают следующие hard- и soft-компетенции:</w:t>
      </w:r>
    </w:p>
    <w:p w14:paraId="7BFBB2B5" w14:textId="6E55569A" w:rsidR="000C1190" w:rsidRPr="000C1190" w:rsidRDefault="000C1190" w:rsidP="007F5E68">
      <w:pPr>
        <w:pStyle w:val="a3"/>
        <w:numPr>
          <w:ilvl w:val="0"/>
          <w:numId w:val="13"/>
        </w:numPr>
        <w:tabs>
          <w:tab w:val="left" w:pos="851"/>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Навыки программирования и робототехники (β = 0</w:t>
      </w:r>
      <w:r w:rsidR="0052179A">
        <w:rPr>
          <w:rFonts w:ascii="Times New Roman" w:hAnsi="Times New Roman" w:cs="Times New Roman"/>
          <w:sz w:val="28"/>
          <w:szCs w:val="28"/>
          <w:lang w:val="kk-KZ"/>
        </w:rPr>
        <w:t>,</w:t>
      </w:r>
      <w:r w:rsidRPr="000C1190">
        <w:rPr>
          <w:rFonts w:ascii="Times New Roman" w:hAnsi="Times New Roman" w:cs="Times New Roman"/>
          <w:sz w:val="28"/>
          <w:szCs w:val="28"/>
        </w:rPr>
        <w:t>378; p = 0</w:t>
      </w:r>
      <w:r w:rsidR="0052179A">
        <w:rPr>
          <w:rFonts w:ascii="Times New Roman" w:hAnsi="Times New Roman" w:cs="Times New Roman"/>
          <w:sz w:val="28"/>
          <w:szCs w:val="28"/>
          <w:lang w:val="kk-KZ"/>
        </w:rPr>
        <w:t>,</w:t>
      </w:r>
      <w:r w:rsidRPr="000C1190">
        <w:rPr>
          <w:rFonts w:ascii="Times New Roman" w:hAnsi="Times New Roman" w:cs="Times New Roman"/>
          <w:sz w:val="28"/>
          <w:szCs w:val="28"/>
        </w:rPr>
        <w:t>008);</w:t>
      </w:r>
    </w:p>
    <w:p w14:paraId="0203C025" w14:textId="1F6DD4C1" w:rsidR="000C1190" w:rsidRPr="000C1190" w:rsidRDefault="000C1190" w:rsidP="007F5E68">
      <w:pPr>
        <w:pStyle w:val="a3"/>
        <w:numPr>
          <w:ilvl w:val="0"/>
          <w:numId w:val="13"/>
        </w:numPr>
        <w:tabs>
          <w:tab w:val="left" w:pos="851"/>
          <w:tab w:val="left" w:pos="993"/>
        </w:tabs>
        <w:spacing w:after="0" w:line="240" w:lineRule="auto"/>
        <w:ind w:left="0" w:firstLine="567"/>
        <w:jc w:val="both"/>
        <w:rPr>
          <w:rFonts w:ascii="Times New Roman" w:hAnsi="Times New Roman" w:cs="Times New Roman"/>
          <w:sz w:val="28"/>
          <w:szCs w:val="28"/>
          <w:lang w:val="en-US"/>
        </w:rPr>
      </w:pPr>
      <w:r w:rsidRPr="000C1190">
        <w:rPr>
          <w:rFonts w:ascii="Times New Roman" w:hAnsi="Times New Roman" w:cs="Times New Roman"/>
          <w:sz w:val="28"/>
          <w:szCs w:val="28"/>
        </w:rPr>
        <w:t>Устойчивое</w:t>
      </w:r>
      <w:r w:rsidRPr="000C1190">
        <w:rPr>
          <w:rFonts w:ascii="Times New Roman" w:hAnsi="Times New Roman" w:cs="Times New Roman"/>
          <w:sz w:val="28"/>
          <w:szCs w:val="28"/>
          <w:lang w:val="en-US"/>
        </w:rPr>
        <w:t xml:space="preserve"> </w:t>
      </w:r>
      <w:r w:rsidRPr="000C1190">
        <w:rPr>
          <w:rFonts w:ascii="Times New Roman" w:hAnsi="Times New Roman" w:cs="Times New Roman"/>
          <w:sz w:val="28"/>
          <w:szCs w:val="28"/>
        </w:rPr>
        <w:t>мышление</w:t>
      </w:r>
      <w:r w:rsidRPr="000C1190">
        <w:rPr>
          <w:rFonts w:ascii="Times New Roman" w:hAnsi="Times New Roman" w:cs="Times New Roman"/>
          <w:sz w:val="28"/>
          <w:szCs w:val="28"/>
          <w:lang w:val="en-US"/>
        </w:rPr>
        <w:t xml:space="preserve"> (</w:t>
      </w:r>
      <w:r w:rsidRPr="000C1190">
        <w:rPr>
          <w:rFonts w:ascii="Times New Roman" w:hAnsi="Times New Roman" w:cs="Times New Roman"/>
          <w:sz w:val="28"/>
          <w:szCs w:val="28"/>
        </w:rPr>
        <w:t>β</w:t>
      </w:r>
      <w:r w:rsidRPr="000C1190">
        <w:rPr>
          <w:rFonts w:ascii="Times New Roman" w:hAnsi="Times New Roman" w:cs="Times New Roman"/>
          <w:sz w:val="28"/>
          <w:szCs w:val="28"/>
          <w:lang w:val="en-US"/>
        </w:rPr>
        <w:t xml:space="preserve"> = 0</w:t>
      </w:r>
      <w:r w:rsidR="0052179A">
        <w:rPr>
          <w:rFonts w:ascii="Times New Roman" w:hAnsi="Times New Roman" w:cs="Times New Roman"/>
          <w:sz w:val="28"/>
          <w:szCs w:val="28"/>
          <w:lang w:val="kk-KZ"/>
        </w:rPr>
        <w:t>,</w:t>
      </w:r>
      <w:r w:rsidRPr="000C1190">
        <w:rPr>
          <w:rFonts w:ascii="Times New Roman" w:hAnsi="Times New Roman" w:cs="Times New Roman"/>
          <w:sz w:val="28"/>
          <w:szCs w:val="28"/>
          <w:lang w:val="en-US"/>
        </w:rPr>
        <w:t>287; p = 0</w:t>
      </w:r>
      <w:r w:rsidR="0052179A">
        <w:rPr>
          <w:rFonts w:ascii="Times New Roman" w:hAnsi="Times New Roman" w:cs="Times New Roman"/>
          <w:sz w:val="28"/>
          <w:szCs w:val="28"/>
          <w:lang w:val="kk-KZ"/>
        </w:rPr>
        <w:t>,</w:t>
      </w:r>
      <w:r w:rsidRPr="000C1190">
        <w:rPr>
          <w:rFonts w:ascii="Times New Roman" w:hAnsi="Times New Roman" w:cs="Times New Roman"/>
          <w:sz w:val="28"/>
          <w:szCs w:val="28"/>
          <w:lang w:val="en-US"/>
        </w:rPr>
        <w:t>035);</w:t>
      </w:r>
    </w:p>
    <w:p w14:paraId="64EEFE9E" w14:textId="337F3096" w:rsidR="000C1190" w:rsidRPr="000C1190" w:rsidRDefault="000C1190" w:rsidP="007F5E68">
      <w:pPr>
        <w:pStyle w:val="a3"/>
        <w:numPr>
          <w:ilvl w:val="0"/>
          <w:numId w:val="13"/>
        </w:numPr>
        <w:tabs>
          <w:tab w:val="left" w:pos="851"/>
          <w:tab w:val="left" w:pos="993"/>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Навыки работы с большими данными (β = 0</w:t>
      </w:r>
      <w:r w:rsidR="0052179A">
        <w:rPr>
          <w:rFonts w:ascii="Times New Roman" w:hAnsi="Times New Roman" w:cs="Times New Roman"/>
          <w:sz w:val="28"/>
          <w:szCs w:val="28"/>
          <w:lang w:val="kk-KZ"/>
        </w:rPr>
        <w:t>,</w:t>
      </w:r>
      <w:r w:rsidRPr="000C1190">
        <w:rPr>
          <w:rFonts w:ascii="Times New Roman" w:hAnsi="Times New Roman" w:cs="Times New Roman"/>
          <w:sz w:val="28"/>
          <w:szCs w:val="28"/>
        </w:rPr>
        <w:t>337; p = 0</w:t>
      </w:r>
      <w:r w:rsidR="0052179A">
        <w:rPr>
          <w:rFonts w:ascii="Times New Roman" w:hAnsi="Times New Roman" w:cs="Times New Roman"/>
          <w:sz w:val="28"/>
          <w:szCs w:val="28"/>
          <w:lang w:val="kk-KZ"/>
        </w:rPr>
        <w:t>,</w:t>
      </w:r>
      <w:r w:rsidRPr="000C1190">
        <w:rPr>
          <w:rFonts w:ascii="Times New Roman" w:hAnsi="Times New Roman" w:cs="Times New Roman"/>
          <w:sz w:val="28"/>
          <w:szCs w:val="28"/>
        </w:rPr>
        <w:t>034).</w:t>
      </w:r>
    </w:p>
    <w:p w14:paraId="3FAACF90" w14:textId="59CAE8FF" w:rsidR="000C1190" w:rsidRPr="000C1190" w:rsidRDefault="000C1190" w:rsidP="002F33D0">
      <w:pPr>
        <w:tabs>
          <w:tab w:val="left" w:pos="851"/>
          <w:tab w:val="left" w:pos="993"/>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Пограничную значимость (p </w:t>
      </w:r>
      <w:r w:rsidR="0052179A" w:rsidRPr="000C1190">
        <w:rPr>
          <w:rFonts w:ascii="Times New Roman" w:hAnsi="Times New Roman" w:cs="Times New Roman"/>
          <w:sz w:val="28"/>
          <w:szCs w:val="28"/>
        </w:rPr>
        <w:t>&lt;0</w:t>
      </w:r>
      <w:r w:rsidR="0052179A">
        <w:rPr>
          <w:rFonts w:ascii="Times New Roman" w:hAnsi="Times New Roman" w:cs="Times New Roman"/>
          <w:sz w:val="28"/>
          <w:szCs w:val="28"/>
          <w:lang w:val="kk-KZ"/>
        </w:rPr>
        <w:t>,</w:t>
      </w:r>
      <w:r w:rsidRPr="000C1190">
        <w:rPr>
          <w:rFonts w:ascii="Times New Roman" w:hAnsi="Times New Roman" w:cs="Times New Roman"/>
          <w:sz w:val="28"/>
          <w:szCs w:val="28"/>
        </w:rPr>
        <w:t>1) показала также компетенция в области кибербезопасности (β = 0</w:t>
      </w:r>
      <w:r w:rsidR="0052179A">
        <w:rPr>
          <w:rFonts w:ascii="Times New Roman" w:hAnsi="Times New Roman" w:cs="Times New Roman"/>
          <w:sz w:val="28"/>
          <w:szCs w:val="28"/>
          <w:lang w:val="kk-KZ"/>
        </w:rPr>
        <w:t>,</w:t>
      </w:r>
      <w:r w:rsidRPr="000C1190">
        <w:rPr>
          <w:rFonts w:ascii="Times New Roman" w:hAnsi="Times New Roman" w:cs="Times New Roman"/>
          <w:sz w:val="28"/>
          <w:szCs w:val="28"/>
        </w:rPr>
        <w:t>252; p = 0</w:t>
      </w:r>
      <w:r w:rsidR="0052179A">
        <w:rPr>
          <w:rFonts w:ascii="Times New Roman" w:hAnsi="Times New Roman" w:cs="Times New Roman"/>
          <w:sz w:val="28"/>
          <w:szCs w:val="28"/>
          <w:lang w:val="kk-KZ"/>
        </w:rPr>
        <w:t>,</w:t>
      </w:r>
      <w:r w:rsidRPr="000C1190">
        <w:rPr>
          <w:rFonts w:ascii="Times New Roman" w:hAnsi="Times New Roman" w:cs="Times New Roman"/>
          <w:sz w:val="28"/>
          <w:szCs w:val="28"/>
        </w:rPr>
        <w:t>063).</w:t>
      </w:r>
    </w:p>
    <w:p w14:paraId="16E9A1D4" w14:textId="77777777" w:rsidR="000C1190" w:rsidRPr="000C1190" w:rsidRDefault="000C1190" w:rsidP="002F33D0">
      <w:pPr>
        <w:tabs>
          <w:tab w:val="left" w:pos="851"/>
          <w:tab w:val="left" w:pos="993"/>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Остальные soft-компетенции, включая адаптивность, креативность и командную работу, продемонстрировали положительные коэффициенты, однако статистически значимых различий не выявлено. HR-практики в данной модели также не показали существенного влияния на инновационный потенциал, что подтверждает сделанный ранее вывод о недостаточной зрелости управленческих и институциональных механизмов кадрового стимулирования в крупных предприятиях.</w:t>
      </w:r>
    </w:p>
    <w:p w14:paraId="1BF205AE" w14:textId="77777777" w:rsidR="000C1190" w:rsidRPr="000C1190" w:rsidRDefault="000C1190" w:rsidP="002F33D0">
      <w:pPr>
        <w:tabs>
          <w:tab w:val="left" w:pos="851"/>
          <w:tab w:val="left" w:pos="993"/>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Проверка предпосылок регрессионной модели показала корректность и надёжность полученных результатов:</w:t>
      </w:r>
    </w:p>
    <w:p w14:paraId="2ED09883" w14:textId="5B77C291" w:rsidR="000C1190" w:rsidRPr="000C1190" w:rsidRDefault="000C1190" w:rsidP="007F5E68">
      <w:pPr>
        <w:pStyle w:val="a3"/>
        <w:numPr>
          <w:ilvl w:val="0"/>
          <w:numId w:val="14"/>
        </w:numPr>
        <w:tabs>
          <w:tab w:val="left" w:pos="851"/>
          <w:tab w:val="left" w:pos="993"/>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нормальность остатков подтверждена (Shapiro–Wilk p = 0</w:t>
      </w:r>
      <w:r w:rsidR="0052179A">
        <w:rPr>
          <w:rFonts w:ascii="Times New Roman" w:hAnsi="Times New Roman" w:cs="Times New Roman"/>
          <w:sz w:val="28"/>
          <w:szCs w:val="28"/>
          <w:lang w:val="kk-KZ"/>
        </w:rPr>
        <w:t>,</w:t>
      </w:r>
      <w:r w:rsidRPr="000C1190">
        <w:rPr>
          <w:rFonts w:ascii="Times New Roman" w:hAnsi="Times New Roman" w:cs="Times New Roman"/>
          <w:sz w:val="28"/>
          <w:szCs w:val="28"/>
        </w:rPr>
        <w:t>601);</w:t>
      </w:r>
    </w:p>
    <w:p w14:paraId="1377AB31" w14:textId="0F7DF3A8" w:rsidR="000C1190" w:rsidRPr="000C1190" w:rsidRDefault="000C1190" w:rsidP="007F5E68">
      <w:pPr>
        <w:pStyle w:val="a3"/>
        <w:numPr>
          <w:ilvl w:val="0"/>
          <w:numId w:val="14"/>
        </w:numPr>
        <w:tabs>
          <w:tab w:val="left" w:pos="851"/>
          <w:tab w:val="left" w:pos="993"/>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мультиколлинеарность отсутствует (все VIF </w:t>
      </w:r>
      <w:r w:rsidR="0052179A" w:rsidRPr="000C1190">
        <w:rPr>
          <w:rFonts w:ascii="Times New Roman" w:hAnsi="Times New Roman" w:cs="Times New Roman"/>
          <w:sz w:val="28"/>
          <w:szCs w:val="28"/>
        </w:rPr>
        <w:t>&lt;2</w:t>
      </w:r>
      <w:r w:rsidR="0052179A">
        <w:rPr>
          <w:rFonts w:ascii="Times New Roman" w:hAnsi="Times New Roman" w:cs="Times New Roman"/>
          <w:sz w:val="28"/>
          <w:szCs w:val="28"/>
          <w:lang w:val="kk-KZ"/>
        </w:rPr>
        <w:t>,</w:t>
      </w:r>
      <w:r w:rsidRPr="000C1190">
        <w:rPr>
          <w:rFonts w:ascii="Times New Roman" w:hAnsi="Times New Roman" w:cs="Times New Roman"/>
          <w:sz w:val="28"/>
          <w:szCs w:val="28"/>
        </w:rPr>
        <w:t>24);</w:t>
      </w:r>
    </w:p>
    <w:p w14:paraId="70EF22DB" w14:textId="59C8E269" w:rsidR="000C1190" w:rsidRPr="000C1190" w:rsidRDefault="000C1190" w:rsidP="007F5E68">
      <w:pPr>
        <w:pStyle w:val="a3"/>
        <w:numPr>
          <w:ilvl w:val="0"/>
          <w:numId w:val="14"/>
        </w:numPr>
        <w:tabs>
          <w:tab w:val="left" w:pos="851"/>
          <w:tab w:val="left" w:pos="993"/>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распределение остатков равномерное (по результатам Q</w:t>
      </w:r>
      <w:r w:rsidR="00486569">
        <w:rPr>
          <w:rFonts w:ascii="Times New Roman" w:hAnsi="Times New Roman" w:cs="Times New Roman"/>
          <w:sz w:val="28"/>
          <w:szCs w:val="28"/>
          <w:lang w:val="kk-KZ"/>
        </w:rPr>
        <w:t>-</w:t>
      </w:r>
      <w:r w:rsidRPr="000C1190">
        <w:rPr>
          <w:rFonts w:ascii="Times New Roman" w:hAnsi="Times New Roman" w:cs="Times New Roman"/>
          <w:sz w:val="28"/>
          <w:szCs w:val="28"/>
        </w:rPr>
        <w:t>Q и residual plots).</w:t>
      </w:r>
    </w:p>
    <w:p w14:paraId="3E3D146A" w14:textId="7E5545E6" w:rsidR="003F0E8F" w:rsidRDefault="003F0E8F" w:rsidP="002F33D0">
      <w:pPr>
        <w:tabs>
          <w:tab w:val="left" w:pos="851"/>
          <w:tab w:val="left" w:pos="993"/>
        </w:tabs>
        <w:spacing w:after="0" w:line="240" w:lineRule="auto"/>
        <w:ind w:firstLine="567"/>
        <w:jc w:val="both"/>
        <w:rPr>
          <w:rFonts w:ascii="Times New Roman" w:hAnsi="Times New Roman" w:cs="Times New Roman"/>
          <w:sz w:val="28"/>
          <w:szCs w:val="28"/>
        </w:rPr>
      </w:pPr>
      <w:r w:rsidRPr="003F0E8F">
        <w:rPr>
          <w:rFonts w:ascii="Times New Roman" w:hAnsi="Times New Roman" w:cs="Times New Roman"/>
          <w:sz w:val="28"/>
          <w:szCs w:val="28"/>
        </w:rPr>
        <w:t>Результаты оценки влияния компетенций на инновационный потенциал крупных предпринимательских структур представлены в таблице 12.</w:t>
      </w:r>
    </w:p>
    <w:p w14:paraId="5C913685"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p>
    <w:p w14:paraId="49E562C9" w14:textId="71A86FEA" w:rsidR="000C1190" w:rsidRDefault="000C1190" w:rsidP="002F33D0">
      <w:pPr>
        <w:tabs>
          <w:tab w:val="left" w:pos="851"/>
        </w:tabs>
        <w:spacing w:after="0" w:line="240" w:lineRule="auto"/>
        <w:jc w:val="both"/>
        <w:rPr>
          <w:rFonts w:ascii="Times New Roman" w:hAnsi="Times New Roman" w:cs="Times New Roman"/>
          <w:sz w:val="28"/>
          <w:szCs w:val="28"/>
        </w:rPr>
      </w:pPr>
      <w:r w:rsidRPr="000C1190">
        <w:rPr>
          <w:rFonts w:ascii="Times New Roman" w:hAnsi="Times New Roman" w:cs="Times New Roman"/>
          <w:sz w:val="28"/>
          <w:szCs w:val="28"/>
        </w:rPr>
        <w:t xml:space="preserve">Таблица </w:t>
      </w:r>
      <w:r w:rsidR="005B1FAD" w:rsidRPr="005B1FAD">
        <w:rPr>
          <w:rFonts w:ascii="Times New Roman" w:hAnsi="Times New Roman" w:cs="Times New Roman"/>
          <w:sz w:val="28"/>
          <w:szCs w:val="28"/>
          <w:lang w:val="kk-KZ"/>
        </w:rPr>
        <w:t>1</w:t>
      </w:r>
      <w:r w:rsidRPr="005B1FAD">
        <w:rPr>
          <w:rFonts w:ascii="Times New Roman" w:hAnsi="Times New Roman" w:cs="Times New Roman"/>
          <w:sz w:val="28"/>
          <w:szCs w:val="28"/>
        </w:rPr>
        <w:t>2</w:t>
      </w:r>
      <w:r w:rsidRPr="000C1190">
        <w:rPr>
          <w:rFonts w:ascii="Times New Roman" w:hAnsi="Times New Roman" w:cs="Times New Roman"/>
          <w:sz w:val="28"/>
          <w:szCs w:val="28"/>
        </w:rPr>
        <w:t xml:space="preserve"> – Влияние компетенций на инновационный потенциал (крупные предприятия)</w:t>
      </w:r>
    </w:p>
    <w:p w14:paraId="37854EEC" w14:textId="77777777" w:rsidR="0052179A" w:rsidRPr="003F0E8F" w:rsidRDefault="0052179A" w:rsidP="002F33D0">
      <w:pPr>
        <w:tabs>
          <w:tab w:val="left" w:pos="851"/>
        </w:tabs>
        <w:spacing w:after="0" w:line="240" w:lineRule="auto"/>
        <w:jc w:val="both"/>
        <w:rPr>
          <w:rFonts w:ascii="Times New Roman" w:hAnsi="Times New Roman" w:cs="Times New Roman"/>
          <w:sz w:val="20"/>
          <w:szCs w:val="28"/>
        </w:rPr>
      </w:pPr>
    </w:p>
    <w:tbl>
      <w:tblPr>
        <w:tblStyle w:val="a5"/>
        <w:tblW w:w="0" w:type="auto"/>
        <w:tblLook w:val="04A0" w:firstRow="1" w:lastRow="0" w:firstColumn="1" w:lastColumn="0" w:noHBand="0" w:noVBand="1"/>
      </w:tblPr>
      <w:tblGrid>
        <w:gridCol w:w="2697"/>
        <w:gridCol w:w="2589"/>
        <w:gridCol w:w="1479"/>
        <w:gridCol w:w="1166"/>
        <w:gridCol w:w="1414"/>
      </w:tblGrid>
      <w:tr w:rsidR="000C1190" w:rsidRPr="0052179A" w14:paraId="7C6C034C" w14:textId="77777777" w:rsidTr="003F0E8F">
        <w:tc>
          <w:tcPr>
            <w:tcW w:w="2697" w:type="dxa"/>
            <w:vAlign w:val="center"/>
          </w:tcPr>
          <w:p w14:paraId="000B8407" w14:textId="77777777" w:rsidR="000C1190" w:rsidRPr="0052179A" w:rsidRDefault="000C1190" w:rsidP="002F33D0">
            <w:pPr>
              <w:ind w:firstLine="0"/>
              <w:jc w:val="center"/>
              <w:rPr>
                <w:rFonts w:eastAsia="Times New Roman"/>
                <w:bCs/>
                <w:color w:val="000000"/>
                <w:szCs w:val="24"/>
                <w:lang w:val="kk-KZ" w:eastAsia="ru-RU"/>
              </w:rPr>
            </w:pPr>
            <w:r w:rsidRPr="0052179A">
              <w:rPr>
                <w:rFonts w:eastAsia="Times New Roman"/>
                <w:bCs/>
                <w:color w:val="000000"/>
                <w:szCs w:val="24"/>
                <w:lang w:val="kk-KZ" w:eastAsia="ru-RU"/>
              </w:rPr>
              <w:t>Название переменной</w:t>
            </w:r>
          </w:p>
        </w:tc>
        <w:tc>
          <w:tcPr>
            <w:tcW w:w="2244" w:type="dxa"/>
            <w:vAlign w:val="center"/>
            <w:hideMark/>
          </w:tcPr>
          <w:p w14:paraId="54D4AD33" w14:textId="77777777" w:rsidR="000C1190" w:rsidRPr="0052179A" w:rsidRDefault="000C1190" w:rsidP="002F33D0">
            <w:pPr>
              <w:ind w:firstLine="0"/>
              <w:jc w:val="center"/>
              <w:rPr>
                <w:rFonts w:eastAsia="Times New Roman"/>
                <w:bCs/>
                <w:color w:val="000000"/>
                <w:szCs w:val="24"/>
                <w:lang w:eastAsia="ru-RU"/>
              </w:rPr>
            </w:pPr>
            <w:r w:rsidRPr="0052179A">
              <w:rPr>
                <w:rFonts w:eastAsia="Times New Roman"/>
                <w:bCs/>
                <w:color w:val="000000"/>
                <w:szCs w:val="24"/>
                <w:lang w:eastAsia="ru-RU"/>
              </w:rPr>
              <w:t>Обозначение в анализе</w:t>
            </w:r>
          </w:p>
        </w:tc>
        <w:tc>
          <w:tcPr>
            <w:tcW w:w="0" w:type="auto"/>
            <w:vAlign w:val="center"/>
            <w:hideMark/>
          </w:tcPr>
          <w:p w14:paraId="7E056141" w14:textId="77777777" w:rsidR="000C1190" w:rsidRPr="0052179A" w:rsidRDefault="000C1190" w:rsidP="002F33D0">
            <w:pPr>
              <w:ind w:firstLine="0"/>
              <w:jc w:val="center"/>
              <w:rPr>
                <w:rFonts w:eastAsia="Times New Roman"/>
                <w:bCs/>
                <w:szCs w:val="24"/>
                <w:lang w:eastAsia="ru-RU"/>
              </w:rPr>
            </w:pPr>
            <w:r w:rsidRPr="0052179A">
              <w:rPr>
                <w:rFonts w:eastAsia="Times New Roman"/>
                <w:bCs/>
                <w:szCs w:val="24"/>
                <w:lang w:eastAsia="ru-RU"/>
              </w:rPr>
              <w:t>Стандартиз. β</w:t>
            </w:r>
          </w:p>
        </w:tc>
        <w:tc>
          <w:tcPr>
            <w:tcW w:w="0" w:type="auto"/>
            <w:vAlign w:val="center"/>
            <w:hideMark/>
          </w:tcPr>
          <w:p w14:paraId="2F70FF63" w14:textId="77777777" w:rsidR="000C1190" w:rsidRPr="0052179A" w:rsidRDefault="000C1190" w:rsidP="002F33D0">
            <w:pPr>
              <w:ind w:firstLine="0"/>
              <w:jc w:val="center"/>
              <w:rPr>
                <w:rFonts w:eastAsia="Times New Roman"/>
                <w:bCs/>
                <w:szCs w:val="24"/>
                <w:lang w:eastAsia="ru-RU"/>
              </w:rPr>
            </w:pPr>
            <w:r w:rsidRPr="0052179A">
              <w:rPr>
                <w:rFonts w:eastAsia="Times New Roman"/>
                <w:bCs/>
                <w:szCs w:val="24"/>
                <w:lang w:eastAsia="ru-RU"/>
              </w:rPr>
              <w:t>p-значение</w:t>
            </w:r>
          </w:p>
        </w:tc>
        <w:tc>
          <w:tcPr>
            <w:tcW w:w="0" w:type="auto"/>
            <w:vAlign w:val="center"/>
            <w:hideMark/>
          </w:tcPr>
          <w:p w14:paraId="1D024DB6" w14:textId="77777777" w:rsidR="000C1190" w:rsidRPr="0052179A" w:rsidRDefault="000C1190" w:rsidP="002F33D0">
            <w:pPr>
              <w:ind w:firstLine="0"/>
              <w:jc w:val="center"/>
              <w:rPr>
                <w:rFonts w:eastAsia="Times New Roman"/>
                <w:bCs/>
                <w:szCs w:val="24"/>
                <w:lang w:eastAsia="ru-RU"/>
              </w:rPr>
            </w:pPr>
            <w:r w:rsidRPr="0052179A">
              <w:rPr>
                <w:rFonts w:eastAsia="Times New Roman"/>
                <w:bCs/>
                <w:szCs w:val="24"/>
                <w:lang w:eastAsia="ru-RU"/>
              </w:rPr>
              <w:t>Значимость</w:t>
            </w:r>
          </w:p>
        </w:tc>
      </w:tr>
      <w:tr w:rsidR="000C1190" w:rsidRPr="0052179A" w14:paraId="6E2572E6" w14:textId="77777777" w:rsidTr="003F0E8F">
        <w:tc>
          <w:tcPr>
            <w:tcW w:w="2697" w:type="dxa"/>
          </w:tcPr>
          <w:p w14:paraId="56C7860D" w14:textId="77777777" w:rsidR="000C1190" w:rsidRPr="0052179A" w:rsidRDefault="000C1190" w:rsidP="002F33D0">
            <w:pPr>
              <w:ind w:firstLine="0"/>
              <w:jc w:val="both"/>
              <w:rPr>
                <w:rFonts w:eastAsia="Times New Roman"/>
                <w:szCs w:val="24"/>
                <w:lang w:eastAsia="ru-RU"/>
              </w:rPr>
            </w:pPr>
            <w:r w:rsidRPr="0052179A">
              <w:rPr>
                <w:rFonts w:eastAsia="Times New Roman"/>
                <w:szCs w:val="24"/>
                <w:lang w:eastAsia="ru-RU"/>
              </w:rPr>
              <w:t>Навыки программирования и робототехники</w:t>
            </w:r>
          </w:p>
        </w:tc>
        <w:tc>
          <w:tcPr>
            <w:tcW w:w="2244" w:type="dxa"/>
            <w:hideMark/>
          </w:tcPr>
          <w:p w14:paraId="3F6E7BE9" w14:textId="77777777" w:rsidR="000C1190" w:rsidRPr="0052179A" w:rsidRDefault="000C1190" w:rsidP="002F33D0">
            <w:pPr>
              <w:ind w:firstLine="0"/>
              <w:jc w:val="both"/>
              <w:rPr>
                <w:rFonts w:eastAsia="Times New Roman"/>
                <w:szCs w:val="24"/>
                <w:lang w:eastAsia="ru-RU"/>
              </w:rPr>
            </w:pPr>
            <w:r w:rsidRPr="0052179A">
              <w:rPr>
                <w:rFonts w:eastAsia="Times New Roman"/>
                <w:szCs w:val="24"/>
                <w:lang w:eastAsia="ru-RU"/>
              </w:rPr>
              <w:t>skill_hard_robotics</w:t>
            </w:r>
          </w:p>
        </w:tc>
        <w:tc>
          <w:tcPr>
            <w:tcW w:w="0" w:type="auto"/>
            <w:hideMark/>
          </w:tcPr>
          <w:p w14:paraId="0C9475A9" w14:textId="71376837" w:rsidR="000C1190" w:rsidRPr="0052179A" w:rsidRDefault="000C1190" w:rsidP="002B4A03">
            <w:pPr>
              <w:ind w:firstLine="0"/>
              <w:jc w:val="center"/>
              <w:rPr>
                <w:rFonts w:eastAsia="Times New Roman"/>
                <w:szCs w:val="24"/>
                <w:lang w:eastAsia="ru-RU"/>
              </w:rPr>
            </w:pPr>
            <w:r w:rsidRPr="0052179A">
              <w:rPr>
                <w:rFonts w:eastAsia="Times New Roman"/>
                <w:szCs w:val="24"/>
                <w:lang w:eastAsia="ru-RU"/>
              </w:rPr>
              <w:t>0</w:t>
            </w:r>
            <w:r w:rsidR="0052179A">
              <w:rPr>
                <w:rFonts w:eastAsia="Times New Roman"/>
                <w:szCs w:val="24"/>
                <w:lang w:val="kk-KZ" w:eastAsia="ru-RU"/>
              </w:rPr>
              <w:t>,</w:t>
            </w:r>
            <w:r w:rsidRPr="0052179A">
              <w:rPr>
                <w:rFonts w:eastAsia="Times New Roman"/>
                <w:szCs w:val="24"/>
                <w:lang w:eastAsia="ru-RU"/>
              </w:rPr>
              <w:t>378</w:t>
            </w:r>
          </w:p>
        </w:tc>
        <w:tc>
          <w:tcPr>
            <w:tcW w:w="0" w:type="auto"/>
            <w:hideMark/>
          </w:tcPr>
          <w:p w14:paraId="367289F8" w14:textId="482380FB" w:rsidR="000C1190" w:rsidRPr="0052179A" w:rsidRDefault="000C1190" w:rsidP="002B4A03">
            <w:pPr>
              <w:ind w:firstLine="0"/>
              <w:jc w:val="center"/>
              <w:rPr>
                <w:rFonts w:eastAsia="Times New Roman"/>
                <w:szCs w:val="24"/>
                <w:lang w:eastAsia="ru-RU"/>
              </w:rPr>
            </w:pPr>
            <w:r w:rsidRPr="0052179A">
              <w:rPr>
                <w:rFonts w:eastAsia="Times New Roman"/>
                <w:szCs w:val="24"/>
                <w:lang w:eastAsia="ru-RU"/>
              </w:rPr>
              <w:t>0</w:t>
            </w:r>
            <w:r w:rsidR="0052179A">
              <w:rPr>
                <w:rFonts w:eastAsia="Times New Roman"/>
                <w:szCs w:val="24"/>
                <w:lang w:val="kk-KZ" w:eastAsia="ru-RU"/>
              </w:rPr>
              <w:t>,</w:t>
            </w:r>
            <w:r w:rsidRPr="0052179A">
              <w:rPr>
                <w:rFonts w:eastAsia="Times New Roman"/>
                <w:szCs w:val="24"/>
                <w:lang w:eastAsia="ru-RU"/>
              </w:rPr>
              <w:t>008</w:t>
            </w:r>
          </w:p>
        </w:tc>
        <w:tc>
          <w:tcPr>
            <w:tcW w:w="0" w:type="auto"/>
            <w:hideMark/>
          </w:tcPr>
          <w:p w14:paraId="6323C410" w14:textId="77777777" w:rsidR="000C1190" w:rsidRPr="0052179A" w:rsidRDefault="000C1190" w:rsidP="002B4A03">
            <w:pPr>
              <w:ind w:firstLine="0"/>
              <w:jc w:val="center"/>
              <w:rPr>
                <w:rFonts w:eastAsia="Times New Roman"/>
                <w:szCs w:val="24"/>
                <w:lang w:eastAsia="ru-RU"/>
              </w:rPr>
            </w:pPr>
            <w:r w:rsidRPr="0052179A">
              <w:rPr>
                <w:rFonts w:ascii="Segoe UI Symbol" w:eastAsia="Times New Roman" w:hAnsi="Segoe UI Symbol" w:cs="Segoe UI Symbol"/>
                <w:b/>
                <w:bCs/>
                <w:szCs w:val="24"/>
                <w:lang w:eastAsia="ru-RU"/>
              </w:rPr>
              <w:t>✔</w:t>
            </w:r>
          </w:p>
        </w:tc>
      </w:tr>
      <w:tr w:rsidR="000C1190" w:rsidRPr="0052179A" w14:paraId="36668203" w14:textId="77777777" w:rsidTr="003F0E8F">
        <w:tc>
          <w:tcPr>
            <w:tcW w:w="2697" w:type="dxa"/>
          </w:tcPr>
          <w:p w14:paraId="2DB5E0A2" w14:textId="77777777" w:rsidR="000C1190" w:rsidRPr="0052179A" w:rsidRDefault="000C1190" w:rsidP="002F33D0">
            <w:pPr>
              <w:ind w:firstLine="0"/>
              <w:jc w:val="both"/>
              <w:rPr>
                <w:rFonts w:eastAsia="Times New Roman"/>
                <w:szCs w:val="24"/>
                <w:lang w:eastAsia="ru-RU"/>
              </w:rPr>
            </w:pPr>
            <w:r w:rsidRPr="0052179A">
              <w:rPr>
                <w:rFonts w:eastAsia="Times New Roman"/>
                <w:szCs w:val="24"/>
                <w:lang w:eastAsia="ru-RU"/>
              </w:rPr>
              <w:t>Устойчивое мышление (ориентация на устойчивое развитие)</w:t>
            </w:r>
          </w:p>
        </w:tc>
        <w:tc>
          <w:tcPr>
            <w:tcW w:w="2244" w:type="dxa"/>
            <w:hideMark/>
          </w:tcPr>
          <w:p w14:paraId="35778317" w14:textId="77777777" w:rsidR="000C1190" w:rsidRPr="0052179A" w:rsidRDefault="000C1190" w:rsidP="002F33D0">
            <w:pPr>
              <w:ind w:firstLine="0"/>
              <w:jc w:val="both"/>
              <w:rPr>
                <w:rFonts w:eastAsia="Times New Roman"/>
                <w:szCs w:val="24"/>
                <w:lang w:eastAsia="ru-RU"/>
              </w:rPr>
            </w:pPr>
            <w:r w:rsidRPr="0052179A">
              <w:rPr>
                <w:rFonts w:eastAsia="Times New Roman"/>
                <w:szCs w:val="24"/>
                <w:lang w:eastAsia="ru-RU"/>
              </w:rPr>
              <w:t>skill_soft_sustainability</w:t>
            </w:r>
          </w:p>
        </w:tc>
        <w:tc>
          <w:tcPr>
            <w:tcW w:w="0" w:type="auto"/>
            <w:hideMark/>
          </w:tcPr>
          <w:p w14:paraId="44ECD3D6" w14:textId="324E0B5E" w:rsidR="000C1190" w:rsidRPr="0052179A" w:rsidRDefault="000C1190" w:rsidP="002B4A03">
            <w:pPr>
              <w:ind w:firstLine="0"/>
              <w:jc w:val="center"/>
              <w:rPr>
                <w:rFonts w:eastAsia="Times New Roman"/>
                <w:szCs w:val="24"/>
                <w:lang w:eastAsia="ru-RU"/>
              </w:rPr>
            </w:pPr>
            <w:r w:rsidRPr="0052179A">
              <w:rPr>
                <w:rFonts w:eastAsia="Times New Roman"/>
                <w:szCs w:val="24"/>
                <w:lang w:eastAsia="ru-RU"/>
              </w:rPr>
              <w:t>0</w:t>
            </w:r>
            <w:r w:rsidR="0052179A">
              <w:rPr>
                <w:rFonts w:eastAsia="Times New Roman"/>
                <w:szCs w:val="24"/>
                <w:lang w:val="kk-KZ" w:eastAsia="ru-RU"/>
              </w:rPr>
              <w:t>,</w:t>
            </w:r>
            <w:r w:rsidRPr="0052179A">
              <w:rPr>
                <w:rFonts w:eastAsia="Times New Roman"/>
                <w:szCs w:val="24"/>
                <w:lang w:eastAsia="ru-RU"/>
              </w:rPr>
              <w:t>287</w:t>
            </w:r>
          </w:p>
        </w:tc>
        <w:tc>
          <w:tcPr>
            <w:tcW w:w="0" w:type="auto"/>
            <w:hideMark/>
          </w:tcPr>
          <w:p w14:paraId="4C878159" w14:textId="101F5CC0" w:rsidR="000C1190" w:rsidRPr="0052179A" w:rsidRDefault="000C1190" w:rsidP="002B4A03">
            <w:pPr>
              <w:ind w:firstLine="0"/>
              <w:jc w:val="center"/>
              <w:rPr>
                <w:rFonts w:eastAsia="Times New Roman"/>
                <w:szCs w:val="24"/>
                <w:lang w:eastAsia="ru-RU"/>
              </w:rPr>
            </w:pPr>
            <w:r w:rsidRPr="0052179A">
              <w:rPr>
                <w:rFonts w:eastAsia="Times New Roman"/>
                <w:szCs w:val="24"/>
                <w:lang w:eastAsia="ru-RU"/>
              </w:rPr>
              <w:t>0</w:t>
            </w:r>
            <w:r w:rsidR="0052179A">
              <w:rPr>
                <w:rFonts w:eastAsia="Times New Roman"/>
                <w:szCs w:val="24"/>
                <w:lang w:val="kk-KZ" w:eastAsia="ru-RU"/>
              </w:rPr>
              <w:t>,</w:t>
            </w:r>
            <w:r w:rsidRPr="0052179A">
              <w:rPr>
                <w:rFonts w:eastAsia="Times New Roman"/>
                <w:szCs w:val="24"/>
                <w:lang w:eastAsia="ru-RU"/>
              </w:rPr>
              <w:t>035</w:t>
            </w:r>
          </w:p>
        </w:tc>
        <w:tc>
          <w:tcPr>
            <w:tcW w:w="0" w:type="auto"/>
            <w:hideMark/>
          </w:tcPr>
          <w:p w14:paraId="057A0D8D" w14:textId="77777777" w:rsidR="000C1190" w:rsidRPr="0052179A" w:rsidRDefault="000C1190" w:rsidP="002B4A03">
            <w:pPr>
              <w:ind w:firstLine="0"/>
              <w:jc w:val="center"/>
              <w:rPr>
                <w:rFonts w:eastAsia="Times New Roman"/>
                <w:szCs w:val="24"/>
                <w:lang w:eastAsia="ru-RU"/>
              </w:rPr>
            </w:pPr>
            <w:r w:rsidRPr="0052179A">
              <w:rPr>
                <w:rFonts w:ascii="Segoe UI Symbol" w:eastAsia="Times New Roman" w:hAnsi="Segoe UI Symbol" w:cs="Segoe UI Symbol"/>
                <w:b/>
                <w:bCs/>
                <w:szCs w:val="24"/>
                <w:lang w:eastAsia="ru-RU"/>
              </w:rPr>
              <w:t>✔</w:t>
            </w:r>
          </w:p>
        </w:tc>
      </w:tr>
      <w:tr w:rsidR="000C1190" w:rsidRPr="0052179A" w14:paraId="105236A2" w14:textId="77777777" w:rsidTr="003F0E8F">
        <w:tc>
          <w:tcPr>
            <w:tcW w:w="2697" w:type="dxa"/>
          </w:tcPr>
          <w:p w14:paraId="159671E0" w14:textId="77777777" w:rsidR="000C1190" w:rsidRPr="0052179A" w:rsidRDefault="000C1190" w:rsidP="002F33D0">
            <w:pPr>
              <w:ind w:firstLine="0"/>
              <w:jc w:val="both"/>
              <w:rPr>
                <w:szCs w:val="24"/>
              </w:rPr>
            </w:pPr>
            <w:r w:rsidRPr="0052179A">
              <w:rPr>
                <w:szCs w:val="24"/>
              </w:rPr>
              <w:t>Навыки работы с большими данными</w:t>
            </w:r>
          </w:p>
        </w:tc>
        <w:tc>
          <w:tcPr>
            <w:tcW w:w="2244" w:type="dxa"/>
            <w:hideMark/>
          </w:tcPr>
          <w:p w14:paraId="479B6E79" w14:textId="77777777" w:rsidR="000C1190" w:rsidRPr="0052179A" w:rsidRDefault="000C1190" w:rsidP="002F33D0">
            <w:pPr>
              <w:ind w:firstLine="0"/>
              <w:jc w:val="both"/>
              <w:rPr>
                <w:szCs w:val="24"/>
              </w:rPr>
            </w:pPr>
            <w:r w:rsidRPr="0052179A">
              <w:rPr>
                <w:szCs w:val="24"/>
              </w:rPr>
              <w:t>skill_hard_bigdata</w:t>
            </w:r>
          </w:p>
        </w:tc>
        <w:tc>
          <w:tcPr>
            <w:tcW w:w="0" w:type="auto"/>
            <w:hideMark/>
          </w:tcPr>
          <w:p w14:paraId="30E9F877" w14:textId="0C9C8C2A" w:rsidR="000C1190" w:rsidRPr="0052179A" w:rsidRDefault="000C1190" w:rsidP="002B4A03">
            <w:pPr>
              <w:ind w:firstLine="0"/>
              <w:jc w:val="center"/>
              <w:rPr>
                <w:rFonts w:eastAsia="Times New Roman"/>
                <w:szCs w:val="24"/>
                <w:lang w:eastAsia="ru-RU"/>
              </w:rPr>
            </w:pPr>
            <w:r w:rsidRPr="0052179A">
              <w:rPr>
                <w:rFonts w:eastAsia="Times New Roman"/>
                <w:szCs w:val="24"/>
                <w:lang w:eastAsia="ru-RU"/>
              </w:rPr>
              <w:t>0</w:t>
            </w:r>
            <w:r w:rsidR="0052179A">
              <w:rPr>
                <w:rFonts w:eastAsia="Times New Roman"/>
                <w:szCs w:val="24"/>
                <w:lang w:val="kk-KZ" w:eastAsia="ru-RU"/>
              </w:rPr>
              <w:t>,</w:t>
            </w:r>
            <w:r w:rsidRPr="0052179A">
              <w:rPr>
                <w:rFonts w:eastAsia="Times New Roman"/>
                <w:szCs w:val="24"/>
                <w:lang w:eastAsia="ru-RU"/>
              </w:rPr>
              <w:t>337</w:t>
            </w:r>
          </w:p>
        </w:tc>
        <w:tc>
          <w:tcPr>
            <w:tcW w:w="0" w:type="auto"/>
            <w:hideMark/>
          </w:tcPr>
          <w:p w14:paraId="1AEDC546" w14:textId="0C5F0FBE" w:rsidR="000C1190" w:rsidRPr="0052179A" w:rsidRDefault="000C1190" w:rsidP="002B4A03">
            <w:pPr>
              <w:ind w:firstLine="0"/>
              <w:jc w:val="center"/>
              <w:rPr>
                <w:rFonts w:eastAsia="Times New Roman"/>
                <w:szCs w:val="24"/>
                <w:lang w:eastAsia="ru-RU"/>
              </w:rPr>
            </w:pPr>
            <w:r w:rsidRPr="0052179A">
              <w:rPr>
                <w:rFonts w:eastAsia="Times New Roman"/>
                <w:szCs w:val="24"/>
                <w:lang w:eastAsia="ru-RU"/>
              </w:rPr>
              <w:t>0</w:t>
            </w:r>
            <w:r w:rsidR="0052179A">
              <w:rPr>
                <w:rFonts w:eastAsia="Times New Roman"/>
                <w:szCs w:val="24"/>
                <w:lang w:val="kk-KZ" w:eastAsia="ru-RU"/>
              </w:rPr>
              <w:t>,</w:t>
            </w:r>
            <w:r w:rsidRPr="0052179A">
              <w:rPr>
                <w:rFonts w:eastAsia="Times New Roman"/>
                <w:szCs w:val="24"/>
                <w:lang w:eastAsia="ru-RU"/>
              </w:rPr>
              <w:t>034</w:t>
            </w:r>
          </w:p>
        </w:tc>
        <w:tc>
          <w:tcPr>
            <w:tcW w:w="0" w:type="auto"/>
            <w:hideMark/>
          </w:tcPr>
          <w:p w14:paraId="2EB5D251" w14:textId="77777777" w:rsidR="000C1190" w:rsidRPr="0052179A" w:rsidRDefault="000C1190" w:rsidP="002B4A03">
            <w:pPr>
              <w:ind w:firstLine="0"/>
              <w:jc w:val="center"/>
              <w:rPr>
                <w:rFonts w:eastAsia="Times New Roman"/>
                <w:szCs w:val="24"/>
                <w:lang w:eastAsia="ru-RU"/>
              </w:rPr>
            </w:pPr>
            <w:r w:rsidRPr="0052179A">
              <w:rPr>
                <w:rFonts w:ascii="Segoe UI Symbol" w:eastAsia="Times New Roman" w:hAnsi="Segoe UI Symbol" w:cs="Segoe UI Symbol"/>
                <w:b/>
                <w:bCs/>
                <w:szCs w:val="24"/>
                <w:lang w:eastAsia="ru-RU"/>
              </w:rPr>
              <w:t>✔</w:t>
            </w:r>
          </w:p>
        </w:tc>
      </w:tr>
      <w:tr w:rsidR="000C1190" w:rsidRPr="0052179A" w14:paraId="1818A9FC" w14:textId="77777777" w:rsidTr="003F0E8F">
        <w:tc>
          <w:tcPr>
            <w:tcW w:w="2697" w:type="dxa"/>
          </w:tcPr>
          <w:p w14:paraId="3D06AA16" w14:textId="77777777" w:rsidR="000C1190" w:rsidRPr="0052179A" w:rsidRDefault="000C1190" w:rsidP="002F33D0">
            <w:pPr>
              <w:ind w:firstLine="0"/>
              <w:jc w:val="both"/>
              <w:rPr>
                <w:szCs w:val="24"/>
              </w:rPr>
            </w:pPr>
            <w:r w:rsidRPr="0052179A">
              <w:rPr>
                <w:szCs w:val="24"/>
              </w:rPr>
              <w:t>Навыки кибербезопасности</w:t>
            </w:r>
          </w:p>
        </w:tc>
        <w:tc>
          <w:tcPr>
            <w:tcW w:w="2244" w:type="dxa"/>
            <w:hideMark/>
          </w:tcPr>
          <w:p w14:paraId="43B7E18A" w14:textId="77777777" w:rsidR="000C1190" w:rsidRPr="0052179A" w:rsidRDefault="000C1190" w:rsidP="002F33D0">
            <w:pPr>
              <w:ind w:firstLine="0"/>
              <w:jc w:val="both"/>
              <w:rPr>
                <w:rFonts w:eastAsia="Times New Roman"/>
                <w:szCs w:val="24"/>
                <w:lang w:eastAsia="ru-RU"/>
              </w:rPr>
            </w:pPr>
            <w:r w:rsidRPr="0052179A">
              <w:rPr>
                <w:szCs w:val="24"/>
              </w:rPr>
              <w:t>skill_hard_cybersecurity</w:t>
            </w:r>
          </w:p>
        </w:tc>
        <w:tc>
          <w:tcPr>
            <w:tcW w:w="0" w:type="auto"/>
            <w:hideMark/>
          </w:tcPr>
          <w:p w14:paraId="005432EB" w14:textId="352AAAD5" w:rsidR="000C1190" w:rsidRPr="0052179A" w:rsidRDefault="000C1190" w:rsidP="002B4A03">
            <w:pPr>
              <w:ind w:firstLine="0"/>
              <w:jc w:val="center"/>
              <w:rPr>
                <w:rFonts w:eastAsia="Times New Roman"/>
                <w:szCs w:val="24"/>
                <w:lang w:eastAsia="ru-RU"/>
              </w:rPr>
            </w:pPr>
            <w:r w:rsidRPr="0052179A">
              <w:rPr>
                <w:rFonts w:eastAsia="Times New Roman"/>
                <w:szCs w:val="24"/>
                <w:lang w:eastAsia="ru-RU"/>
              </w:rPr>
              <w:t>0</w:t>
            </w:r>
            <w:r w:rsidR="0052179A">
              <w:rPr>
                <w:rFonts w:eastAsia="Times New Roman"/>
                <w:szCs w:val="24"/>
                <w:lang w:val="kk-KZ" w:eastAsia="ru-RU"/>
              </w:rPr>
              <w:t>,</w:t>
            </w:r>
            <w:r w:rsidRPr="0052179A">
              <w:rPr>
                <w:rFonts w:eastAsia="Times New Roman"/>
                <w:szCs w:val="24"/>
                <w:lang w:eastAsia="ru-RU"/>
              </w:rPr>
              <w:t>252</w:t>
            </w:r>
          </w:p>
        </w:tc>
        <w:tc>
          <w:tcPr>
            <w:tcW w:w="0" w:type="auto"/>
            <w:hideMark/>
          </w:tcPr>
          <w:p w14:paraId="3932154C" w14:textId="6BFCDC3B" w:rsidR="000C1190" w:rsidRPr="0052179A" w:rsidRDefault="000C1190" w:rsidP="002B4A03">
            <w:pPr>
              <w:ind w:firstLine="0"/>
              <w:jc w:val="center"/>
              <w:rPr>
                <w:rFonts w:eastAsia="Times New Roman"/>
                <w:szCs w:val="24"/>
                <w:lang w:eastAsia="ru-RU"/>
              </w:rPr>
            </w:pPr>
            <w:r w:rsidRPr="0052179A">
              <w:rPr>
                <w:rFonts w:eastAsia="Times New Roman"/>
                <w:szCs w:val="24"/>
                <w:lang w:eastAsia="ru-RU"/>
              </w:rPr>
              <w:t>0</w:t>
            </w:r>
            <w:r w:rsidR="0052179A">
              <w:rPr>
                <w:rFonts w:eastAsia="Times New Roman"/>
                <w:szCs w:val="24"/>
                <w:lang w:val="kk-KZ" w:eastAsia="ru-RU"/>
              </w:rPr>
              <w:t>,</w:t>
            </w:r>
            <w:r w:rsidRPr="0052179A">
              <w:rPr>
                <w:rFonts w:eastAsia="Times New Roman"/>
                <w:szCs w:val="24"/>
                <w:lang w:eastAsia="ru-RU"/>
              </w:rPr>
              <w:t>063</w:t>
            </w:r>
          </w:p>
        </w:tc>
        <w:tc>
          <w:tcPr>
            <w:tcW w:w="0" w:type="auto"/>
            <w:hideMark/>
          </w:tcPr>
          <w:p w14:paraId="5167D9BB" w14:textId="77777777" w:rsidR="000C1190" w:rsidRPr="0052179A" w:rsidRDefault="000C1190" w:rsidP="002B4A03">
            <w:pPr>
              <w:ind w:firstLine="0"/>
              <w:jc w:val="center"/>
              <w:rPr>
                <w:rFonts w:eastAsia="Times New Roman"/>
                <w:szCs w:val="24"/>
                <w:lang w:eastAsia="ru-RU"/>
              </w:rPr>
            </w:pPr>
            <w:r w:rsidRPr="0052179A">
              <w:rPr>
                <w:rFonts w:eastAsia="Times New Roman"/>
                <w:szCs w:val="24"/>
                <w:lang w:eastAsia="ru-RU"/>
              </w:rPr>
              <w:t>(•)</w:t>
            </w:r>
          </w:p>
        </w:tc>
      </w:tr>
      <w:tr w:rsidR="000C1190" w:rsidRPr="0052179A" w14:paraId="3C0B15C8" w14:textId="77777777" w:rsidTr="003F0E8F">
        <w:tc>
          <w:tcPr>
            <w:tcW w:w="4941" w:type="dxa"/>
            <w:gridSpan w:val="2"/>
          </w:tcPr>
          <w:p w14:paraId="053DF43A" w14:textId="77777777" w:rsidR="000C1190" w:rsidRPr="0052179A" w:rsidRDefault="000C1190" w:rsidP="002F33D0">
            <w:pPr>
              <w:ind w:firstLine="0"/>
              <w:jc w:val="both"/>
              <w:rPr>
                <w:rFonts w:eastAsia="Times New Roman"/>
                <w:szCs w:val="24"/>
                <w:lang w:eastAsia="ru-RU"/>
              </w:rPr>
            </w:pPr>
            <w:r w:rsidRPr="0052179A">
              <w:rPr>
                <w:rFonts w:eastAsia="Times New Roman"/>
                <w:szCs w:val="24"/>
                <w:lang w:eastAsia="ru-RU"/>
              </w:rPr>
              <w:t>Остальные soft- и hard-компетенции</w:t>
            </w:r>
          </w:p>
        </w:tc>
        <w:tc>
          <w:tcPr>
            <w:tcW w:w="0" w:type="auto"/>
            <w:hideMark/>
          </w:tcPr>
          <w:p w14:paraId="34CF1A15" w14:textId="320CF87E" w:rsidR="000C1190" w:rsidRPr="0052179A" w:rsidRDefault="000C1190" w:rsidP="002B4A03">
            <w:pPr>
              <w:ind w:firstLine="0"/>
              <w:jc w:val="center"/>
              <w:rPr>
                <w:rFonts w:eastAsia="Times New Roman"/>
                <w:szCs w:val="24"/>
                <w:lang w:eastAsia="ru-RU"/>
              </w:rPr>
            </w:pPr>
            <w:r w:rsidRPr="0052179A">
              <w:rPr>
                <w:rFonts w:eastAsia="Times New Roman"/>
                <w:szCs w:val="24"/>
                <w:lang w:eastAsia="ru-RU"/>
              </w:rPr>
              <w:t>0</w:t>
            </w:r>
            <w:r w:rsidR="0052179A">
              <w:rPr>
                <w:rFonts w:eastAsia="Times New Roman"/>
                <w:szCs w:val="24"/>
                <w:lang w:val="kk-KZ" w:eastAsia="ru-RU"/>
              </w:rPr>
              <w:t>,</w:t>
            </w:r>
            <w:r w:rsidRPr="0052179A">
              <w:rPr>
                <w:rFonts w:eastAsia="Times New Roman"/>
                <w:szCs w:val="24"/>
                <w:lang w:eastAsia="ru-RU"/>
              </w:rPr>
              <w:t>07–0</w:t>
            </w:r>
            <w:r w:rsidR="0052179A">
              <w:rPr>
                <w:rFonts w:eastAsia="Times New Roman"/>
                <w:szCs w:val="24"/>
                <w:lang w:val="kk-KZ" w:eastAsia="ru-RU"/>
              </w:rPr>
              <w:t>,</w:t>
            </w:r>
            <w:r w:rsidRPr="0052179A">
              <w:rPr>
                <w:rFonts w:eastAsia="Times New Roman"/>
                <w:szCs w:val="24"/>
                <w:lang w:eastAsia="ru-RU"/>
              </w:rPr>
              <w:t>21</w:t>
            </w:r>
          </w:p>
        </w:tc>
        <w:tc>
          <w:tcPr>
            <w:tcW w:w="0" w:type="auto"/>
            <w:hideMark/>
          </w:tcPr>
          <w:p w14:paraId="08285646" w14:textId="415DBC70" w:rsidR="000C1190" w:rsidRPr="0052179A" w:rsidRDefault="000C1190" w:rsidP="002B4A03">
            <w:pPr>
              <w:ind w:firstLine="0"/>
              <w:jc w:val="center"/>
              <w:rPr>
                <w:rFonts w:eastAsia="Times New Roman"/>
                <w:szCs w:val="24"/>
                <w:lang w:eastAsia="ru-RU"/>
              </w:rPr>
            </w:pPr>
            <w:r w:rsidRPr="0052179A">
              <w:rPr>
                <w:rFonts w:eastAsia="Times New Roman"/>
                <w:szCs w:val="24"/>
                <w:lang w:eastAsia="ru-RU"/>
              </w:rPr>
              <w:t>&gt; 0</w:t>
            </w:r>
            <w:r w:rsidR="0052179A">
              <w:rPr>
                <w:rFonts w:eastAsia="Times New Roman"/>
                <w:szCs w:val="24"/>
                <w:lang w:val="kk-KZ" w:eastAsia="ru-RU"/>
              </w:rPr>
              <w:t>,</w:t>
            </w:r>
            <w:r w:rsidRPr="0052179A">
              <w:rPr>
                <w:rFonts w:eastAsia="Times New Roman"/>
                <w:szCs w:val="24"/>
                <w:lang w:eastAsia="ru-RU"/>
              </w:rPr>
              <w:t>1</w:t>
            </w:r>
          </w:p>
        </w:tc>
        <w:tc>
          <w:tcPr>
            <w:tcW w:w="0" w:type="auto"/>
            <w:hideMark/>
          </w:tcPr>
          <w:p w14:paraId="0E826937" w14:textId="77777777" w:rsidR="000C1190" w:rsidRPr="0052179A" w:rsidRDefault="000C1190" w:rsidP="002B4A03">
            <w:pPr>
              <w:ind w:firstLine="0"/>
              <w:jc w:val="center"/>
              <w:rPr>
                <w:rFonts w:eastAsia="Times New Roman"/>
                <w:szCs w:val="24"/>
                <w:lang w:eastAsia="ru-RU"/>
              </w:rPr>
            </w:pPr>
            <w:r w:rsidRPr="0052179A">
              <w:rPr>
                <w:rFonts w:ascii="Segoe UI Symbol" w:eastAsia="Times New Roman" w:hAnsi="Segoe UI Symbol" w:cs="Segoe UI Symbol"/>
                <w:szCs w:val="24"/>
                <w:lang w:eastAsia="ru-RU"/>
              </w:rPr>
              <w:t>✘</w:t>
            </w:r>
          </w:p>
        </w:tc>
      </w:tr>
      <w:tr w:rsidR="000C1190" w:rsidRPr="0052179A" w14:paraId="050B512B" w14:textId="77777777" w:rsidTr="003F0E8F">
        <w:tc>
          <w:tcPr>
            <w:tcW w:w="4941" w:type="dxa"/>
            <w:gridSpan w:val="2"/>
          </w:tcPr>
          <w:p w14:paraId="104F7958" w14:textId="77777777" w:rsidR="000C1190" w:rsidRPr="0052179A" w:rsidRDefault="000C1190" w:rsidP="002F33D0">
            <w:pPr>
              <w:ind w:firstLine="0"/>
              <w:jc w:val="both"/>
              <w:rPr>
                <w:rFonts w:eastAsia="Times New Roman"/>
                <w:szCs w:val="24"/>
                <w:lang w:eastAsia="ru-RU"/>
              </w:rPr>
            </w:pPr>
            <w:r w:rsidRPr="0052179A">
              <w:rPr>
                <w:rFonts w:eastAsia="Times New Roman"/>
                <w:szCs w:val="24"/>
                <w:lang w:eastAsia="ru-RU"/>
              </w:rPr>
              <w:t>Все HR-практики</w:t>
            </w:r>
          </w:p>
        </w:tc>
        <w:tc>
          <w:tcPr>
            <w:tcW w:w="0" w:type="auto"/>
            <w:hideMark/>
          </w:tcPr>
          <w:p w14:paraId="53EED6B8" w14:textId="4859694F" w:rsidR="000C1190" w:rsidRPr="0052179A" w:rsidRDefault="000C1190" w:rsidP="002B4A03">
            <w:pPr>
              <w:ind w:firstLine="0"/>
              <w:jc w:val="center"/>
              <w:rPr>
                <w:rFonts w:eastAsia="Times New Roman"/>
                <w:szCs w:val="24"/>
                <w:lang w:eastAsia="ru-RU"/>
              </w:rPr>
            </w:pPr>
            <w:r w:rsidRPr="0052179A">
              <w:rPr>
                <w:rFonts w:eastAsia="Times New Roman"/>
                <w:szCs w:val="24"/>
                <w:lang w:eastAsia="ru-RU"/>
              </w:rPr>
              <w:t>&lt; 0</w:t>
            </w:r>
            <w:r w:rsidR="0052179A">
              <w:rPr>
                <w:rFonts w:eastAsia="Times New Roman"/>
                <w:szCs w:val="24"/>
                <w:lang w:val="kk-KZ" w:eastAsia="ru-RU"/>
              </w:rPr>
              <w:t>,</w:t>
            </w:r>
            <w:r w:rsidRPr="0052179A">
              <w:rPr>
                <w:rFonts w:eastAsia="Times New Roman"/>
                <w:szCs w:val="24"/>
                <w:lang w:eastAsia="ru-RU"/>
              </w:rPr>
              <w:t>2</w:t>
            </w:r>
          </w:p>
        </w:tc>
        <w:tc>
          <w:tcPr>
            <w:tcW w:w="0" w:type="auto"/>
            <w:hideMark/>
          </w:tcPr>
          <w:p w14:paraId="0CB04210" w14:textId="11380B6F" w:rsidR="000C1190" w:rsidRPr="0052179A" w:rsidRDefault="000C1190" w:rsidP="002B4A03">
            <w:pPr>
              <w:ind w:firstLine="0"/>
              <w:jc w:val="center"/>
              <w:rPr>
                <w:rFonts w:eastAsia="Times New Roman"/>
                <w:szCs w:val="24"/>
                <w:lang w:eastAsia="ru-RU"/>
              </w:rPr>
            </w:pPr>
            <w:r w:rsidRPr="0052179A">
              <w:rPr>
                <w:rFonts w:eastAsia="Times New Roman"/>
                <w:szCs w:val="24"/>
                <w:lang w:eastAsia="ru-RU"/>
              </w:rPr>
              <w:t>&gt; 0</w:t>
            </w:r>
            <w:r w:rsidR="0052179A">
              <w:rPr>
                <w:rFonts w:eastAsia="Times New Roman"/>
                <w:szCs w:val="24"/>
                <w:lang w:val="kk-KZ" w:eastAsia="ru-RU"/>
              </w:rPr>
              <w:t>,</w:t>
            </w:r>
            <w:r w:rsidRPr="0052179A">
              <w:rPr>
                <w:rFonts w:eastAsia="Times New Roman"/>
                <w:szCs w:val="24"/>
                <w:lang w:eastAsia="ru-RU"/>
              </w:rPr>
              <w:t>2</w:t>
            </w:r>
          </w:p>
        </w:tc>
        <w:tc>
          <w:tcPr>
            <w:tcW w:w="0" w:type="auto"/>
            <w:hideMark/>
          </w:tcPr>
          <w:p w14:paraId="60E324E5" w14:textId="77777777" w:rsidR="000C1190" w:rsidRPr="0052179A" w:rsidRDefault="000C1190" w:rsidP="002B4A03">
            <w:pPr>
              <w:ind w:firstLine="0"/>
              <w:jc w:val="center"/>
              <w:rPr>
                <w:rFonts w:eastAsia="Times New Roman"/>
                <w:szCs w:val="24"/>
                <w:lang w:eastAsia="ru-RU"/>
              </w:rPr>
            </w:pPr>
            <w:r w:rsidRPr="0052179A">
              <w:rPr>
                <w:rFonts w:ascii="Segoe UI Symbol" w:eastAsia="Times New Roman" w:hAnsi="Segoe UI Symbol" w:cs="Segoe UI Symbol"/>
                <w:szCs w:val="24"/>
                <w:lang w:eastAsia="ru-RU"/>
              </w:rPr>
              <w:t>✘</w:t>
            </w:r>
          </w:p>
        </w:tc>
      </w:tr>
      <w:tr w:rsidR="000C1190" w:rsidRPr="0052179A" w14:paraId="06BA0BB3" w14:textId="77777777" w:rsidTr="000C1190">
        <w:tc>
          <w:tcPr>
            <w:tcW w:w="9345" w:type="dxa"/>
            <w:gridSpan w:val="5"/>
          </w:tcPr>
          <w:p w14:paraId="1E358849" w14:textId="5E189D31" w:rsidR="000C1190" w:rsidRPr="00EE311D" w:rsidRDefault="002B4A03" w:rsidP="00EE311D">
            <w:pPr>
              <w:ind w:firstLine="595"/>
              <w:jc w:val="both"/>
              <w:rPr>
                <w:rFonts w:eastAsia="Times New Roman"/>
                <w:szCs w:val="24"/>
                <w:lang w:eastAsia="ru-RU"/>
              </w:rPr>
            </w:pPr>
            <w:r w:rsidRPr="00EE311D">
              <w:rPr>
                <w:szCs w:val="24"/>
              </w:rPr>
              <w:t>Примечание</w:t>
            </w:r>
            <w:r w:rsidRPr="00EE311D">
              <w:rPr>
                <w:szCs w:val="24"/>
                <w:lang w:val="kk-KZ"/>
              </w:rPr>
              <w:t xml:space="preserve"> – </w:t>
            </w:r>
            <w:r w:rsidR="000F3C80" w:rsidRPr="00EE311D">
              <w:rPr>
                <w:szCs w:val="24"/>
                <w:lang w:val="kk-KZ"/>
              </w:rPr>
              <w:t>З</w:t>
            </w:r>
            <w:r w:rsidR="000C1190" w:rsidRPr="00EE311D">
              <w:rPr>
                <w:szCs w:val="24"/>
              </w:rPr>
              <w:t xml:space="preserve">начимость указана как </w:t>
            </w:r>
            <w:r w:rsidR="000C1190" w:rsidRPr="00EE311D">
              <w:rPr>
                <w:rStyle w:val="af1"/>
                <w:rFonts w:ascii="Segoe UI Symbol" w:hAnsi="Segoe UI Symbol" w:cs="Segoe UI Symbol"/>
                <w:szCs w:val="24"/>
              </w:rPr>
              <w:t>✔</w:t>
            </w:r>
            <w:r w:rsidR="000C1190" w:rsidRPr="00EE311D">
              <w:rPr>
                <w:szCs w:val="24"/>
              </w:rPr>
              <w:t xml:space="preserve"> </w:t>
            </w:r>
            <w:r w:rsidR="009D20AE" w:rsidRPr="00EE311D">
              <w:rPr>
                <w:szCs w:val="24"/>
              </w:rPr>
              <w:t>–</w:t>
            </w:r>
            <w:r w:rsidR="000C1190" w:rsidRPr="00EE311D">
              <w:rPr>
                <w:szCs w:val="24"/>
              </w:rPr>
              <w:t xml:space="preserve"> значимо (p &lt; 0</w:t>
            </w:r>
            <w:r w:rsidR="0052179A" w:rsidRPr="00EE311D">
              <w:rPr>
                <w:szCs w:val="24"/>
                <w:lang w:val="kk-KZ"/>
              </w:rPr>
              <w:t>,</w:t>
            </w:r>
            <w:r w:rsidR="000C1190" w:rsidRPr="00EE311D">
              <w:rPr>
                <w:szCs w:val="24"/>
              </w:rPr>
              <w:t xml:space="preserve">05), (•) </w:t>
            </w:r>
            <w:r w:rsidR="009D20AE" w:rsidRPr="00EE311D">
              <w:rPr>
                <w:szCs w:val="24"/>
              </w:rPr>
              <w:t>–</w:t>
            </w:r>
            <w:r w:rsidR="000C1190" w:rsidRPr="00EE311D">
              <w:rPr>
                <w:szCs w:val="24"/>
              </w:rPr>
              <w:t xml:space="preserve"> погранично значимо (p &lt; 0</w:t>
            </w:r>
            <w:r w:rsidR="0052179A" w:rsidRPr="00EE311D">
              <w:rPr>
                <w:szCs w:val="24"/>
                <w:lang w:val="kk-KZ"/>
              </w:rPr>
              <w:t>,</w:t>
            </w:r>
            <w:r w:rsidR="000C1190" w:rsidRPr="00EE311D">
              <w:rPr>
                <w:szCs w:val="24"/>
              </w:rPr>
              <w:t xml:space="preserve">1), </w:t>
            </w:r>
            <w:r w:rsidR="000C1190" w:rsidRPr="00EE311D">
              <w:rPr>
                <w:rFonts w:ascii="Segoe UI Symbol" w:hAnsi="Segoe UI Symbol" w:cs="Segoe UI Symbol"/>
                <w:szCs w:val="24"/>
              </w:rPr>
              <w:t>✘</w:t>
            </w:r>
            <w:r w:rsidR="000C1190" w:rsidRPr="00EE311D">
              <w:rPr>
                <w:szCs w:val="24"/>
              </w:rPr>
              <w:t xml:space="preserve"> </w:t>
            </w:r>
            <w:r w:rsidR="009D20AE" w:rsidRPr="00EE311D">
              <w:rPr>
                <w:szCs w:val="24"/>
              </w:rPr>
              <w:t>–</w:t>
            </w:r>
            <w:r w:rsidR="000C1190" w:rsidRPr="00EE311D">
              <w:rPr>
                <w:szCs w:val="24"/>
              </w:rPr>
              <w:t xml:space="preserve"> незначимо.</w:t>
            </w:r>
          </w:p>
        </w:tc>
      </w:tr>
    </w:tbl>
    <w:p w14:paraId="2A5F87D4" w14:textId="77777777" w:rsidR="000C1190" w:rsidRPr="000C1190" w:rsidRDefault="000C1190" w:rsidP="002F33D0">
      <w:pPr>
        <w:spacing w:after="0" w:line="240" w:lineRule="auto"/>
        <w:ind w:firstLine="567"/>
        <w:jc w:val="both"/>
        <w:rPr>
          <w:rFonts w:ascii="Times New Roman" w:hAnsi="Times New Roman" w:cs="Times New Roman"/>
          <w:sz w:val="28"/>
          <w:szCs w:val="28"/>
        </w:rPr>
      </w:pPr>
    </w:p>
    <w:p w14:paraId="242A95AC" w14:textId="437172AF" w:rsidR="003F0E8F" w:rsidRDefault="003F0E8F" w:rsidP="002F33D0">
      <w:pPr>
        <w:spacing w:after="0" w:line="240" w:lineRule="auto"/>
        <w:ind w:firstLine="567"/>
        <w:jc w:val="both"/>
        <w:rPr>
          <w:rFonts w:ascii="Times New Roman" w:hAnsi="Times New Roman" w:cs="Times New Roman"/>
          <w:sz w:val="28"/>
          <w:szCs w:val="28"/>
        </w:rPr>
      </w:pPr>
      <w:r w:rsidRPr="003F0E8F">
        <w:rPr>
          <w:rFonts w:ascii="Times New Roman" w:hAnsi="Times New Roman" w:cs="Times New Roman"/>
          <w:sz w:val="28"/>
          <w:szCs w:val="28"/>
        </w:rPr>
        <w:lastRenderedPageBreak/>
        <w:t>Полученные данные свидетельствуют о том, что наибольшее значение в данном сегменте имеют технологические hard-компетенции, связанные с цифровыми и инженерными решениями, а также ориентация на устойчивое развитие как элемент корпоративной культуры, что указывает на определяющую роль сочетания цифрово-инженерных навыков и экологического мышления в формировании инновационной способности крупных предприятий, при одновременной необходимости дальнейшего развития управленческих и институциональных компонентов.</w:t>
      </w:r>
    </w:p>
    <w:p w14:paraId="2DEA9387" w14:textId="27773B4C" w:rsid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rPr>
        <w:t>Модель</w:t>
      </w:r>
      <w:r w:rsidR="002B4A03">
        <w:rPr>
          <w:rFonts w:ascii="Times New Roman" w:hAnsi="Times New Roman" w:cs="Times New Roman"/>
          <w:sz w:val="28"/>
          <w:szCs w:val="28"/>
          <w:lang w:val="kk-KZ"/>
        </w:rPr>
        <w:t xml:space="preserve"> (5</w:t>
      </w:r>
      <w:r w:rsidR="0052179A">
        <w:rPr>
          <w:rFonts w:ascii="Times New Roman" w:hAnsi="Times New Roman" w:cs="Times New Roman"/>
          <w:sz w:val="28"/>
          <w:szCs w:val="28"/>
          <w:lang w:val="kk-KZ"/>
        </w:rPr>
        <w:t>)</w:t>
      </w:r>
      <w:r w:rsidRPr="000C1190">
        <w:rPr>
          <w:rFonts w:ascii="Times New Roman" w:hAnsi="Times New Roman" w:cs="Times New Roman"/>
          <w:sz w:val="28"/>
          <w:szCs w:val="28"/>
        </w:rPr>
        <w:t xml:space="preserve"> описывается в виде уравнения регрессии, где значимыми предикторами являются робототехника</w:t>
      </w:r>
      <w:r w:rsidR="002B4A03">
        <w:rPr>
          <w:rFonts w:ascii="Times New Roman" w:hAnsi="Times New Roman" w:cs="Times New Roman"/>
          <w:sz w:val="28"/>
          <w:szCs w:val="28"/>
          <w:lang w:val="kk-KZ"/>
        </w:rPr>
        <w:t xml:space="preserve"> (</w:t>
      </w:r>
      <m:oMath>
        <m:r>
          <w:rPr>
            <w:rFonts w:ascii="Cambria Math" w:hAnsi="Cambria Math"/>
            <w:sz w:val="28"/>
            <w:szCs w:val="28"/>
            <w:lang w:val="kk-KZ"/>
          </w:rPr>
          <m:t>robotics</m:t>
        </m:r>
      </m:oMath>
      <w:r w:rsidR="002B4A03">
        <w:rPr>
          <w:rFonts w:ascii="Times New Roman" w:eastAsiaTheme="minorEastAsia" w:hAnsi="Times New Roman" w:cs="Times New Roman"/>
          <w:sz w:val="28"/>
          <w:szCs w:val="28"/>
          <w:lang w:val="kk-KZ"/>
        </w:rPr>
        <w:t>)</w:t>
      </w:r>
      <w:r w:rsidRPr="000C1190">
        <w:rPr>
          <w:rFonts w:ascii="Times New Roman" w:hAnsi="Times New Roman" w:cs="Times New Roman"/>
          <w:sz w:val="28"/>
          <w:szCs w:val="28"/>
        </w:rPr>
        <w:t>, устойчивое мышление</w:t>
      </w:r>
      <w:r w:rsidR="002B4A03">
        <w:rPr>
          <w:rFonts w:ascii="Times New Roman" w:hAnsi="Times New Roman" w:cs="Times New Roman"/>
          <w:sz w:val="28"/>
          <w:szCs w:val="28"/>
          <w:lang w:val="kk-KZ"/>
        </w:rPr>
        <w:t xml:space="preserve"> (</w:t>
      </w:r>
      <m:oMath>
        <m:r>
          <w:rPr>
            <w:rFonts w:ascii="Cambria Math" w:hAnsi="Cambria Math"/>
            <w:sz w:val="28"/>
            <w:szCs w:val="28"/>
            <w:lang w:val="kk-KZ"/>
          </w:rPr>
          <m:t>sustainability</m:t>
        </m:r>
      </m:oMath>
      <w:r w:rsidR="002B4A03">
        <w:rPr>
          <w:rFonts w:ascii="Times New Roman" w:eastAsiaTheme="minorEastAsia" w:hAnsi="Times New Roman" w:cs="Times New Roman"/>
          <w:sz w:val="28"/>
          <w:szCs w:val="28"/>
          <w:lang w:val="kk-KZ"/>
        </w:rPr>
        <w:t>)</w:t>
      </w:r>
      <w:r w:rsidRPr="000C1190">
        <w:rPr>
          <w:rFonts w:ascii="Times New Roman" w:hAnsi="Times New Roman" w:cs="Times New Roman"/>
          <w:sz w:val="28"/>
          <w:szCs w:val="28"/>
        </w:rPr>
        <w:t>, работа с большими данными</w:t>
      </w:r>
      <w:r w:rsidR="002B4A03">
        <w:rPr>
          <w:rFonts w:ascii="Times New Roman" w:hAnsi="Times New Roman" w:cs="Times New Roman"/>
          <w:sz w:val="28"/>
          <w:szCs w:val="28"/>
          <w:lang w:val="kk-KZ"/>
        </w:rPr>
        <w:t xml:space="preserve"> (</w:t>
      </w:r>
      <m:oMath>
        <m:r>
          <w:rPr>
            <w:rFonts w:ascii="Cambria Math" w:hAnsi="Cambria Math"/>
            <w:sz w:val="28"/>
            <w:szCs w:val="28"/>
            <w:lang w:val="kk-KZ"/>
          </w:rPr>
          <m:t>bigdata</m:t>
        </m:r>
      </m:oMath>
      <w:r w:rsidR="002B4A03">
        <w:rPr>
          <w:rFonts w:ascii="Times New Roman" w:eastAsiaTheme="minorEastAsia" w:hAnsi="Times New Roman" w:cs="Times New Roman"/>
          <w:sz w:val="28"/>
          <w:szCs w:val="28"/>
          <w:lang w:val="kk-KZ"/>
        </w:rPr>
        <w:t>)</w:t>
      </w:r>
      <w:r w:rsidRPr="000C1190">
        <w:rPr>
          <w:rFonts w:ascii="Times New Roman" w:hAnsi="Times New Roman" w:cs="Times New Roman"/>
          <w:sz w:val="28"/>
          <w:szCs w:val="28"/>
          <w:lang w:val="kk-KZ"/>
        </w:rPr>
        <w:t>.</w:t>
      </w:r>
    </w:p>
    <w:p w14:paraId="5EFD5562" w14:textId="3BA6647D" w:rsidR="003F0889" w:rsidRDefault="003F0889" w:rsidP="002F33D0">
      <w:pPr>
        <w:spacing w:after="0" w:line="240" w:lineRule="auto"/>
        <w:ind w:firstLine="567"/>
        <w:jc w:val="both"/>
        <w:rPr>
          <w:rFonts w:ascii="Times New Roman" w:hAnsi="Times New Roman" w:cs="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5"/>
        <w:gridCol w:w="560"/>
      </w:tblGrid>
      <w:tr w:rsidR="003F0889" w14:paraId="3985A997" w14:textId="77777777" w:rsidTr="003F0889">
        <w:tc>
          <w:tcPr>
            <w:tcW w:w="9067" w:type="dxa"/>
          </w:tcPr>
          <w:p w14:paraId="1EF2C5DF" w14:textId="77777777" w:rsidR="003F0889" w:rsidRPr="00951DC8" w:rsidRDefault="001D4931" w:rsidP="002F33D0">
            <w:pPr>
              <w:tabs>
                <w:tab w:val="left" w:pos="993"/>
              </w:tabs>
              <w:jc w:val="center"/>
              <w:rPr>
                <w:rFonts w:eastAsiaTheme="minorEastAsia"/>
                <w:sz w:val="28"/>
                <w:szCs w:val="28"/>
                <w:lang w:val="kk-KZ"/>
              </w:rPr>
            </w:pPr>
            <m:oMathPara>
              <m:oMath>
                <m:sSub>
                  <m:sSubPr>
                    <m:ctrlPr>
                      <w:rPr>
                        <w:rFonts w:ascii="Cambria Math" w:hAnsi="Cambria Math"/>
                        <w:i/>
                        <w:sz w:val="28"/>
                        <w:szCs w:val="28"/>
                        <w:lang w:val="kk-KZ"/>
                      </w:rPr>
                    </m:ctrlPr>
                  </m:sSubPr>
                  <m:e>
                    <m:r>
                      <w:rPr>
                        <w:rFonts w:ascii="Cambria Math" w:hAnsi="Cambria Math"/>
                        <w:sz w:val="28"/>
                        <w:szCs w:val="28"/>
                        <w:lang w:val="kk-KZ"/>
                      </w:rPr>
                      <m:t>IP</m:t>
                    </m:r>
                  </m:e>
                  <m:sub>
                    <m:r>
                      <w:rPr>
                        <w:rFonts w:ascii="Cambria Math" w:hAnsi="Cambria Math"/>
                        <w:sz w:val="28"/>
                        <w:szCs w:val="28"/>
                        <w:lang w:val="kk-KZ"/>
                      </w:rPr>
                      <m:t>крупн.</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β</m:t>
                    </m:r>
                  </m:e>
                  <m:sub>
                    <m:r>
                      <w:rPr>
                        <w:rFonts w:ascii="Cambria Math" w:hAnsi="Cambria Math"/>
                        <w:sz w:val="28"/>
                        <w:szCs w:val="28"/>
                        <w:lang w:val="kk-KZ"/>
                      </w:rPr>
                      <m:t>0</m:t>
                    </m:r>
                  </m:sub>
                </m:sSub>
                <m:r>
                  <w:rPr>
                    <w:rFonts w:ascii="Cambria Math" w:hAnsi="Cambria Math"/>
                    <w:sz w:val="28"/>
                    <w:szCs w:val="28"/>
                    <w:lang w:val="kk-KZ"/>
                  </w:rPr>
                  <m:t>+0,378∙robotics+0,287∙sustainability+</m:t>
                </m:r>
              </m:oMath>
            </m:oMathPara>
          </w:p>
          <w:p w14:paraId="6561FD77" w14:textId="55486045" w:rsidR="003F0889" w:rsidRPr="003F0889" w:rsidRDefault="003F0889" w:rsidP="002F33D0">
            <w:pPr>
              <w:tabs>
                <w:tab w:val="left" w:pos="993"/>
              </w:tabs>
              <w:jc w:val="center"/>
              <w:rPr>
                <w:rFonts w:eastAsiaTheme="minorEastAsia"/>
                <w:sz w:val="28"/>
                <w:szCs w:val="28"/>
                <w:lang w:val="kk-KZ"/>
              </w:rPr>
            </w:pPr>
            <m:oMathPara>
              <m:oMath>
                <m:r>
                  <w:rPr>
                    <w:rFonts w:ascii="Cambria Math" w:hAnsi="Cambria Math"/>
                    <w:sz w:val="28"/>
                    <w:szCs w:val="28"/>
                    <w:lang w:val="kk-KZ"/>
                  </w:rPr>
                  <m:t>+0,337∙bigdata+ε</m:t>
                </m:r>
              </m:oMath>
            </m:oMathPara>
          </w:p>
        </w:tc>
        <w:tc>
          <w:tcPr>
            <w:tcW w:w="561" w:type="dxa"/>
            <w:vAlign w:val="center"/>
          </w:tcPr>
          <w:p w14:paraId="7B45A2DB" w14:textId="76A3BDC7" w:rsidR="003F0889" w:rsidRDefault="003F0889" w:rsidP="002F33D0">
            <w:pPr>
              <w:ind w:firstLine="0"/>
              <w:rPr>
                <w:sz w:val="28"/>
                <w:szCs w:val="28"/>
                <w:lang w:val="kk-KZ"/>
              </w:rPr>
            </w:pPr>
            <w:r>
              <w:rPr>
                <w:sz w:val="28"/>
                <w:szCs w:val="28"/>
                <w:lang w:val="kk-KZ"/>
              </w:rPr>
              <w:t>(5)</w:t>
            </w:r>
          </w:p>
        </w:tc>
      </w:tr>
    </w:tbl>
    <w:p w14:paraId="7969EECA" w14:textId="77777777" w:rsidR="003F0889" w:rsidRPr="000C1190" w:rsidRDefault="003F0889" w:rsidP="002F33D0">
      <w:pPr>
        <w:spacing w:after="0" w:line="240" w:lineRule="auto"/>
        <w:ind w:firstLine="567"/>
        <w:jc w:val="both"/>
        <w:rPr>
          <w:rFonts w:ascii="Times New Roman" w:hAnsi="Times New Roman" w:cs="Times New Roman"/>
          <w:sz w:val="28"/>
          <w:szCs w:val="28"/>
          <w:lang w:val="kk-KZ"/>
        </w:rPr>
      </w:pPr>
    </w:p>
    <w:p w14:paraId="00E56389" w14:textId="08A11354"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Для оценки факторов, определяющих уровень инновационного потенциала в сегменте средних предпринимательских структур, была построена линейная регрессионная модель, включающая ключевые soft- и hard-компетенции сотрудников, а также реализуемые HR-практики.</w:t>
      </w:r>
    </w:p>
    <w:p w14:paraId="7B2826B4" w14:textId="12CE2815"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Модель продемонстрировала высокую объяснительную способность (R</w:t>
      </w:r>
      <w:r w:rsidR="002B4A03" w:rsidRPr="002B4A03">
        <w:rPr>
          <w:rFonts w:ascii="Times New Roman" w:hAnsi="Times New Roman" w:cs="Times New Roman"/>
          <w:sz w:val="28"/>
          <w:szCs w:val="28"/>
          <w:vertAlign w:val="superscript"/>
          <w:lang w:val="kk-KZ"/>
        </w:rPr>
        <w:t>2</w:t>
      </w:r>
      <w:r w:rsidRPr="000C1190">
        <w:rPr>
          <w:rFonts w:ascii="Times New Roman" w:hAnsi="Times New Roman" w:cs="Times New Roman"/>
          <w:sz w:val="28"/>
          <w:szCs w:val="28"/>
        </w:rPr>
        <w:t xml:space="preserve"> = 0</w:t>
      </w:r>
      <w:r w:rsidR="003F0889">
        <w:rPr>
          <w:rFonts w:ascii="Times New Roman" w:hAnsi="Times New Roman" w:cs="Times New Roman"/>
          <w:sz w:val="28"/>
          <w:szCs w:val="28"/>
          <w:lang w:val="kk-KZ"/>
        </w:rPr>
        <w:t>,</w:t>
      </w:r>
      <w:r w:rsidRPr="000C1190">
        <w:rPr>
          <w:rFonts w:ascii="Times New Roman" w:hAnsi="Times New Roman" w:cs="Times New Roman"/>
          <w:sz w:val="28"/>
          <w:szCs w:val="28"/>
        </w:rPr>
        <w:t>595; Adj. R</w:t>
      </w:r>
      <w:r w:rsidR="002B4A03" w:rsidRPr="002B4A03">
        <w:rPr>
          <w:rFonts w:ascii="Times New Roman" w:hAnsi="Times New Roman" w:cs="Times New Roman"/>
          <w:sz w:val="28"/>
          <w:szCs w:val="28"/>
          <w:vertAlign w:val="superscript"/>
          <w:lang w:val="kk-KZ"/>
        </w:rPr>
        <w:t>2</w:t>
      </w:r>
      <w:r w:rsidRPr="000C1190">
        <w:rPr>
          <w:rFonts w:ascii="Times New Roman" w:hAnsi="Times New Roman" w:cs="Times New Roman"/>
          <w:sz w:val="28"/>
          <w:szCs w:val="28"/>
        </w:rPr>
        <w:t xml:space="preserve"> = 0</w:t>
      </w:r>
      <w:r w:rsidR="003F0889">
        <w:rPr>
          <w:rFonts w:ascii="Times New Roman" w:hAnsi="Times New Roman" w:cs="Times New Roman"/>
          <w:sz w:val="28"/>
          <w:szCs w:val="28"/>
          <w:lang w:val="kk-KZ"/>
        </w:rPr>
        <w:t>,</w:t>
      </w:r>
      <w:r w:rsidRPr="000C1190">
        <w:rPr>
          <w:rFonts w:ascii="Times New Roman" w:hAnsi="Times New Roman" w:cs="Times New Roman"/>
          <w:sz w:val="28"/>
          <w:szCs w:val="28"/>
        </w:rPr>
        <w:t xml:space="preserve">492; p </w:t>
      </w:r>
      <w:r w:rsidR="003F0889" w:rsidRPr="000C1190">
        <w:rPr>
          <w:rFonts w:ascii="Times New Roman" w:hAnsi="Times New Roman" w:cs="Times New Roman"/>
          <w:sz w:val="28"/>
          <w:szCs w:val="28"/>
        </w:rPr>
        <w:t>&lt;0,001</w:t>
      </w:r>
      <w:r w:rsidRPr="000C1190">
        <w:rPr>
          <w:rFonts w:ascii="Times New Roman" w:hAnsi="Times New Roman" w:cs="Times New Roman"/>
          <w:sz w:val="28"/>
          <w:szCs w:val="28"/>
        </w:rPr>
        <w:t>), что свид</w:t>
      </w:r>
      <w:r w:rsidR="003F0889">
        <w:rPr>
          <w:rFonts w:ascii="Times New Roman" w:hAnsi="Times New Roman" w:cs="Times New Roman"/>
          <w:sz w:val="28"/>
          <w:szCs w:val="28"/>
        </w:rPr>
        <w:t>етельствует о том, что почти 60</w:t>
      </w:r>
      <w:r w:rsidRPr="000C1190">
        <w:rPr>
          <w:rFonts w:ascii="Times New Roman" w:hAnsi="Times New Roman" w:cs="Times New Roman"/>
          <w:sz w:val="28"/>
          <w:szCs w:val="28"/>
        </w:rPr>
        <w:t>% вариации субъективной оценки инновационного потенциала объясняется включёнными в модель переменными.</w:t>
      </w:r>
    </w:p>
    <w:p w14:paraId="4E61C07A"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Наибольшее влияние на уровень инновационного потенциала оказали технические и межличностные компетенции, тогда как HR-практики вновь не показали статистической значимости.</w:t>
      </w:r>
    </w:p>
    <w:p w14:paraId="1721DBB8" w14:textId="46571B66"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К числу значимых предикторов (p </w:t>
      </w:r>
      <w:r w:rsidR="003F0889" w:rsidRPr="000C1190">
        <w:rPr>
          <w:rFonts w:ascii="Times New Roman" w:hAnsi="Times New Roman" w:cs="Times New Roman"/>
          <w:sz w:val="28"/>
          <w:szCs w:val="28"/>
        </w:rPr>
        <w:t>&lt;0</w:t>
      </w:r>
      <w:r w:rsidR="003F0889">
        <w:rPr>
          <w:rFonts w:ascii="Times New Roman" w:hAnsi="Times New Roman" w:cs="Times New Roman"/>
          <w:sz w:val="28"/>
          <w:szCs w:val="28"/>
          <w:lang w:val="kk-KZ"/>
        </w:rPr>
        <w:t>,</w:t>
      </w:r>
      <w:r w:rsidRPr="000C1190">
        <w:rPr>
          <w:rFonts w:ascii="Times New Roman" w:hAnsi="Times New Roman" w:cs="Times New Roman"/>
          <w:sz w:val="28"/>
          <w:szCs w:val="28"/>
        </w:rPr>
        <w:t>05) относятся:</w:t>
      </w:r>
    </w:p>
    <w:p w14:paraId="08F6DBB1" w14:textId="448784E2" w:rsidR="000C1190" w:rsidRPr="000C1190" w:rsidRDefault="002B4A03" w:rsidP="007F5E68">
      <w:pPr>
        <w:pStyle w:val="a3"/>
        <w:numPr>
          <w:ilvl w:val="0"/>
          <w:numId w:val="14"/>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kk-KZ"/>
        </w:rPr>
        <w:t>з</w:t>
      </w:r>
      <w:r w:rsidR="000C1190" w:rsidRPr="000C1190">
        <w:rPr>
          <w:rFonts w:ascii="Times New Roman" w:hAnsi="Times New Roman" w:cs="Times New Roman"/>
          <w:sz w:val="28"/>
          <w:szCs w:val="28"/>
        </w:rPr>
        <w:t>нание технологических трендов (β = 0</w:t>
      </w:r>
      <w:r w:rsidR="003F0889">
        <w:rPr>
          <w:rFonts w:ascii="Times New Roman" w:hAnsi="Times New Roman" w:cs="Times New Roman"/>
          <w:sz w:val="28"/>
          <w:szCs w:val="28"/>
          <w:lang w:val="kk-KZ"/>
        </w:rPr>
        <w:t>,</w:t>
      </w:r>
      <w:r w:rsidR="000C1190" w:rsidRPr="000C1190">
        <w:rPr>
          <w:rFonts w:ascii="Times New Roman" w:hAnsi="Times New Roman" w:cs="Times New Roman"/>
          <w:sz w:val="28"/>
          <w:szCs w:val="28"/>
        </w:rPr>
        <w:t xml:space="preserve">408; p </w:t>
      </w:r>
      <w:r w:rsidR="003F0889" w:rsidRPr="000C1190">
        <w:rPr>
          <w:rFonts w:ascii="Times New Roman" w:hAnsi="Times New Roman" w:cs="Times New Roman"/>
          <w:sz w:val="28"/>
          <w:szCs w:val="28"/>
        </w:rPr>
        <w:t>&lt;0,001</w:t>
      </w:r>
      <w:r w:rsidR="000C1190" w:rsidRPr="000C1190">
        <w:rPr>
          <w:rFonts w:ascii="Times New Roman" w:hAnsi="Times New Roman" w:cs="Times New Roman"/>
          <w:sz w:val="28"/>
          <w:szCs w:val="28"/>
        </w:rPr>
        <w:t>);</w:t>
      </w:r>
    </w:p>
    <w:p w14:paraId="0156D179" w14:textId="2F4C0D11" w:rsidR="000C1190" w:rsidRPr="000C1190" w:rsidRDefault="002B4A03" w:rsidP="007F5E68">
      <w:pPr>
        <w:pStyle w:val="a3"/>
        <w:numPr>
          <w:ilvl w:val="0"/>
          <w:numId w:val="14"/>
        </w:numPr>
        <w:tabs>
          <w:tab w:val="left" w:pos="851"/>
        </w:tabs>
        <w:spacing w:after="0" w:line="24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kk-KZ"/>
        </w:rPr>
        <w:t>к</w:t>
      </w:r>
      <w:r w:rsidR="000C1190" w:rsidRPr="000C1190">
        <w:rPr>
          <w:rFonts w:ascii="Times New Roman" w:hAnsi="Times New Roman" w:cs="Times New Roman"/>
          <w:sz w:val="28"/>
          <w:szCs w:val="28"/>
        </w:rPr>
        <w:t>реативность</w:t>
      </w:r>
      <w:r w:rsidR="000C1190" w:rsidRPr="000C1190">
        <w:rPr>
          <w:rFonts w:ascii="Times New Roman" w:hAnsi="Times New Roman" w:cs="Times New Roman"/>
          <w:sz w:val="28"/>
          <w:szCs w:val="28"/>
          <w:lang w:val="en-US"/>
        </w:rPr>
        <w:t xml:space="preserve"> (</w:t>
      </w:r>
      <w:r w:rsidR="000C1190" w:rsidRPr="000C1190">
        <w:rPr>
          <w:rFonts w:ascii="Times New Roman" w:hAnsi="Times New Roman" w:cs="Times New Roman"/>
          <w:sz w:val="28"/>
          <w:szCs w:val="28"/>
        </w:rPr>
        <w:t>β</w:t>
      </w:r>
      <w:r w:rsidR="000C1190" w:rsidRPr="000C1190">
        <w:rPr>
          <w:rFonts w:ascii="Times New Roman" w:hAnsi="Times New Roman" w:cs="Times New Roman"/>
          <w:sz w:val="28"/>
          <w:szCs w:val="28"/>
          <w:lang w:val="en-US"/>
        </w:rPr>
        <w:t xml:space="preserve"> = 0</w:t>
      </w:r>
      <w:r w:rsidR="003F0889">
        <w:rPr>
          <w:rFonts w:ascii="Times New Roman" w:hAnsi="Times New Roman" w:cs="Times New Roman"/>
          <w:sz w:val="28"/>
          <w:szCs w:val="28"/>
          <w:lang w:val="kk-KZ"/>
        </w:rPr>
        <w:t>,</w:t>
      </w:r>
      <w:r w:rsidR="000C1190" w:rsidRPr="000C1190">
        <w:rPr>
          <w:rFonts w:ascii="Times New Roman" w:hAnsi="Times New Roman" w:cs="Times New Roman"/>
          <w:sz w:val="28"/>
          <w:szCs w:val="28"/>
          <w:lang w:val="en-US"/>
        </w:rPr>
        <w:t>259; p = 0</w:t>
      </w:r>
      <w:r w:rsidR="003F0889">
        <w:rPr>
          <w:rFonts w:ascii="Times New Roman" w:hAnsi="Times New Roman" w:cs="Times New Roman"/>
          <w:sz w:val="28"/>
          <w:szCs w:val="28"/>
          <w:lang w:val="kk-KZ"/>
        </w:rPr>
        <w:t>,</w:t>
      </w:r>
      <w:r w:rsidR="000C1190" w:rsidRPr="000C1190">
        <w:rPr>
          <w:rFonts w:ascii="Times New Roman" w:hAnsi="Times New Roman" w:cs="Times New Roman"/>
          <w:sz w:val="28"/>
          <w:szCs w:val="28"/>
          <w:lang w:val="en-US"/>
        </w:rPr>
        <w:t>002);</w:t>
      </w:r>
    </w:p>
    <w:p w14:paraId="7AAEBCF6" w14:textId="0D8F8ADA" w:rsidR="000C1190" w:rsidRPr="000C1190" w:rsidRDefault="002B4A03" w:rsidP="007F5E68">
      <w:pPr>
        <w:pStyle w:val="a3"/>
        <w:numPr>
          <w:ilvl w:val="0"/>
          <w:numId w:val="14"/>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kk-KZ"/>
        </w:rPr>
        <w:t>к</w:t>
      </w:r>
      <w:r w:rsidR="000C1190" w:rsidRPr="000C1190">
        <w:rPr>
          <w:rFonts w:ascii="Times New Roman" w:hAnsi="Times New Roman" w:cs="Times New Roman"/>
          <w:sz w:val="28"/>
          <w:szCs w:val="28"/>
        </w:rPr>
        <w:t>омандная работа и коммуникации (β = 0</w:t>
      </w:r>
      <w:r w:rsidR="003F0889">
        <w:rPr>
          <w:rFonts w:ascii="Times New Roman" w:hAnsi="Times New Roman" w:cs="Times New Roman"/>
          <w:sz w:val="28"/>
          <w:szCs w:val="28"/>
          <w:lang w:val="kk-KZ"/>
        </w:rPr>
        <w:t>,</w:t>
      </w:r>
      <w:r w:rsidR="000C1190" w:rsidRPr="000C1190">
        <w:rPr>
          <w:rFonts w:ascii="Times New Roman" w:hAnsi="Times New Roman" w:cs="Times New Roman"/>
          <w:sz w:val="28"/>
          <w:szCs w:val="28"/>
        </w:rPr>
        <w:t>268; p = 0</w:t>
      </w:r>
      <w:r w:rsidR="003F0889">
        <w:rPr>
          <w:rFonts w:ascii="Times New Roman" w:hAnsi="Times New Roman" w:cs="Times New Roman"/>
          <w:sz w:val="28"/>
          <w:szCs w:val="28"/>
          <w:lang w:val="kk-KZ"/>
        </w:rPr>
        <w:t>,</w:t>
      </w:r>
      <w:r w:rsidR="000C1190" w:rsidRPr="000C1190">
        <w:rPr>
          <w:rFonts w:ascii="Times New Roman" w:hAnsi="Times New Roman" w:cs="Times New Roman"/>
          <w:sz w:val="28"/>
          <w:szCs w:val="28"/>
        </w:rPr>
        <w:t>001);</w:t>
      </w:r>
    </w:p>
    <w:p w14:paraId="1C941771" w14:textId="77D1A82F" w:rsidR="000C1190" w:rsidRPr="000C1190" w:rsidRDefault="002B4A03" w:rsidP="007F5E68">
      <w:pPr>
        <w:pStyle w:val="a3"/>
        <w:numPr>
          <w:ilvl w:val="0"/>
          <w:numId w:val="14"/>
        </w:numPr>
        <w:tabs>
          <w:tab w:val="left" w:pos="851"/>
        </w:tabs>
        <w:spacing w:after="0" w:line="24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kk-KZ"/>
        </w:rPr>
        <w:t>а</w:t>
      </w:r>
      <w:r w:rsidR="000C1190" w:rsidRPr="000C1190">
        <w:rPr>
          <w:rFonts w:ascii="Times New Roman" w:hAnsi="Times New Roman" w:cs="Times New Roman"/>
          <w:sz w:val="28"/>
          <w:szCs w:val="28"/>
        </w:rPr>
        <w:t>даптивность</w:t>
      </w:r>
      <w:r w:rsidR="000C1190" w:rsidRPr="000C1190">
        <w:rPr>
          <w:rFonts w:ascii="Times New Roman" w:hAnsi="Times New Roman" w:cs="Times New Roman"/>
          <w:sz w:val="28"/>
          <w:szCs w:val="28"/>
          <w:lang w:val="en-US"/>
        </w:rPr>
        <w:t xml:space="preserve"> (</w:t>
      </w:r>
      <w:r w:rsidR="000C1190" w:rsidRPr="000C1190">
        <w:rPr>
          <w:rFonts w:ascii="Times New Roman" w:hAnsi="Times New Roman" w:cs="Times New Roman"/>
          <w:sz w:val="28"/>
          <w:szCs w:val="28"/>
        </w:rPr>
        <w:t>β</w:t>
      </w:r>
      <w:r w:rsidR="000C1190" w:rsidRPr="000C1190">
        <w:rPr>
          <w:rFonts w:ascii="Times New Roman" w:hAnsi="Times New Roman" w:cs="Times New Roman"/>
          <w:sz w:val="28"/>
          <w:szCs w:val="28"/>
          <w:lang w:val="en-US"/>
        </w:rPr>
        <w:t xml:space="preserve"> = 0</w:t>
      </w:r>
      <w:r w:rsidR="003F0889">
        <w:rPr>
          <w:rFonts w:ascii="Times New Roman" w:hAnsi="Times New Roman" w:cs="Times New Roman"/>
          <w:sz w:val="28"/>
          <w:szCs w:val="28"/>
          <w:lang w:val="kk-KZ"/>
        </w:rPr>
        <w:t>,</w:t>
      </w:r>
      <w:r w:rsidR="000C1190" w:rsidRPr="000C1190">
        <w:rPr>
          <w:rFonts w:ascii="Times New Roman" w:hAnsi="Times New Roman" w:cs="Times New Roman"/>
          <w:sz w:val="28"/>
          <w:szCs w:val="28"/>
          <w:lang w:val="en-US"/>
        </w:rPr>
        <w:t>167; p = 0</w:t>
      </w:r>
      <w:r w:rsidR="003F0889">
        <w:rPr>
          <w:rFonts w:ascii="Times New Roman" w:hAnsi="Times New Roman" w:cs="Times New Roman"/>
          <w:sz w:val="28"/>
          <w:szCs w:val="28"/>
          <w:lang w:val="kk-KZ"/>
        </w:rPr>
        <w:t>,</w:t>
      </w:r>
      <w:r w:rsidR="000C1190" w:rsidRPr="000C1190">
        <w:rPr>
          <w:rFonts w:ascii="Times New Roman" w:hAnsi="Times New Roman" w:cs="Times New Roman"/>
          <w:sz w:val="28"/>
          <w:szCs w:val="28"/>
          <w:lang w:val="en-US"/>
        </w:rPr>
        <w:t>039);</w:t>
      </w:r>
    </w:p>
    <w:p w14:paraId="7854029E" w14:textId="3832A5E4" w:rsidR="000C1190" w:rsidRPr="000C1190" w:rsidRDefault="002B4A03" w:rsidP="007F5E68">
      <w:pPr>
        <w:pStyle w:val="a3"/>
        <w:numPr>
          <w:ilvl w:val="0"/>
          <w:numId w:val="14"/>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kk-KZ"/>
        </w:rPr>
        <w:t>н</w:t>
      </w:r>
      <w:r w:rsidR="000C1190" w:rsidRPr="000C1190">
        <w:rPr>
          <w:rFonts w:ascii="Times New Roman" w:hAnsi="Times New Roman" w:cs="Times New Roman"/>
          <w:sz w:val="28"/>
          <w:szCs w:val="28"/>
        </w:rPr>
        <w:t>авыки робототехники и программирования (β = 0</w:t>
      </w:r>
      <w:r w:rsidR="003F0889">
        <w:rPr>
          <w:rFonts w:ascii="Times New Roman" w:hAnsi="Times New Roman" w:cs="Times New Roman"/>
          <w:sz w:val="28"/>
          <w:szCs w:val="28"/>
          <w:lang w:val="kk-KZ"/>
        </w:rPr>
        <w:t>,</w:t>
      </w:r>
      <w:r w:rsidR="000C1190" w:rsidRPr="000C1190">
        <w:rPr>
          <w:rFonts w:ascii="Times New Roman" w:hAnsi="Times New Roman" w:cs="Times New Roman"/>
          <w:sz w:val="28"/>
          <w:szCs w:val="28"/>
        </w:rPr>
        <w:t>252; p = 0</w:t>
      </w:r>
      <w:r w:rsidR="003F0889">
        <w:rPr>
          <w:rFonts w:ascii="Times New Roman" w:hAnsi="Times New Roman" w:cs="Times New Roman"/>
          <w:sz w:val="28"/>
          <w:szCs w:val="28"/>
          <w:lang w:val="kk-KZ"/>
        </w:rPr>
        <w:t>,</w:t>
      </w:r>
      <w:r w:rsidR="000C1190" w:rsidRPr="000C1190">
        <w:rPr>
          <w:rFonts w:ascii="Times New Roman" w:hAnsi="Times New Roman" w:cs="Times New Roman"/>
          <w:sz w:val="28"/>
          <w:szCs w:val="28"/>
        </w:rPr>
        <w:t>002).</w:t>
      </w:r>
    </w:p>
    <w:p w14:paraId="49F56CEC" w14:textId="0D671102"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Близкие к уровню статистической значимости (0</w:t>
      </w:r>
      <w:r w:rsidR="003F0889">
        <w:rPr>
          <w:rFonts w:ascii="Times New Roman" w:hAnsi="Times New Roman" w:cs="Times New Roman"/>
          <w:sz w:val="28"/>
          <w:szCs w:val="28"/>
          <w:lang w:val="kk-KZ"/>
        </w:rPr>
        <w:t>,</w:t>
      </w:r>
      <w:r w:rsidR="002B4A03">
        <w:rPr>
          <w:rFonts w:ascii="Times New Roman" w:hAnsi="Times New Roman" w:cs="Times New Roman"/>
          <w:sz w:val="28"/>
          <w:szCs w:val="28"/>
        </w:rPr>
        <w:t>05</w:t>
      </w:r>
      <w:r w:rsidR="002B4A03" w:rsidRPr="000C1190">
        <w:rPr>
          <w:rFonts w:ascii="Times New Roman" w:hAnsi="Times New Roman" w:cs="Times New Roman"/>
          <w:sz w:val="28"/>
          <w:szCs w:val="28"/>
        </w:rPr>
        <w:t>&lt;p&lt;0</w:t>
      </w:r>
      <w:r w:rsidR="003F0889">
        <w:rPr>
          <w:rFonts w:ascii="Times New Roman" w:hAnsi="Times New Roman" w:cs="Times New Roman"/>
          <w:sz w:val="28"/>
          <w:szCs w:val="28"/>
          <w:lang w:val="kk-KZ"/>
        </w:rPr>
        <w:t>,</w:t>
      </w:r>
      <w:r w:rsidRPr="000C1190">
        <w:rPr>
          <w:rFonts w:ascii="Times New Roman" w:hAnsi="Times New Roman" w:cs="Times New Roman"/>
          <w:sz w:val="28"/>
          <w:szCs w:val="28"/>
        </w:rPr>
        <w:t>1) продемонстрировали:</w:t>
      </w:r>
    </w:p>
    <w:p w14:paraId="67606795" w14:textId="7656823E" w:rsidR="000C1190" w:rsidRPr="000C1190" w:rsidRDefault="002B4A03" w:rsidP="007F5E68">
      <w:pPr>
        <w:pStyle w:val="a3"/>
        <w:numPr>
          <w:ilvl w:val="0"/>
          <w:numId w:val="15"/>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kk-KZ"/>
        </w:rPr>
        <w:t>н</w:t>
      </w:r>
      <w:r w:rsidR="000C1190" w:rsidRPr="000C1190">
        <w:rPr>
          <w:rFonts w:ascii="Times New Roman" w:hAnsi="Times New Roman" w:cs="Times New Roman"/>
          <w:sz w:val="28"/>
          <w:szCs w:val="28"/>
        </w:rPr>
        <w:t>авыки работы с искусственным интеллектом и машинным обучением (p = 0</w:t>
      </w:r>
      <w:r w:rsidR="00457221">
        <w:rPr>
          <w:rFonts w:ascii="Times New Roman" w:hAnsi="Times New Roman" w:cs="Times New Roman"/>
          <w:sz w:val="28"/>
          <w:szCs w:val="28"/>
          <w:lang w:val="kk-KZ"/>
        </w:rPr>
        <w:t>,</w:t>
      </w:r>
      <w:r w:rsidR="000C1190" w:rsidRPr="000C1190">
        <w:rPr>
          <w:rFonts w:ascii="Times New Roman" w:hAnsi="Times New Roman" w:cs="Times New Roman"/>
          <w:sz w:val="28"/>
          <w:szCs w:val="28"/>
        </w:rPr>
        <w:t>053);</w:t>
      </w:r>
    </w:p>
    <w:p w14:paraId="7872B4C3" w14:textId="625D38D3" w:rsidR="000C1190" w:rsidRPr="000C1190" w:rsidRDefault="002B4A03" w:rsidP="007F5E68">
      <w:pPr>
        <w:pStyle w:val="a3"/>
        <w:numPr>
          <w:ilvl w:val="0"/>
          <w:numId w:val="15"/>
        </w:numPr>
        <w:tabs>
          <w:tab w:val="left" w:pos="851"/>
        </w:tabs>
        <w:spacing w:after="0" w:line="24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kk-KZ"/>
        </w:rPr>
        <w:t>у</w:t>
      </w:r>
      <w:r w:rsidR="000C1190" w:rsidRPr="000C1190">
        <w:rPr>
          <w:rFonts w:ascii="Times New Roman" w:hAnsi="Times New Roman" w:cs="Times New Roman"/>
          <w:sz w:val="28"/>
          <w:szCs w:val="28"/>
        </w:rPr>
        <w:t>стойчивое</w:t>
      </w:r>
      <w:r w:rsidR="000C1190" w:rsidRPr="000C1190">
        <w:rPr>
          <w:rFonts w:ascii="Times New Roman" w:hAnsi="Times New Roman" w:cs="Times New Roman"/>
          <w:sz w:val="28"/>
          <w:szCs w:val="28"/>
          <w:lang w:val="en-US"/>
        </w:rPr>
        <w:t xml:space="preserve"> </w:t>
      </w:r>
      <w:r w:rsidR="000C1190" w:rsidRPr="000C1190">
        <w:rPr>
          <w:rFonts w:ascii="Times New Roman" w:hAnsi="Times New Roman" w:cs="Times New Roman"/>
          <w:sz w:val="28"/>
          <w:szCs w:val="28"/>
        </w:rPr>
        <w:t>мышление</w:t>
      </w:r>
      <w:r w:rsidR="000C1190" w:rsidRPr="000C1190">
        <w:rPr>
          <w:rFonts w:ascii="Times New Roman" w:hAnsi="Times New Roman" w:cs="Times New Roman"/>
          <w:sz w:val="28"/>
          <w:szCs w:val="28"/>
          <w:lang w:val="en-US"/>
        </w:rPr>
        <w:t xml:space="preserve"> (p = 0</w:t>
      </w:r>
      <w:r w:rsidR="00457221">
        <w:rPr>
          <w:rFonts w:ascii="Times New Roman" w:hAnsi="Times New Roman" w:cs="Times New Roman"/>
          <w:sz w:val="28"/>
          <w:szCs w:val="28"/>
          <w:lang w:val="kk-KZ"/>
        </w:rPr>
        <w:t>,</w:t>
      </w:r>
      <w:r w:rsidR="000C1190" w:rsidRPr="000C1190">
        <w:rPr>
          <w:rFonts w:ascii="Times New Roman" w:hAnsi="Times New Roman" w:cs="Times New Roman"/>
          <w:sz w:val="28"/>
          <w:szCs w:val="28"/>
          <w:lang w:val="en-US"/>
        </w:rPr>
        <w:t>072);</w:t>
      </w:r>
    </w:p>
    <w:p w14:paraId="638DA3C9" w14:textId="21D24B37" w:rsidR="000C1190" w:rsidRPr="000C1190" w:rsidRDefault="002B4A03" w:rsidP="007F5E68">
      <w:pPr>
        <w:pStyle w:val="a3"/>
        <w:numPr>
          <w:ilvl w:val="0"/>
          <w:numId w:val="15"/>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kk-KZ"/>
        </w:rPr>
        <w:t>з</w:t>
      </w:r>
      <w:r w:rsidR="000C1190" w:rsidRPr="000C1190">
        <w:rPr>
          <w:rFonts w:ascii="Times New Roman" w:hAnsi="Times New Roman" w:cs="Times New Roman"/>
          <w:sz w:val="28"/>
          <w:szCs w:val="28"/>
        </w:rPr>
        <w:t>нания в области биотехнологий (p = 0</w:t>
      </w:r>
      <w:r w:rsidR="00457221">
        <w:rPr>
          <w:rFonts w:ascii="Times New Roman" w:hAnsi="Times New Roman" w:cs="Times New Roman"/>
          <w:sz w:val="28"/>
          <w:szCs w:val="28"/>
          <w:lang w:val="kk-KZ"/>
        </w:rPr>
        <w:t>,</w:t>
      </w:r>
      <w:r w:rsidR="000C1190" w:rsidRPr="000C1190">
        <w:rPr>
          <w:rFonts w:ascii="Times New Roman" w:hAnsi="Times New Roman" w:cs="Times New Roman"/>
          <w:sz w:val="28"/>
          <w:szCs w:val="28"/>
        </w:rPr>
        <w:t>079);</w:t>
      </w:r>
    </w:p>
    <w:p w14:paraId="4BD1351A" w14:textId="0024810F" w:rsidR="000C1190" w:rsidRPr="000C1190" w:rsidRDefault="000C1190" w:rsidP="007F5E68">
      <w:pPr>
        <w:pStyle w:val="a3"/>
        <w:numPr>
          <w:ilvl w:val="0"/>
          <w:numId w:val="15"/>
        </w:numPr>
        <w:tabs>
          <w:tab w:val="left" w:pos="851"/>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HR-практика наличие экспертов по искусственному интеллекту (p = 0</w:t>
      </w:r>
      <w:r w:rsidR="00457221">
        <w:rPr>
          <w:rFonts w:ascii="Times New Roman" w:hAnsi="Times New Roman" w:cs="Times New Roman"/>
          <w:sz w:val="28"/>
          <w:szCs w:val="28"/>
          <w:lang w:val="kk-KZ"/>
        </w:rPr>
        <w:t>,</w:t>
      </w:r>
      <w:r w:rsidRPr="000C1190">
        <w:rPr>
          <w:rFonts w:ascii="Times New Roman" w:hAnsi="Times New Roman" w:cs="Times New Roman"/>
          <w:sz w:val="28"/>
          <w:szCs w:val="28"/>
        </w:rPr>
        <w:t xml:space="preserve">068)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единственная из HR-факторов, показавшая пограничную значимость.</w:t>
      </w:r>
    </w:p>
    <w:p w14:paraId="33EF138B"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Проверка статистических предпосылок подтвердила корректность модели:</w:t>
      </w:r>
    </w:p>
    <w:p w14:paraId="75CD80F4" w14:textId="1FB914A5" w:rsidR="000C1190" w:rsidRPr="000C1190" w:rsidRDefault="000C1190" w:rsidP="007F5E68">
      <w:pPr>
        <w:pStyle w:val="a3"/>
        <w:numPr>
          <w:ilvl w:val="0"/>
          <w:numId w:val="16"/>
        </w:numPr>
        <w:tabs>
          <w:tab w:val="left" w:pos="851"/>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тест Шапиро–Уилка (p = 0</w:t>
      </w:r>
      <w:r w:rsidR="00457221">
        <w:rPr>
          <w:rFonts w:ascii="Times New Roman" w:hAnsi="Times New Roman" w:cs="Times New Roman"/>
          <w:sz w:val="28"/>
          <w:szCs w:val="28"/>
          <w:lang w:val="kk-KZ"/>
        </w:rPr>
        <w:t>,</w:t>
      </w:r>
      <w:r w:rsidRPr="000C1190">
        <w:rPr>
          <w:rFonts w:ascii="Times New Roman" w:hAnsi="Times New Roman" w:cs="Times New Roman"/>
          <w:sz w:val="28"/>
          <w:szCs w:val="28"/>
        </w:rPr>
        <w:t>114) подтвердил нормальность остатков;</w:t>
      </w:r>
    </w:p>
    <w:p w14:paraId="67D8F917" w14:textId="4EBB6F3D" w:rsidR="000C1190" w:rsidRPr="000C1190" w:rsidRDefault="000C1190" w:rsidP="007F5E68">
      <w:pPr>
        <w:pStyle w:val="a3"/>
        <w:numPr>
          <w:ilvl w:val="0"/>
          <w:numId w:val="16"/>
        </w:numPr>
        <w:tabs>
          <w:tab w:val="left" w:pos="851"/>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мультиколлинеарность отсутствует (все VIF </w:t>
      </w:r>
      <w:r w:rsidR="00457221" w:rsidRPr="000C1190">
        <w:rPr>
          <w:rFonts w:ascii="Times New Roman" w:hAnsi="Times New Roman" w:cs="Times New Roman"/>
          <w:sz w:val="28"/>
          <w:szCs w:val="28"/>
        </w:rPr>
        <w:t>&lt;1</w:t>
      </w:r>
      <w:r w:rsidR="00457221">
        <w:rPr>
          <w:rFonts w:ascii="Times New Roman" w:hAnsi="Times New Roman" w:cs="Times New Roman"/>
          <w:sz w:val="28"/>
          <w:szCs w:val="28"/>
          <w:lang w:val="kk-KZ"/>
        </w:rPr>
        <w:t>,</w:t>
      </w:r>
      <w:r w:rsidR="00457221" w:rsidRPr="000C1190">
        <w:rPr>
          <w:rFonts w:ascii="Times New Roman" w:hAnsi="Times New Roman" w:cs="Times New Roman"/>
          <w:sz w:val="28"/>
          <w:szCs w:val="28"/>
        </w:rPr>
        <w:t>42</w:t>
      </w:r>
      <w:r w:rsidRPr="000C1190">
        <w:rPr>
          <w:rFonts w:ascii="Times New Roman" w:hAnsi="Times New Roman" w:cs="Times New Roman"/>
          <w:sz w:val="28"/>
          <w:szCs w:val="28"/>
        </w:rPr>
        <w:t>);</w:t>
      </w:r>
    </w:p>
    <w:p w14:paraId="09D8C94A" w14:textId="77777777" w:rsidR="000C1190" w:rsidRPr="000C1190" w:rsidRDefault="000C1190" w:rsidP="007F5E68">
      <w:pPr>
        <w:pStyle w:val="a3"/>
        <w:numPr>
          <w:ilvl w:val="0"/>
          <w:numId w:val="16"/>
        </w:numPr>
        <w:tabs>
          <w:tab w:val="left" w:pos="851"/>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lastRenderedPageBreak/>
        <w:t>распределение остатков не имеет систематических отклонений.</w:t>
      </w:r>
    </w:p>
    <w:p w14:paraId="5CAEDEDE" w14:textId="42FBB058"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Таким образом, в сегменте средних предприятий ключевую роль в формировании инновационного потенциала играет комбинация soft- и hard-компетенций, прежде всего технологические знания, креативность, командная работа и способность к адаптации</w:t>
      </w:r>
      <w:r w:rsidR="002B4A03">
        <w:rPr>
          <w:rFonts w:ascii="Times New Roman" w:hAnsi="Times New Roman" w:cs="Times New Roman"/>
          <w:sz w:val="28"/>
          <w:szCs w:val="28"/>
          <w:lang w:val="kk-KZ"/>
        </w:rPr>
        <w:t xml:space="preserve"> (таблица 13)</w:t>
      </w:r>
      <w:r w:rsidRPr="000C1190">
        <w:rPr>
          <w:rFonts w:ascii="Times New Roman" w:hAnsi="Times New Roman" w:cs="Times New Roman"/>
          <w:sz w:val="28"/>
          <w:szCs w:val="28"/>
        </w:rPr>
        <w:t>. Это подтверждает, что развитие человеческого капитала на уровне средних предприятий требует баланса между техническими навыками и социальными компетенциями, тогда как управленческие практики нуждаются в институциональном укреплении и адаптации к задачам инновационного развития.</w:t>
      </w:r>
    </w:p>
    <w:p w14:paraId="3BA8D353" w14:textId="77777777" w:rsidR="000C1190" w:rsidRPr="000C1190" w:rsidRDefault="000C1190" w:rsidP="002F33D0">
      <w:pPr>
        <w:spacing w:after="0" w:line="240" w:lineRule="auto"/>
        <w:ind w:firstLine="567"/>
        <w:jc w:val="both"/>
        <w:rPr>
          <w:rFonts w:ascii="Times New Roman" w:hAnsi="Times New Roman" w:cs="Times New Roman"/>
          <w:sz w:val="28"/>
          <w:szCs w:val="28"/>
        </w:rPr>
      </w:pPr>
    </w:p>
    <w:p w14:paraId="56BFE779" w14:textId="19C06C65" w:rsidR="000C1190" w:rsidRDefault="002B4A03" w:rsidP="002F33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w:t>
      </w:r>
      <w:r>
        <w:rPr>
          <w:rFonts w:ascii="Times New Roman" w:hAnsi="Times New Roman" w:cs="Times New Roman"/>
          <w:sz w:val="28"/>
          <w:szCs w:val="28"/>
          <w:lang w:val="kk-KZ"/>
        </w:rPr>
        <w:t>1</w:t>
      </w:r>
      <w:r w:rsidR="000C1190" w:rsidRPr="000C1190">
        <w:rPr>
          <w:rFonts w:ascii="Times New Roman" w:hAnsi="Times New Roman" w:cs="Times New Roman"/>
          <w:sz w:val="28"/>
          <w:szCs w:val="28"/>
        </w:rPr>
        <w:t>3 – Влияние компетенций на инновационный потенциал (средние предприятия)</w:t>
      </w:r>
    </w:p>
    <w:p w14:paraId="2117C984" w14:textId="77777777" w:rsidR="00457221" w:rsidRPr="002B4A03" w:rsidRDefault="00457221" w:rsidP="002F33D0">
      <w:pPr>
        <w:spacing w:after="0" w:line="240" w:lineRule="auto"/>
        <w:jc w:val="both"/>
        <w:rPr>
          <w:rFonts w:ascii="Times New Roman" w:hAnsi="Times New Roman" w:cs="Times New Roman"/>
          <w:sz w:val="20"/>
          <w:szCs w:val="20"/>
        </w:rPr>
      </w:pPr>
    </w:p>
    <w:tbl>
      <w:tblPr>
        <w:tblStyle w:val="a5"/>
        <w:tblW w:w="5000" w:type="pct"/>
        <w:tblLook w:val="04A0" w:firstRow="1" w:lastRow="0" w:firstColumn="1" w:lastColumn="0" w:noHBand="0" w:noVBand="1"/>
      </w:tblPr>
      <w:tblGrid>
        <w:gridCol w:w="2816"/>
        <w:gridCol w:w="2515"/>
        <w:gridCol w:w="1458"/>
        <w:gridCol w:w="763"/>
        <w:gridCol w:w="376"/>
        <w:gridCol w:w="946"/>
        <w:gridCol w:w="471"/>
      </w:tblGrid>
      <w:tr w:rsidR="000C1190" w:rsidRPr="00457221" w14:paraId="250A9D70" w14:textId="77777777" w:rsidTr="002B4A03">
        <w:tc>
          <w:tcPr>
            <w:tcW w:w="1507" w:type="pct"/>
            <w:vAlign w:val="center"/>
          </w:tcPr>
          <w:p w14:paraId="1B20025F" w14:textId="77777777" w:rsidR="000C1190" w:rsidRPr="00457221" w:rsidRDefault="000C1190" w:rsidP="002F33D0">
            <w:pPr>
              <w:ind w:firstLine="0"/>
              <w:jc w:val="center"/>
              <w:rPr>
                <w:rFonts w:eastAsia="Times New Roman"/>
                <w:bCs/>
                <w:color w:val="000000"/>
                <w:szCs w:val="24"/>
                <w:lang w:val="kk-KZ" w:eastAsia="ru-RU"/>
              </w:rPr>
            </w:pPr>
            <w:r w:rsidRPr="00457221">
              <w:rPr>
                <w:rFonts w:eastAsia="Times New Roman"/>
                <w:bCs/>
                <w:color w:val="000000"/>
                <w:szCs w:val="24"/>
                <w:lang w:val="kk-KZ" w:eastAsia="ru-RU"/>
              </w:rPr>
              <w:t>Название переменной</w:t>
            </w:r>
          </w:p>
        </w:tc>
        <w:tc>
          <w:tcPr>
            <w:tcW w:w="1346" w:type="pct"/>
            <w:vAlign w:val="center"/>
            <w:hideMark/>
          </w:tcPr>
          <w:p w14:paraId="3607C231" w14:textId="77777777" w:rsidR="000C1190" w:rsidRPr="00457221" w:rsidRDefault="000C1190" w:rsidP="002F33D0">
            <w:pPr>
              <w:ind w:firstLine="0"/>
              <w:jc w:val="center"/>
              <w:rPr>
                <w:rFonts w:eastAsia="Times New Roman"/>
                <w:bCs/>
                <w:color w:val="000000"/>
                <w:szCs w:val="24"/>
                <w:lang w:eastAsia="ru-RU"/>
              </w:rPr>
            </w:pPr>
            <w:r w:rsidRPr="00457221">
              <w:rPr>
                <w:rFonts w:eastAsia="Times New Roman"/>
                <w:bCs/>
                <w:color w:val="000000"/>
                <w:szCs w:val="24"/>
                <w:lang w:eastAsia="ru-RU"/>
              </w:rPr>
              <w:t>Обозначение в анализе</w:t>
            </w:r>
          </w:p>
        </w:tc>
        <w:tc>
          <w:tcPr>
            <w:tcW w:w="780" w:type="pct"/>
            <w:vAlign w:val="center"/>
            <w:hideMark/>
          </w:tcPr>
          <w:p w14:paraId="62B196CF" w14:textId="77777777" w:rsidR="000C1190" w:rsidRPr="00457221" w:rsidRDefault="000C1190" w:rsidP="002F33D0">
            <w:pPr>
              <w:ind w:firstLine="0"/>
              <w:jc w:val="center"/>
              <w:rPr>
                <w:rFonts w:eastAsia="Times New Roman"/>
                <w:bCs/>
                <w:szCs w:val="24"/>
                <w:lang w:eastAsia="ru-RU"/>
              </w:rPr>
            </w:pPr>
            <w:r w:rsidRPr="00457221">
              <w:rPr>
                <w:rFonts w:eastAsia="Times New Roman"/>
                <w:bCs/>
                <w:szCs w:val="24"/>
                <w:lang w:eastAsia="ru-RU"/>
              </w:rPr>
              <w:t>Стандартиз. β</w:t>
            </w:r>
          </w:p>
        </w:tc>
        <w:tc>
          <w:tcPr>
            <w:tcW w:w="609" w:type="pct"/>
            <w:gridSpan w:val="2"/>
            <w:vAlign w:val="center"/>
            <w:hideMark/>
          </w:tcPr>
          <w:p w14:paraId="51F36834" w14:textId="77777777" w:rsidR="000C1190" w:rsidRPr="00457221" w:rsidRDefault="000C1190" w:rsidP="002F33D0">
            <w:pPr>
              <w:ind w:firstLine="0"/>
              <w:jc w:val="center"/>
              <w:rPr>
                <w:rFonts w:eastAsia="Times New Roman"/>
                <w:bCs/>
                <w:szCs w:val="24"/>
                <w:lang w:eastAsia="ru-RU"/>
              </w:rPr>
            </w:pPr>
            <w:r w:rsidRPr="00457221">
              <w:rPr>
                <w:rFonts w:eastAsia="Times New Roman"/>
                <w:bCs/>
                <w:szCs w:val="24"/>
                <w:lang w:eastAsia="ru-RU"/>
              </w:rPr>
              <w:t>p-значение</w:t>
            </w:r>
          </w:p>
        </w:tc>
        <w:tc>
          <w:tcPr>
            <w:tcW w:w="758" w:type="pct"/>
            <w:gridSpan w:val="2"/>
            <w:vAlign w:val="center"/>
            <w:hideMark/>
          </w:tcPr>
          <w:p w14:paraId="01F1670A" w14:textId="77777777" w:rsidR="000C1190" w:rsidRPr="00457221" w:rsidRDefault="000C1190" w:rsidP="002F33D0">
            <w:pPr>
              <w:ind w:firstLine="0"/>
              <w:jc w:val="center"/>
              <w:rPr>
                <w:rFonts w:eastAsia="Times New Roman"/>
                <w:bCs/>
                <w:szCs w:val="24"/>
                <w:lang w:eastAsia="ru-RU"/>
              </w:rPr>
            </w:pPr>
            <w:r w:rsidRPr="00457221">
              <w:rPr>
                <w:rFonts w:eastAsia="Times New Roman"/>
                <w:bCs/>
                <w:szCs w:val="24"/>
                <w:lang w:eastAsia="ru-RU"/>
              </w:rPr>
              <w:t>Значимость</w:t>
            </w:r>
          </w:p>
        </w:tc>
      </w:tr>
      <w:tr w:rsidR="000C1190" w:rsidRPr="00457221" w14:paraId="7E06BDDE" w14:textId="77777777" w:rsidTr="002B4A03">
        <w:tc>
          <w:tcPr>
            <w:tcW w:w="1507" w:type="pct"/>
          </w:tcPr>
          <w:p w14:paraId="23468B03" w14:textId="77777777" w:rsidR="000C1190" w:rsidRPr="00457221" w:rsidRDefault="000C1190" w:rsidP="002F33D0">
            <w:pPr>
              <w:ind w:firstLine="0"/>
              <w:rPr>
                <w:rFonts w:eastAsia="Times New Roman"/>
                <w:szCs w:val="24"/>
                <w:lang w:eastAsia="ru-RU"/>
              </w:rPr>
            </w:pPr>
            <w:r w:rsidRPr="00457221">
              <w:rPr>
                <w:rFonts w:eastAsia="Times New Roman"/>
                <w:szCs w:val="24"/>
                <w:lang w:eastAsia="ru-RU"/>
              </w:rPr>
              <w:t>Знание технологических трендов</w:t>
            </w:r>
          </w:p>
        </w:tc>
        <w:tc>
          <w:tcPr>
            <w:tcW w:w="1346" w:type="pct"/>
            <w:hideMark/>
          </w:tcPr>
          <w:p w14:paraId="644FBAD8" w14:textId="77777777" w:rsidR="000C1190" w:rsidRPr="00457221" w:rsidRDefault="000C1190" w:rsidP="002F33D0">
            <w:pPr>
              <w:ind w:firstLine="0"/>
              <w:jc w:val="both"/>
              <w:rPr>
                <w:rFonts w:eastAsia="Times New Roman"/>
                <w:szCs w:val="24"/>
                <w:lang w:eastAsia="ru-RU"/>
              </w:rPr>
            </w:pPr>
            <w:r w:rsidRPr="00457221">
              <w:rPr>
                <w:rFonts w:eastAsia="Times New Roman"/>
                <w:szCs w:val="24"/>
                <w:lang w:eastAsia="ru-RU"/>
              </w:rPr>
              <w:t>skill_hard_techtrends</w:t>
            </w:r>
          </w:p>
        </w:tc>
        <w:tc>
          <w:tcPr>
            <w:tcW w:w="780" w:type="pct"/>
            <w:vAlign w:val="center"/>
            <w:hideMark/>
          </w:tcPr>
          <w:p w14:paraId="61BFD89E" w14:textId="010B7834"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408</w:t>
            </w:r>
          </w:p>
        </w:tc>
        <w:tc>
          <w:tcPr>
            <w:tcW w:w="609" w:type="pct"/>
            <w:gridSpan w:val="2"/>
            <w:vAlign w:val="center"/>
            <w:hideMark/>
          </w:tcPr>
          <w:p w14:paraId="17E611AC" w14:textId="05F9ED5B"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&lt;0</w:t>
            </w:r>
            <w:r w:rsidR="00457221">
              <w:rPr>
                <w:rFonts w:eastAsia="Times New Roman"/>
                <w:szCs w:val="24"/>
                <w:lang w:val="kk-KZ" w:eastAsia="ru-RU"/>
              </w:rPr>
              <w:t>,</w:t>
            </w:r>
            <w:r w:rsidRPr="00457221">
              <w:rPr>
                <w:rFonts w:eastAsia="Times New Roman"/>
                <w:szCs w:val="24"/>
                <w:lang w:eastAsia="ru-RU"/>
              </w:rPr>
              <w:t>001</w:t>
            </w:r>
          </w:p>
        </w:tc>
        <w:tc>
          <w:tcPr>
            <w:tcW w:w="758" w:type="pct"/>
            <w:gridSpan w:val="2"/>
            <w:vAlign w:val="center"/>
            <w:hideMark/>
          </w:tcPr>
          <w:p w14:paraId="7040B904" w14:textId="77777777" w:rsidR="000C1190" w:rsidRPr="00457221" w:rsidRDefault="000C1190" w:rsidP="002F33D0">
            <w:pPr>
              <w:ind w:firstLine="0"/>
              <w:jc w:val="center"/>
              <w:rPr>
                <w:rFonts w:eastAsia="Times New Roman"/>
                <w:szCs w:val="24"/>
                <w:lang w:eastAsia="ru-RU"/>
              </w:rPr>
            </w:pPr>
            <w:r w:rsidRPr="00457221">
              <w:rPr>
                <w:rFonts w:ascii="Segoe UI Symbol" w:eastAsia="Times New Roman" w:hAnsi="Segoe UI Symbol" w:cs="Segoe UI Symbol"/>
                <w:bCs/>
                <w:szCs w:val="24"/>
                <w:lang w:eastAsia="ru-RU"/>
              </w:rPr>
              <w:t>✔</w:t>
            </w:r>
          </w:p>
        </w:tc>
      </w:tr>
      <w:tr w:rsidR="000C1190" w:rsidRPr="00457221" w14:paraId="5C8CAE54" w14:textId="77777777" w:rsidTr="002B4A03">
        <w:tc>
          <w:tcPr>
            <w:tcW w:w="1507" w:type="pct"/>
          </w:tcPr>
          <w:p w14:paraId="63AEF1BF" w14:textId="77777777" w:rsidR="000C1190" w:rsidRPr="00457221" w:rsidRDefault="000C1190" w:rsidP="002F33D0">
            <w:pPr>
              <w:ind w:firstLine="0"/>
              <w:rPr>
                <w:rFonts w:eastAsia="Times New Roman"/>
                <w:szCs w:val="24"/>
                <w:lang w:eastAsia="ru-RU"/>
              </w:rPr>
            </w:pPr>
            <w:r w:rsidRPr="00457221">
              <w:rPr>
                <w:rFonts w:eastAsia="Times New Roman"/>
                <w:szCs w:val="24"/>
                <w:lang w:eastAsia="ru-RU"/>
              </w:rPr>
              <w:t>Командная работа и коммуникации</w:t>
            </w:r>
          </w:p>
        </w:tc>
        <w:tc>
          <w:tcPr>
            <w:tcW w:w="1346" w:type="pct"/>
            <w:hideMark/>
          </w:tcPr>
          <w:p w14:paraId="497D0F38" w14:textId="77777777" w:rsidR="000C1190" w:rsidRPr="00457221" w:rsidRDefault="000C1190" w:rsidP="002F33D0">
            <w:pPr>
              <w:ind w:firstLine="0"/>
              <w:jc w:val="both"/>
              <w:rPr>
                <w:rFonts w:eastAsia="Times New Roman"/>
                <w:szCs w:val="24"/>
                <w:lang w:eastAsia="ru-RU"/>
              </w:rPr>
            </w:pPr>
            <w:r w:rsidRPr="00457221">
              <w:rPr>
                <w:rFonts w:eastAsia="Times New Roman"/>
                <w:szCs w:val="24"/>
                <w:lang w:eastAsia="ru-RU"/>
              </w:rPr>
              <w:t>skill_soft_teamwork</w:t>
            </w:r>
          </w:p>
        </w:tc>
        <w:tc>
          <w:tcPr>
            <w:tcW w:w="780" w:type="pct"/>
            <w:vAlign w:val="center"/>
            <w:hideMark/>
          </w:tcPr>
          <w:p w14:paraId="5DBDA139" w14:textId="716F4193"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268</w:t>
            </w:r>
          </w:p>
        </w:tc>
        <w:tc>
          <w:tcPr>
            <w:tcW w:w="609" w:type="pct"/>
            <w:gridSpan w:val="2"/>
            <w:vAlign w:val="center"/>
            <w:hideMark/>
          </w:tcPr>
          <w:p w14:paraId="4EDEE54B" w14:textId="0EAED12E"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001</w:t>
            </w:r>
          </w:p>
        </w:tc>
        <w:tc>
          <w:tcPr>
            <w:tcW w:w="758" w:type="pct"/>
            <w:gridSpan w:val="2"/>
            <w:vAlign w:val="center"/>
            <w:hideMark/>
          </w:tcPr>
          <w:p w14:paraId="580F4310" w14:textId="77777777" w:rsidR="000C1190" w:rsidRPr="00457221" w:rsidRDefault="000C1190" w:rsidP="002F33D0">
            <w:pPr>
              <w:ind w:firstLine="0"/>
              <w:jc w:val="center"/>
              <w:rPr>
                <w:rFonts w:eastAsia="Times New Roman"/>
                <w:szCs w:val="24"/>
                <w:lang w:eastAsia="ru-RU"/>
              </w:rPr>
            </w:pPr>
            <w:r w:rsidRPr="00457221">
              <w:rPr>
                <w:rFonts w:ascii="Segoe UI Symbol" w:eastAsia="Times New Roman" w:hAnsi="Segoe UI Symbol" w:cs="Segoe UI Symbol"/>
                <w:bCs/>
                <w:szCs w:val="24"/>
                <w:lang w:eastAsia="ru-RU"/>
              </w:rPr>
              <w:t>✔</w:t>
            </w:r>
          </w:p>
        </w:tc>
      </w:tr>
      <w:tr w:rsidR="000C1190" w:rsidRPr="00457221" w14:paraId="36559F5D" w14:textId="77777777" w:rsidTr="002B4A03">
        <w:tc>
          <w:tcPr>
            <w:tcW w:w="1507" w:type="pct"/>
          </w:tcPr>
          <w:p w14:paraId="1C08AD7A" w14:textId="77777777" w:rsidR="000C1190" w:rsidRPr="00457221" w:rsidRDefault="000C1190" w:rsidP="002F33D0">
            <w:pPr>
              <w:ind w:firstLine="0"/>
              <w:rPr>
                <w:rFonts w:eastAsia="Times New Roman"/>
                <w:szCs w:val="24"/>
                <w:lang w:eastAsia="ru-RU"/>
              </w:rPr>
            </w:pPr>
            <w:r w:rsidRPr="00457221">
              <w:rPr>
                <w:rFonts w:eastAsia="Times New Roman"/>
                <w:szCs w:val="24"/>
                <w:lang w:eastAsia="ru-RU"/>
              </w:rPr>
              <w:t>Креативность</w:t>
            </w:r>
          </w:p>
        </w:tc>
        <w:tc>
          <w:tcPr>
            <w:tcW w:w="1346" w:type="pct"/>
            <w:hideMark/>
          </w:tcPr>
          <w:p w14:paraId="13F3D673" w14:textId="77777777" w:rsidR="000C1190" w:rsidRPr="00457221" w:rsidRDefault="000C1190" w:rsidP="002F33D0">
            <w:pPr>
              <w:ind w:firstLine="0"/>
              <w:jc w:val="both"/>
              <w:rPr>
                <w:rFonts w:eastAsia="Times New Roman"/>
                <w:szCs w:val="24"/>
                <w:lang w:eastAsia="ru-RU"/>
              </w:rPr>
            </w:pPr>
            <w:r w:rsidRPr="00457221">
              <w:rPr>
                <w:rFonts w:eastAsia="Times New Roman"/>
                <w:szCs w:val="24"/>
                <w:lang w:eastAsia="ru-RU"/>
              </w:rPr>
              <w:t>skill_soft_creativity</w:t>
            </w:r>
          </w:p>
        </w:tc>
        <w:tc>
          <w:tcPr>
            <w:tcW w:w="780" w:type="pct"/>
            <w:vAlign w:val="center"/>
            <w:hideMark/>
          </w:tcPr>
          <w:p w14:paraId="0C76A4F1" w14:textId="0EDAC464"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259</w:t>
            </w:r>
          </w:p>
        </w:tc>
        <w:tc>
          <w:tcPr>
            <w:tcW w:w="609" w:type="pct"/>
            <w:gridSpan w:val="2"/>
            <w:vAlign w:val="center"/>
            <w:hideMark/>
          </w:tcPr>
          <w:p w14:paraId="3EA256A4" w14:textId="4B597FE5"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002</w:t>
            </w:r>
          </w:p>
        </w:tc>
        <w:tc>
          <w:tcPr>
            <w:tcW w:w="758" w:type="pct"/>
            <w:gridSpan w:val="2"/>
            <w:vAlign w:val="center"/>
            <w:hideMark/>
          </w:tcPr>
          <w:p w14:paraId="74E2A80B" w14:textId="77777777" w:rsidR="000C1190" w:rsidRPr="00457221" w:rsidRDefault="000C1190" w:rsidP="002F33D0">
            <w:pPr>
              <w:ind w:firstLine="0"/>
              <w:jc w:val="center"/>
              <w:rPr>
                <w:rFonts w:eastAsia="Times New Roman"/>
                <w:szCs w:val="24"/>
                <w:lang w:eastAsia="ru-RU"/>
              </w:rPr>
            </w:pPr>
            <w:r w:rsidRPr="00457221">
              <w:rPr>
                <w:rFonts w:ascii="Segoe UI Symbol" w:eastAsia="Times New Roman" w:hAnsi="Segoe UI Symbol" w:cs="Segoe UI Symbol"/>
                <w:bCs/>
                <w:szCs w:val="24"/>
                <w:lang w:eastAsia="ru-RU"/>
              </w:rPr>
              <w:t>✔</w:t>
            </w:r>
          </w:p>
        </w:tc>
      </w:tr>
      <w:tr w:rsidR="002B4A03" w:rsidRPr="00457221" w14:paraId="40D98971" w14:textId="77777777" w:rsidTr="002B4A03">
        <w:tc>
          <w:tcPr>
            <w:tcW w:w="1507" w:type="pct"/>
          </w:tcPr>
          <w:p w14:paraId="0DCF85E2" w14:textId="77777777" w:rsidR="000C1190" w:rsidRPr="00457221" w:rsidRDefault="000C1190" w:rsidP="002F33D0">
            <w:pPr>
              <w:ind w:firstLine="0"/>
              <w:rPr>
                <w:rFonts w:eastAsia="Times New Roman"/>
                <w:szCs w:val="24"/>
                <w:lang w:eastAsia="ru-RU"/>
              </w:rPr>
            </w:pPr>
            <w:r w:rsidRPr="00457221">
              <w:rPr>
                <w:rFonts w:eastAsia="Times New Roman"/>
                <w:szCs w:val="24"/>
                <w:lang w:eastAsia="ru-RU"/>
              </w:rPr>
              <w:t>Гибкость и адаптивность</w:t>
            </w:r>
          </w:p>
        </w:tc>
        <w:tc>
          <w:tcPr>
            <w:tcW w:w="1346" w:type="pct"/>
            <w:hideMark/>
          </w:tcPr>
          <w:p w14:paraId="6D4FF36F" w14:textId="77777777" w:rsidR="000C1190" w:rsidRPr="00457221" w:rsidRDefault="000C1190" w:rsidP="002F33D0">
            <w:pPr>
              <w:ind w:firstLine="0"/>
              <w:jc w:val="both"/>
              <w:rPr>
                <w:rFonts w:eastAsia="Times New Roman"/>
                <w:szCs w:val="24"/>
                <w:lang w:eastAsia="ru-RU"/>
              </w:rPr>
            </w:pPr>
            <w:r w:rsidRPr="00457221">
              <w:rPr>
                <w:rFonts w:eastAsia="Times New Roman"/>
                <w:szCs w:val="24"/>
                <w:lang w:eastAsia="ru-RU"/>
              </w:rPr>
              <w:t>skill_soft_adaptability</w:t>
            </w:r>
          </w:p>
        </w:tc>
        <w:tc>
          <w:tcPr>
            <w:tcW w:w="780" w:type="pct"/>
            <w:vAlign w:val="center"/>
            <w:hideMark/>
          </w:tcPr>
          <w:p w14:paraId="2F3ADC57" w14:textId="27573F95"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167</w:t>
            </w:r>
          </w:p>
        </w:tc>
        <w:tc>
          <w:tcPr>
            <w:tcW w:w="609" w:type="pct"/>
            <w:gridSpan w:val="2"/>
            <w:vAlign w:val="center"/>
            <w:hideMark/>
          </w:tcPr>
          <w:p w14:paraId="0023C88E" w14:textId="1CB03FEE"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039</w:t>
            </w:r>
          </w:p>
        </w:tc>
        <w:tc>
          <w:tcPr>
            <w:tcW w:w="758" w:type="pct"/>
            <w:gridSpan w:val="2"/>
            <w:vAlign w:val="center"/>
            <w:hideMark/>
          </w:tcPr>
          <w:p w14:paraId="77D1A5FB" w14:textId="77777777" w:rsidR="000C1190" w:rsidRPr="00457221" w:rsidRDefault="000C1190" w:rsidP="002F33D0">
            <w:pPr>
              <w:ind w:firstLine="0"/>
              <w:jc w:val="center"/>
              <w:rPr>
                <w:rFonts w:eastAsia="Times New Roman"/>
                <w:szCs w:val="24"/>
                <w:lang w:eastAsia="ru-RU"/>
              </w:rPr>
            </w:pPr>
            <w:r w:rsidRPr="00457221">
              <w:rPr>
                <w:rFonts w:ascii="Segoe UI Symbol" w:eastAsia="Times New Roman" w:hAnsi="Segoe UI Symbol" w:cs="Segoe UI Symbol"/>
                <w:bCs/>
                <w:szCs w:val="24"/>
                <w:lang w:eastAsia="ru-RU"/>
              </w:rPr>
              <w:t>✔</w:t>
            </w:r>
          </w:p>
        </w:tc>
      </w:tr>
      <w:tr w:rsidR="002B4A03" w:rsidRPr="00457221" w14:paraId="7BF046A9" w14:textId="77777777" w:rsidTr="002B4A03">
        <w:tc>
          <w:tcPr>
            <w:tcW w:w="1507" w:type="pct"/>
          </w:tcPr>
          <w:p w14:paraId="747A94A1" w14:textId="77777777" w:rsidR="000C1190" w:rsidRPr="00457221" w:rsidRDefault="000C1190" w:rsidP="002F33D0">
            <w:pPr>
              <w:ind w:firstLine="0"/>
              <w:rPr>
                <w:rFonts w:eastAsia="Times New Roman"/>
                <w:szCs w:val="24"/>
                <w:lang w:eastAsia="ru-RU"/>
              </w:rPr>
            </w:pPr>
            <w:r w:rsidRPr="00457221">
              <w:rPr>
                <w:rFonts w:eastAsia="Times New Roman"/>
                <w:szCs w:val="24"/>
                <w:lang w:eastAsia="ru-RU"/>
              </w:rPr>
              <w:t>Навыки программирования и робототехники</w:t>
            </w:r>
          </w:p>
        </w:tc>
        <w:tc>
          <w:tcPr>
            <w:tcW w:w="1346" w:type="pct"/>
            <w:hideMark/>
          </w:tcPr>
          <w:p w14:paraId="1DA4E9DD" w14:textId="77777777" w:rsidR="000C1190" w:rsidRPr="00457221" w:rsidRDefault="000C1190" w:rsidP="002F33D0">
            <w:pPr>
              <w:ind w:firstLine="0"/>
              <w:jc w:val="both"/>
              <w:rPr>
                <w:rFonts w:eastAsia="Times New Roman"/>
                <w:szCs w:val="24"/>
                <w:lang w:eastAsia="ru-RU"/>
              </w:rPr>
            </w:pPr>
            <w:r w:rsidRPr="00457221">
              <w:rPr>
                <w:rFonts w:eastAsia="Times New Roman"/>
                <w:szCs w:val="24"/>
                <w:lang w:eastAsia="ru-RU"/>
              </w:rPr>
              <w:t>skill_hard_robotics</w:t>
            </w:r>
          </w:p>
        </w:tc>
        <w:tc>
          <w:tcPr>
            <w:tcW w:w="780" w:type="pct"/>
            <w:vAlign w:val="center"/>
            <w:hideMark/>
          </w:tcPr>
          <w:p w14:paraId="5AAC830C" w14:textId="763DF7A6"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252</w:t>
            </w:r>
          </w:p>
        </w:tc>
        <w:tc>
          <w:tcPr>
            <w:tcW w:w="609" w:type="pct"/>
            <w:gridSpan w:val="2"/>
            <w:vAlign w:val="center"/>
            <w:hideMark/>
          </w:tcPr>
          <w:p w14:paraId="272C534E" w14:textId="410CAFD3"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002</w:t>
            </w:r>
          </w:p>
        </w:tc>
        <w:tc>
          <w:tcPr>
            <w:tcW w:w="758" w:type="pct"/>
            <w:gridSpan w:val="2"/>
            <w:vAlign w:val="center"/>
            <w:hideMark/>
          </w:tcPr>
          <w:p w14:paraId="6A84990C" w14:textId="77777777" w:rsidR="000C1190" w:rsidRPr="00457221" w:rsidRDefault="000C1190" w:rsidP="002F33D0">
            <w:pPr>
              <w:ind w:firstLine="0"/>
              <w:jc w:val="center"/>
              <w:rPr>
                <w:rFonts w:eastAsia="Times New Roman"/>
                <w:szCs w:val="24"/>
                <w:lang w:eastAsia="ru-RU"/>
              </w:rPr>
            </w:pPr>
            <w:r w:rsidRPr="00457221">
              <w:rPr>
                <w:rFonts w:ascii="Segoe UI Symbol" w:eastAsia="Times New Roman" w:hAnsi="Segoe UI Symbol" w:cs="Segoe UI Symbol"/>
                <w:bCs/>
                <w:szCs w:val="24"/>
                <w:lang w:eastAsia="ru-RU"/>
              </w:rPr>
              <w:t>✔</w:t>
            </w:r>
          </w:p>
        </w:tc>
      </w:tr>
      <w:tr w:rsidR="002B4A03" w:rsidRPr="00457221" w14:paraId="71E8EF39" w14:textId="77777777" w:rsidTr="002B4A03">
        <w:tc>
          <w:tcPr>
            <w:tcW w:w="1507" w:type="pct"/>
          </w:tcPr>
          <w:p w14:paraId="4BD3B169" w14:textId="1EE0E72D" w:rsidR="000C1190" w:rsidRPr="00457221" w:rsidRDefault="000C1190" w:rsidP="002B4A03">
            <w:pPr>
              <w:ind w:firstLine="0"/>
              <w:rPr>
                <w:rFonts w:eastAsia="Times New Roman"/>
                <w:szCs w:val="24"/>
                <w:lang w:eastAsia="ru-RU"/>
              </w:rPr>
            </w:pPr>
            <w:r w:rsidRPr="00457221">
              <w:rPr>
                <w:rFonts w:eastAsia="Times New Roman"/>
                <w:szCs w:val="24"/>
                <w:lang w:eastAsia="ru-RU"/>
              </w:rPr>
              <w:t xml:space="preserve">Навыки работы с искусственным </w:t>
            </w:r>
            <w:r w:rsidR="003F0E8F" w:rsidRPr="00457221">
              <w:rPr>
                <w:rFonts w:eastAsia="Times New Roman"/>
                <w:szCs w:val="24"/>
                <w:lang w:eastAsia="ru-RU"/>
              </w:rPr>
              <w:t>интеллектом и машинным обучением</w:t>
            </w:r>
          </w:p>
        </w:tc>
        <w:tc>
          <w:tcPr>
            <w:tcW w:w="1346" w:type="pct"/>
            <w:hideMark/>
          </w:tcPr>
          <w:p w14:paraId="1349F844" w14:textId="77777777" w:rsidR="000C1190" w:rsidRPr="00457221" w:rsidRDefault="000C1190" w:rsidP="002F33D0">
            <w:pPr>
              <w:ind w:firstLine="0"/>
              <w:jc w:val="both"/>
              <w:rPr>
                <w:rFonts w:eastAsia="Times New Roman"/>
                <w:szCs w:val="24"/>
                <w:lang w:eastAsia="ru-RU"/>
              </w:rPr>
            </w:pPr>
            <w:r w:rsidRPr="00457221">
              <w:rPr>
                <w:rFonts w:eastAsia="Times New Roman"/>
                <w:szCs w:val="24"/>
                <w:lang w:eastAsia="ru-RU"/>
              </w:rPr>
              <w:t>skill_hard_aiml</w:t>
            </w:r>
          </w:p>
        </w:tc>
        <w:tc>
          <w:tcPr>
            <w:tcW w:w="780" w:type="pct"/>
            <w:vAlign w:val="center"/>
            <w:hideMark/>
          </w:tcPr>
          <w:p w14:paraId="17C60A7E" w14:textId="0877C38D"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158</w:t>
            </w:r>
          </w:p>
        </w:tc>
        <w:tc>
          <w:tcPr>
            <w:tcW w:w="609" w:type="pct"/>
            <w:gridSpan w:val="2"/>
            <w:vAlign w:val="center"/>
            <w:hideMark/>
          </w:tcPr>
          <w:p w14:paraId="238D49AF" w14:textId="7E5327C3"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053</w:t>
            </w:r>
          </w:p>
        </w:tc>
        <w:tc>
          <w:tcPr>
            <w:tcW w:w="758" w:type="pct"/>
            <w:gridSpan w:val="2"/>
            <w:vAlign w:val="center"/>
            <w:hideMark/>
          </w:tcPr>
          <w:p w14:paraId="7E50841B" w14:textId="77777777"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w:t>
            </w:r>
          </w:p>
        </w:tc>
      </w:tr>
      <w:tr w:rsidR="002B4A03" w:rsidRPr="00457221" w14:paraId="1E047038" w14:textId="77777777" w:rsidTr="002B4A03">
        <w:tc>
          <w:tcPr>
            <w:tcW w:w="1507" w:type="pct"/>
          </w:tcPr>
          <w:p w14:paraId="102E61CF" w14:textId="77777777" w:rsidR="000C1190" w:rsidRPr="00457221" w:rsidRDefault="000C1190" w:rsidP="002F33D0">
            <w:pPr>
              <w:ind w:firstLine="0"/>
              <w:rPr>
                <w:rFonts w:eastAsia="Times New Roman"/>
                <w:szCs w:val="24"/>
                <w:lang w:eastAsia="ru-RU"/>
              </w:rPr>
            </w:pPr>
            <w:r w:rsidRPr="00457221">
              <w:rPr>
                <w:rFonts w:eastAsia="Times New Roman"/>
                <w:szCs w:val="24"/>
                <w:lang w:eastAsia="ru-RU"/>
              </w:rPr>
              <w:t>Устойчивое мышление (ориентация на устойчивое развитие)</w:t>
            </w:r>
          </w:p>
        </w:tc>
        <w:tc>
          <w:tcPr>
            <w:tcW w:w="1346" w:type="pct"/>
            <w:hideMark/>
          </w:tcPr>
          <w:p w14:paraId="5E6AFEAA" w14:textId="77777777" w:rsidR="000C1190" w:rsidRPr="00457221" w:rsidRDefault="000C1190" w:rsidP="002F33D0">
            <w:pPr>
              <w:ind w:firstLine="0"/>
              <w:jc w:val="both"/>
              <w:rPr>
                <w:rFonts w:eastAsia="Times New Roman"/>
                <w:szCs w:val="24"/>
                <w:lang w:eastAsia="ru-RU"/>
              </w:rPr>
            </w:pPr>
            <w:r w:rsidRPr="00457221">
              <w:rPr>
                <w:rFonts w:eastAsia="Times New Roman"/>
                <w:szCs w:val="24"/>
                <w:lang w:eastAsia="ru-RU"/>
              </w:rPr>
              <w:t>skill_soft_sustainability</w:t>
            </w:r>
          </w:p>
        </w:tc>
        <w:tc>
          <w:tcPr>
            <w:tcW w:w="780" w:type="pct"/>
            <w:vAlign w:val="center"/>
            <w:hideMark/>
          </w:tcPr>
          <w:p w14:paraId="49B8B000" w14:textId="337E5ABF"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145</w:t>
            </w:r>
          </w:p>
        </w:tc>
        <w:tc>
          <w:tcPr>
            <w:tcW w:w="609" w:type="pct"/>
            <w:gridSpan w:val="2"/>
            <w:vAlign w:val="center"/>
            <w:hideMark/>
          </w:tcPr>
          <w:p w14:paraId="4D44CD96" w14:textId="11FDD6F6"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072</w:t>
            </w:r>
          </w:p>
        </w:tc>
        <w:tc>
          <w:tcPr>
            <w:tcW w:w="758" w:type="pct"/>
            <w:gridSpan w:val="2"/>
            <w:vAlign w:val="center"/>
            <w:hideMark/>
          </w:tcPr>
          <w:p w14:paraId="638FC84F" w14:textId="77777777"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w:t>
            </w:r>
          </w:p>
        </w:tc>
      </w:tr>
      <w:tr w:rsidR="002B4A03" w:rsidRPr="00457221" w14:paraId="077EFE89" w14:textId="77777777" w:rsidTr="002B4A03">
        <w:tc>
          <w:tcPr>
            <w:tcW w:w="1507" w:type="pct"/>
          </w:tcPr>
          <w:p w14:paraId="2B51CEF0" w14:textId="77777777" w:rsidR="000C1190" w:rsidRPr="00457221" w:rsidRDefault="000C1190" w:rsidP="002F33D0">
            <w:pPr>
              <w:ind w:firstLine="0"/>
              <w:rPr>
                <w:rFonts w:eastAsia="Times New Roman"/>
                <w:szCs w:val="24"/>
                <w:lang w:eastAsia="ru-RU"/>
              </w:rPr>
            </w:pPr>
            <w:r w:rsidRPr="00457221">
              <w:rPr>
                <w:rFonts w:eastAsia="Times New Roman"/>
                <w:szCs w:val="24"/>
                <w:lang w:eastAsia="ru-RU"/>
              </w:rPr>
              <w:t>Знания в области биотехнологий</w:t>
            </w:r>
          </w:p>
        </w:tc>
        <w:tc>
          <w:tcPr>
            <w:tcW w:w="1346" w:type="pct"/>
            <w:hideMark/>
          </w:tcPr>
          <w:p w14:paraId="7C7CA8AC" w14:textId="77777777" w:rsidR="000C1190" w:rsidRPr="00457221" w:rsidRDefault="000C1190" w:rsidP="002F33D0">
            <w:pPr>
              <w:ind w:firstLine="0"/>
              <w:jc w:val="both"/>
              <w:rPr>
                <w:rFonts w:eastAsia="Times New Roman"/>
                <w:szCs w:val="24"/>
                <w:lang w:eastAsia="ru-RU"/>
              </w:rPr>
            </w:pPr>
            <w:r w:rsidRPr="00457221">
              <w:rPr>
                <w:rFonts w:eastAsia="Times New Roman"/>
                <w:szCs w:val="24"/>
                <w:lang w:eastAsia="ru-RU"/>
              </w:rPr>
              <w:t>skill_hard_biotech</w:t>
            </w:r>
          </w:p>
        </w:tc>
        <w:tc>
          <w:tcPr>
            <w:tcW w:w="780" w:type="pct"/>
            <w:vAlign w:val="center"/>
            <w:hideMark/>
          </w:tcPr>
          <w:p w14:paraId="555FC65E" w14:textId="7ABC8AB0"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149</w:t>
            </w:r>
          </w:p>
        </w:tc>
        <w:tc>
          <w:tcPr>
            <w:tcW w:w="609" w:type="pct"/>
            <w:gridSpan w:val="2"/>
            <w:vAlign w:val="center"/>
            <w:hideMark/>
          </w:tcPr>
          <w:p w14:paraId="5649F5F7" w14:textId="28664F4C"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079</w:t>
            </w:r>
          </w:p>
        </w:tc>
        <w:tc>
          <w:tcPr>
            <w:tcW w:w="758" w:type="pct"/>
            <w:gridSpan w:val="2"/>
            <w:vAlign w:val="center"/>
            <w:hideMark/>
          </w:tcPr>
          <w:p w14:paraId="6E6DDB32" w14:textId="77777777"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w:t>
            </w:r>
          </w:p>
        </w:tc>
      </w:tr>
      <w:tr w:rsidR="002B4A03" w:rsidRPr="00457221" w14:paraId="173974ED" w14:textId="77777777" w:rsidTr="007D4715">
        <w:tc>
          <w:tcPr>
            <w:tcW w:w="2852" w:type="pct"/>
            <w:gridSpan w:val="2"/>
          </w:tcPr>
          <w:p w14:paraId="2DF77A81" w14:textId="77777777" w:rsidR="000C1190" w:rsidRPr="00457221" w:rsidRDefault="000C1190" w:rsidP="002F33D0">
            <w:pPr>
              <w:ind w:firstLine="0"/>
              <w:jc w:val="both"/>
              <w:rPr>
                <w:rFonts w:eastAsia="Times New Roman"/>
                <w:szCs w:val="24"/>
                <w:lang w:eastAsia="ru-RU"/>
              </w:rPr>
            </w:pPr>
            <w:r w:rsidRPr="00457221">
              <w:rPr>
                <w:rFonts w:eastAsia="Times New Roman"/>
                <w:szCs w:val="24"/>
                <w:lang w:eastAsia="ru-RU"/>
              </w:rPr>
              <w:t>Остальные переменные (в т. ч. HR-практики)</w:t>
            </w:r>
          </w:p>
        </w:tc>
        <w:tc>
          <w:tcPr>
            <w:tcW w:w="1188" w:type="pct"/>
            <w:gridSpan w:val="2"/>
            <w:vAlign w:val="center"/>
            <w:hideMark/>
          </w:tcPr>
          <w:p w14:paraId="0A236B34" w14:textId="23F065B9"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&lt; 0</w:t>
            </w:r>
            <w:r w:rsidR="00457221">
              <w:rPr>
                <w:rFonts w:eastAsia="Times New Roman"/>
                <w:szCs w:val="24"/>
                <w:lang w:val="kk-KZ" w:eastAsia="ru-RU"/>
              </w:rPr>
              <w:t>,</w:t>
            </w:r>
            <w:r w:rsidRPr="00457221">
              <w:rPr>
                <w:rFonts w:eastAsia="Times New Roman"/>
                <w:szCs w:val="24"/>
                <w:lang w:eastAsia="ru-RU"/>
              </w:rPr>
              <w:t>13</w:t>
            </w:r>
          </w:p>
        </w:tc>
        <w:tc>
          <w:tcPr>
            <w:tcW w:w="707" w:type="pct"/>
            <w:gridSpan w:val="2"/>
            <w:vAlign w:val="center"/>
            <w:hideMark/>
          </w:tcPr>
          <w:p w14:paraId="0BD4502F" w14:textId="01503493"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&gt; 0</w:t>
            </w:r>
            <w:r w:rsidR="00457221">
              <w:rPr>
                <w:rFonts w:eastAsia="Times New Roman"/>
                <w:szCs w:val="24"/>
                <w:lang w:val="kk-KZ" w:eastAsia="ru-RU"/>
              </w:rPr>
              <w:t>,</w:t>
            </w:r>
            <w:r w:rsidRPr="00457221">
              <w:rPr>
                <w:rFonts w:eastAsia="Times New Roman"/>
                <w:szCs w:val="24"/>
                <w:lang w:eastAsia="ru-RU"/>
              </w:rPr>
              <w:t>1</w:t>
            </w:r>
          </w:p>
        </w:tc>
        <w:tc>
          <w:tcPr>
            <w:tcW w:w="252" w:type="pct"/>
            <w:vAlign w:val="center"/>
            <w:hideMark/>
          </w:tcPr>
          <w:p w14:paraId="6B14C794" w14:textId="77777777" w:rsidR="000C1190" w:rsidRPr="00457221" w:rsidRDefault="000C1190" w:rsidP="002F33D0">
            <w:pPr>
              <w:ind w:firstLine="0"/>
              <w:jc w:val="center"/>
              <w:rPr>
                <w:rFonts w:eastAsia="Times New Roman"/>
                <w:szCs w:val="24"/>
                <w:lang w:eastAsia="ru-RU"/>
              </w:rPr>
            </w:pPr>
            <w:r w:rsidRPr="00457221">
              <w:rPr>
                <w:rFonts w:ascii="Segoe UI Symbol" w:eastAsia="Times New Roman" w:hAnsi="Segoe UI Symbol" w:cs="Segoe UI Symbol"/>
                <w:szCs w:val="24"/>
                <w:lang w:eastAsia="ru-RU"/>
              </w:rPr>
              <w:t>✘</w:t>
            </w:r>
          </w:p>
        </w:tc>
      </w:tr>
      <w:tr w:rsidR="000C1190" w:rsidRPr="00457221" w14:paraId="5674295E" w14:textId="77777777" w:rsidTr="002B4A03">
        <w:tc>
          <w:tcPr>
            <w:tcW w:w="5000" w:type="pct"/>
            <w:gridSpan w:val="7"/>
          </w:tcPr>
          <w:p w14:paraId="12475AD4" w14:textId="3DCFB163" w:rsidR="000C1190" w:rsidRPr="00EE311D" w:rsidRDefault="002B4A03" w:rsidP="00EE7DE7">
            <w:pPr>
              <w:ind w:firstLine="452"/>
              <w:jc w:val="both"/>
              <w:rPr>
                <w:rFonts w:eastAsia="Times New Roman"/>
                <w:szCs w:val="24"/>
                <w:lang w:eastAsia="ru-RU"/>
              </w:rPr>
            </w:pPr>
            <w:r w:rsidRPr="00EE311D">
              <w:rPr>
                <w:szCs w:val="24"/>
              </w:rPr>
              <w:t>Примечание</w:t>
            </w:r>
            <w:r w:rsidRPr="00EE311D">
              <w:rPr>
                <w:szCs w:val="24"/>
                <w:lang w:val="kk-KZ"/>
              </w:rPr>
              <w:t xml:space="preserve"> – </w:t>
            </w:r>
            <w:r w:rsidR="000F3C80" w:rsidRPr="00EE311D">
              <w:rPr>
                <w:szCs w:val="24"/>
                <w:lang w:val="kk-KZ"/>
              </w:rPr>
              <w:t>З</w:t>
            </w:r>
            <w:r w:rsidR="000C1190" w:rsidRPr="00EE311D">
              <w:rPr>
                <w:szCs w:val="24"/>
              </w:rPr>
              <w:t xml:space="preserve">начимость указана как </w:t>
            </w:r>
            <w:r w:rsidR="000C1190" w:rsidRPr="00EE311D">
              <w:rPr>
                <w:rStyle w:val="af1"/>
                <w:rFonts w:ascii="Segoe UI Symbol" w:hAnsi="Segoe UI Symbol" w:cs="Segoe UI Symbol"/>
                <w:szCs w:val="24"/>
              </w:rPr>
              <w:t>✔</w:t>
            </w:r>
            <w:r w:rsidR="000C1190" w:rsidRPr="00EE311D">
              <w:rPr>
                <w:szCs w:val="24"/>
              </w:rPr>
              <w:t xml:space="preserve"> </w:t>
            </w:r>
            <w:r w:rsidR="009D20AE" w:rsidRPr="00EE311D">
              <w:rPr>
                <w:szCs w:val="24"/>
              </w:rPr>
              <w:t>–</w:t>
            </w:r>
            <w:r w:rsidR="000C1190" w:rsidRPr="00EE311D">
              <w:rPr>
                <w:szCs w:val="24"/>
              </w:rPr>
              <w:t xml:space="preserve"> значимо (p &lt; 0</w:t>
            </w:r>
            <w:r w:rsidR="00457221" w:rsidRPr="00EE311D">
              <w:rPr>
                <w:szCs w:val="24"/>
                <w:lang w:val="kk-KZ"/>
              </w:rPr>
              <w:t>,</w:t>
            </w:r>
            <w:r w:rsidR="000C1190" w:rsidRPr="00EE311D">
              <w:rPr>
                <w:szCs w:val="24"/>
              </w:rPr>
              <w:t xml:space="preserve">05), (•) </w:t>
            </w:r>
            <w:r w:rsidR="009D20AE" w:rsidRPr="00EE311D">
              <w:rPr>
                <w:szCs w:val="24"/>
              </w:rPr>
              <w:t>–</w:t>
            </w:r>
            <w:r w:rsidR="000C1190" w:rsidRPr="00EE311D">
              <w:rPr>
                <w:szCs w:val="24"/>
              </w:rPr>
              <w:t xml:space="preserve"> погранично значимо (p &lt; 0</w:t>
            </w:r>
            <w:r w:rsidR="00457221" w:rsidRPr="00EE311D">
              <w:rPr>
                <w:szCs w:val="24"/>
                <w:lang w:val="kk-KZ"/>
              </w:rPr>
              <w:t>,</w:t>
            </w:r>
            <w:r w:rsidR="000C1190" w:rsidRPr="00EE311D">
              <w:rPr>
                <w:szCs w:val="24"/>
              </w:rPr>
              <w:t xml:space="preserve">1), </w:t>
            </w:r>
            <w:r w:rsidR="000C1190" w:rsidRPr="00EE311D">
              <w:rPr>
                <w:rFonts w:ascii="Segoe UI Symbol" w:hAnsi="Segoe UI Symbol" w:cs="Segoe UI Symbol"/>
                <w:szCs w:val="24"/>
              </w:rPr>
              <w:t>✘</w:t>
            </w:r>
            <w:r w:rsidR="000C1190" w:rsidRPr="00EE311D">
              <w:rPr>
                <w:szCs w:val="24"/>
              </w:rPr>
              <w:t xml:space="preserve"> </w:t>
            </w:r>
            <w:r w:rsidR="009D20AE" w:rsidRPr="00EE311D">
              <w:rPr>
                <w:szCs w:val="24"/>
              </w:rPr>
              <w:t>–</w:t>
            </w:r>
            <w:r w:rsidR="003F0E8F" w:rsidRPr="00EE311D">
              <w:rPr>
                <w:szCs w:val="24"/>
              </w:rPr>
              <w:t xml:space="preserve"> незначимо</w:t>
            </w:r>
          </w:p>
        </w:tc>
      </w:tr>
    </w:tbl>
    <w:p w14:paraId="4163D763" w14:textId="77777777" w:rsidR="000C1190" w:rsidRPr="000C1190" w:rsidRDefault="000C1190" w:rsidP="002F33D0">
      <w:pPr>
        <w:spacing w:after="0" w:line="240" w:lineRule="auto"/>
        <w:ind w:firstLine="567"/>
        <w:jc w:val="both"/>
        <w:rPr>
          <w:rFonts w:ascii="Times New Roman" w:hAnsi="Times New Roman" w:cs="Times New Roman"/>
          <w:sz w:val="28"/>
          <w:szCs w:val="28"/>
        </w:rPr>
      </w:pPr>
    </w:p>
    <w:p w14:paraId="2E4ABB72" w14:textId="3805E560"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Здесь значимыми оказались технологические тренды</w:t>
      </w:r>
      <w:r w:rsidR="007D4715">
        <w:rPr>
          <w:rFonts w:ascii="Times New Roman" w:hAnsi="Times New Roman" w:cs="Times New Roman"/>
          <w:sz w:val="28"/>
          <w:szCs w:val="28"/>
          <w:lang w:val="kk-KZ"/>
        </w:rPr>
        <w:t xml:space="preserve"> (</w:t>
      </w:r>
      <m:oMath>
        <m:r>
          <w:rPr>
            <w:rFonts w:ascii="Cambria Math" w:hAnsi="Cambria Math"/>
            <w:sz w:val="28"/>
            <w:szCs w:val="28"/>
            <w:lang w:val="en-US"/>
          </w:rPr>
          <m:t>tec</m:t>
        </m:r>
        <m:r>
          <w:rPr>
            <w:rFonts w:ascii="Cambria Math" w:hAnsi="Cambria Math"/>
            <w:sz w:val="28"/>
            <w:szCs w:val="28"/>
          </w:rPr>
          <m:t>h</m:t>
        </m:r>
        <m:r>
          <w:rPr>
            <w:rFonts w:ascii="Cambria Math" w:hAnsi="Cambria Math"/>
            <w:sz w:val="28"/>
            <w:szCs w:val="28"/>
            <w:lang w:val="en-US"/>
          </w:rPr>
          <m:t>trends</m:t>
        </m:r>
      </m:oMath>
      <w:r w:rsidR="007D4715">
        <w:rPr>
          <w:rFonts w:ascii="Times New Roman" w:eastAsiaTheme="minorEastAsia" w:hAnsi="Times New Roman" w:cs="Times New Roman"/>
          <w:sz w:val="28"/>
          <w:szCs w:val="28"/>
          <w:lang w:val="kk-KZ"/>
        </w:rPr>
        <w:t>)</w:t>
      </w:r>
      <w:r w:rsidRPr="000C1190">
        <w:rPr>
          <w:rFonts w:ascii="Times New Roman" w:hAnsi="Times New Roman" w:cs="Times New Roman"/>
          <w:sz w:val="28"/>
          <w:szCs w:val="28"/>
        </w:rPr>
        <w:t>, командная работа</w:t>
      </w:r>
      <w:r w:rsidR="007D4715">
        <w:rPr>
          <w:rFonts w:ascii="Times New Roman" w:hAnsi="Times New Roman" w:cs="Times New Roman"/>
          <w:sz w:val="28"/>
          <w:szCs w:val="28"/>
          <w:lang w:val="kk-KZ"/>
        </w:rPr>
        <w:t xml:space="preserve"> (</w:t>
      </w:r>
      <m:oMath>
        <m:r>
          <w:rPr>
            <w:rFonts w:ascii="Cambria Math" w:hAnsi="Cambria Math"/>
            <w:sz w:val="28"/>
            <w:szCs w:val="28"/>
            <w:lang w:val="kk-KZ"/>
          </w:rPr>
          <m:t>teamwork</m:t>
        </m:r>
      </m:oMath>
      <w:r w:rsidR="007D4715">
        <w:rPr>
          <w:rFonts w:ascii="Times New Roman" w:eastAsiaTheme="minorEastAsia" w:hAnsi="Times New Roman" w:cs="Times New Roman"/>
          <w:sz w:val="28"/>
          <w:szCs w:val="28"/>
          <w:lang w:val="kk-KZ"/>
        </w:rPr>
        <w:t>)</w:t>
      </w:r>
      <w:r w:rsidRPr="000C1190">
        <w:rPr>
          <w:rFonts w:ascii="Times New Roman" w:hAnsi="Times New Roman" w:cs="Times New Roman"/>
          <w:sz w:val="28"/>
          <w:szCs w:val="28"/>
        </w:rPr>
        <w:t>, креативность</w:t>
      </w:r>
      <w:r w:rsidR="007D4715">
        <w:rPr>
          <w:rFonts w:ascii="Times New Roman" w:hAnsi="Times New Roman" w:cs="Times New Roman"/>
          <w:sz w:val="28"/>
          <w:szCs w:val="28"/>
          <w:lang w:val="kk-KZ"/>
        </w:rPr>
        <w:t xml:space="preserve"> (</w:t>
      </w:r>
      <m:oMath>
        <m:r>
          <w:rPr>
            <w:rFonts w:ascii="Cambria Math" w:hAnsi="Cambria Math"/>
            <w:sz w:val="28"/>
            <w:szCs w:val="28"/>
            <w:lang w:val="kk-KZ"/>
          </w:rPr>
          <m:t>creativity</m:t>
        </m:r>
      </m:oMath>
      <w:r w:rsidR="007D4715">
        <w:rPr>
          <w:rFonts w:ascii="Times New Roman" w:eastAsiaTheme="minorEastAsia" w:hAnsi="Times New Roman" w:cs="Times New Roman"/>
          <w:sz w:val="28"/>
          <w:szCs w:val="28"/>
          <w:lang w:val="kk-KZ"/>
        </w:rPr>
        <w:t>)</w:t>
      </w:r>
      <w:r w:rsidRPr="000C1190">
        <w:rPr>
          <w:rFonts w:ascii="Times New Roman" w:hAnsi="Times New Roman" w:cs="Times New Roman"/>
          <w:sz w:val="28"/>
          <w:szCs w:val="28"/>
        </w:rPr>
        <w:t>, адаптивность</w:t>
      </w:r>
      <w:r w:rsidR="007D4715">
        <w:rPr>
          <w:rFonts w:ascii="Times New Roman" w:hAnsi="Times New Roman" w:cs="Times New Roman"/>
          <w:sz w:val="28"/>
          <w:szCs w:val="28"/>
          <w:lang w:val="kk-KZ"/>
        </w:rPr>
        <w:t xml:space="preserve"> (</w:t>
      </w:r>
      <m:oMath>
        <m:r>
          <w:rPr>
            <w:rFonts w:ascii="Cambria Math" w:hAnsi="Cambria Math"/>
            <w:sz w:val="28"/>
            <w:szCs w:val="28"/>
            <w:lang w:val="kk-KZ"/>
          </w:rPr>
          <m:t>adaptability</m:t>
        </m:r>
      </m:oMath>
      <w:r w:rsidR="007D4715">
        <w:rPr>
          <w:rFonts w:ascii="Times New Roman" w:eastAsiaTheme="minorEastAsia" w:hAnsi="Times New Roman" w:cs="Times New Roman"/>
          <w:sz w:val="28"/>
          <w:szCs w:val="28"/>
          <w:lang w:val="kk-KZ"/>
        </w:rPr>
        <w:t>)</w:t>
      </w:r>
      <w:r w:rsidRPr="000C1190">
        <w:rPr>
          <w:rFonts w:ascii="Times New Roman" w:hAnsi="Times New Roman" w:cs="Times New Roman"/>
          <w:sz w:val="28"/>
          <w:szCs w:val="28"/>
        </w:rPr>
        <w:t xml:space="preserve"> и робототехника</w:t>
      </w:r>
      <w:r w:rsidR="007D4715">
        <w:rPr>
          <w:rFonts w:ascii="Times New Roman" w:hAnsi="Times New Roman" w:cs="Times New Roman"/>
          <w:sz w:val="28"/>
          <w:szCs w:val="28"/>
          <w:lang w:val="kk-KZ"/>
        </w:rPr>
        <w:t xml:space="preserve"> (</w:t>
      </w:r>
      <m:oMath>
        <m:r>
          <w:rPr>
            <w:rFonts w:ascii="Cambria Math" w:hAnsi="Cambria Math"/>
            <w:sz w:val="28"/>
            <w:szCs w:val="28"/>
            <w:lang w:val="kk-KZ"/>
          </w:rPr>
          <m:t>robotics</m:t>
        </m:r>
      </m:oMath>
      <w:r w:rsidR="007D4715">
        <w:rPr>
          <w:rFonts w:ascii="Times New Roman" w:eastAsiaTheme="minorEastAsia" w:hAnsi="Times New Roman" w:cs="Times New Roman"/>
          <w:sz w:val="28"/>
          <w:szCs w:val="28"/>
          <w:lang w:val="kk-KZ"/>
        </w:rPr>
        <w:t>)</w:t>
      </w:r>
      <w:r w:rsidR="00457221">
        <w:rPr>
          <w:rFonts w:ascii="Times New Roman" w:hAnsi="Times New Roman" w:cs="Times New Roman"/>
          <w:sz w:val="28"/>
          <w:szCs w:val="28"/>
          <w:lang w:val="kk-KZ"/>
        </w:rPr>
        <w:t xml:space="preserve"> (6)</w:t>
      </w:r>
      <w:r w:rsidRPr="000C1190">
        <w:rPr>
          <w:rFonts w:ascii="Times New Roman" w:hAnsi="Times New Roman" w:cs="Times New Roman"/>
          <w:sz w:val="28"/>
          <w:szCs w:val="28"/>
        </w:rPr>
        <w:t>.</w:t>
      </w:r>
    </w:p>
    <w:p w14:paraId="0405CD06" w14:textId="33941CD3" w:rsidR="000C1190" w:rsidRDefault="000C1190" w:rsidP="002F33D0">
      <w:pPr>
        <w:spacing w:after="0" w:line="240" w:lineRule="auto"/>
        <w:ind w:firstLine="567"/>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2"/>
        <w:gridCol w:w="543"/>
      </w:tblGrid>
      <w:tr w:rsidR="00457221" w14:paraId="403D803E" w14:textId="77777777" w:rsidTr="00457221">
        <w:tc>
          <w:tcPr>
            <w:tcW w:w="9209" w:type="dxa"/>
          </w:tcPr>
          <w:p w14:paraId="16375F1A" w14:textId="77777777" w:rsidR="00457221" w:rsidRPr="00457221" w:rsidRDefault="001D4931" w:rsidP="002F33D0">
            <w:pPr>
              <w:ind w:firstLine="0"/>
              <w:jc w:val="center"/>
              <w:rPr>
                <w:rFonts w:eastAsiaTheme="minorEastAsia"/>
                <w:sz w:val="28"/>
                <w:szCs w:val="28"/>
                <w:lang w:val="kk-KZ"/>
              </w:rPr>
            </w:pPr>
            <m:oMathPara>
              <m:oMathParaPr>
                <m:jc m:val="center"/>
              </m:oMathParaPr>
              <m:oMath>
                <m:sSub>
                  <m:sSubPr>
                    <m:ctrlPr>
                      <w:rPr>
                        <w:rFonts w:ascii="Cambria Math" w:hAnsi="Cambria Math"/>
                        <w:i/>
                        <w:sz w:val="28"/>
                        <w:szCs w:val="28"/>
                        <w:lang w:val="kk-KZ"/>
                      </w:rPr>
                    </m:ctrlPr>
                  </m:sSubPr>
                  <m:e>
                    <m:r>
                      <w:rPr>
                        <w:rFonts w:ascii="Cambria Math" w:hAnsi="Cambria Math"/>
                        <w:sz w:val="28"/>
                        <w:szCs w:val="28"/>
                        <w:lang w:val="en-US"/>
                      </w:rPr>
                      <m:t>IP</m:t>
                    </m:r>
                  </m:e>
                  <m:sub>
                    <m:r>
                      <w:rPr>
                        <w:rFonts w:ascii="Cambria Math" w:hAnsi="Cambria Math"/>
                        <w:sz w:val="28"/>
                        <w:szCs w:val="28"/>
                        <w:lang w:val="kk-KZ"/>
                      </w:rPr>
                      <m:t>средн.</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β</m:t>
                    </m:r>
                  </m:e>
                  <m:sub>
                    <m:r>
                      <w:rPr>
                        <w:rFonts w:ascii="Cambria Math" w:hAnsi="Cambria Math"/>
                        <w:sz w:val="28"/>
                        <w:szCs w:val="28"/>
                        <w:lang w:val="kk-KZ"/>
                      </w:rPr>
                      <m:t>0</m:t>
                    </m:r>
                  </m:sub>
                </m:sSub>
                <m:r>
                  <w:rPr>
                    <w:rFonts w:ascii="Cambria Math" w:hAnsi="Cambria Math"/>
                    <w:sz w:val="28"/>
                    <w:szCs w:val="28"/>
                    <w:lang w:val="kk-KZ"/>
                  </w:rPr>
                  <m:t>+0,408∙</m:t>
                </m:r>
                <m:r>
                  <w:rPr>
                    <w:rFonts w:ascii="Cambria Math" w:hAnsi="Cambria Math"/>
                    <w:sz w:val="28"/>
                    <w:szCs w:val="28"/>
                    <w:lang w:val="en-US"/>
                  </w:rPr>
                  <m:t>techtrends</m:t>
                </m:r>
                <m:r>
                  <w:rPr>
                    <w:rFonts w:ascii="Cambria Math" w:hAnsi="Cambria Math"/>
                    <w:sz w:val="28"/>
                    <w:szCs w:val="28"/>
                    <w:lang w:val="kk-KZ"/>
                  </w:rPr>
                  <m:t>+0.268∙teamwork+</m:t>
                </m:r>
              </m:oMath>
            </m:oMathPara>
          </w:p>
          <w:p w14:paraId="1A72C0D1" w14:textId="162A9A1F" w:rsidR="00457221" w:rsidRDefault="00457221" w:rsidP="002F33D0">
            <w:pPr>
              <w:ind w:firstLine="0"/>
              <w:jc w:val="center"/>
              <w:rPr>
                <w:sz w:val="28"/>
                <w:szCs w:val="28"/>
              </w:rPr>
            </w:pPr>
            <m:oMathPara>
              <m:oMath>
                <m:r>
                  <w:rPr>
                    <w:rFonts w:ascii="Cambria Math" w:hAnsi="Cambria Math"/>
                    <w:sz w:val="28"/>
                    <w:szCs w:val="28"/>
                    <w:lang w:val="kk-KZ"/>
                  </w:rPr>
                  <m:t>+0.259∙creativity+0.167∙adaptability+0.252∙robotics+ε</m:t>
                </m:r>
              </m:oMath>
            </m:oMathPara>
          </w:p>
        </w:tc>
        <w:tc>
          <w:tcPr>
            <w:tcW w:w="419" w:type="dxa"/>
            <w:vAlign w:val="center"/>
          </w:tcPr>
          <w:p w14:paraId="3F5BCFBE" w14:textId="5FF6B32E" w:rsidR="00457221" w:rsidRPr="00457221" w:rsidRDefault="00457221" w:rsidP="002F33D0">
            <w:pPr>
              <w:ind w:firstLine="0"/>
              <w:jc w:val="center"/>
              <w:rPr>
                <w:sz w:val="28"/>
                <w:szCs w:val="28"/>
                <w:lang w:val="kk-KZ"/>
              </w:rPr>
            </w:pPr>
            <w:r>
              <w:rPr>
                <w:sz w:val="28"/>
                <w:szCs w:val="28"/>
                <w:lang w:val="kk-KZ"/>
              </w:rPr>
              <w:t>(6)</w:t>
            </w:r>
          </w:p>
        </w:tc>
      </w:tr>
    </w:tbl>
    <w:p w14:paraId="5422A9E3" w14:textId="18259114" w:rsidR="00457221" w:rsidRDefault="00457221" w:rsidP="002F33D0">
      <w:pPr>
        <w:spacing w:after="0" w:line="240" w:lineRule="auto"/>
        <w:ind w:firstLine="567"/>
        <w:jc w:val="both"/>
        <w:rPr>
          <w:rFonts w:ascii="Times New Roman" w:hAnsi="Times New Roman" w:cs="Times New Roman"/>
          <w:sz w:val="28"/>
          <w:szCs w:val="28"/>
        </w:rPr>
      </w:pPr>
    </w:p>
    <w:p w14:paraId="44F04C4F"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Для анализа факторов, влияющих на инновационный потенциал (IP_selfrate) в малых предпринимательских структурах, была построена линейная регрессионная модель, включающая три блока предикторов: </w:t>
      </w:r>
      <w:r w:rsidRPr="000C1190">
        <w:rPr>
          <w:rFonts w:ascii="Times New Roman" w:hAnsi="Times New Roman" w:cs="Times New Roman"/>
          <w:sz w:val="28"/>
          <w:szCs w:val="28"/>
        </w:rPr>
        <w:lastRenderedPageBreak/>
        <w:t>индивидуальные soft- и hard-компетенции сотрудников, а также реализуемые HR-практики.</w:t>
      </w:r>
    </w:p>
    <w:p w14:paraId="51AC49C4" w14:textId="0F16865A"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Модель продемонстрировала устойчивую объяснительную силу (R</w:t>
      </w:r>
      <w:r w:rsidR="007D4715" w:rsidRPr="007D4715">
        <w:rPr>
          <w:rFonts w:ascii="Times New Roman" w:hAnsi="Times New Roman" w:cs="Times New Roman"/>
          <w:sz w:val="28"/>
          <w:szCs w:val="28"/>
          <w:vertAlign w:val="superscript"/>
          <w:lang w:val="kk-KZ"/>
        </w:rPr>
        <w:t>2</w:t>
      </w:r>
      <w:r w:rsidRPr="000C1190">
        <w:rPr>
          <w:rFonts w:ascii="Times New Roman" w:hAnsi="Times New Roman" w:cs="Times New Roman"/>
          <w:sz w:val="28"/>
          <w:szCs w:val="28"/>
        </w:rPr>
        <w:t xml:space="preserve"> = 0</w:t>
      </w:r>
      <w:r w:rsidR="00457221">
        <w:rPr>
          <w:rFonts w:ascii="Times New Roman" w:hAnsi="Times New Roman" w:cs="Times New Roman"/>
          <w:sz w:val="28"/>
          <w:szCs w:val="28"/>
          <w:lang w:val="kk-KZ"/>
        </w:rPr>
        <w:t>,</w:t>
      </w:r>
      <w:r w:rsidRPr="000C1190">
        <w:rPr>
          <w:rFonts w:ascii="Times New Roman" w:hAnsi="Times New Roman" w:cs="Times New Roman"/>
          <w:sz w:val="28"/>
          <w:szCs w:val="28"/>
        </w:rPr>
        <w:t>402; Adj. R</w:t>
      </w:r>
      <w:r w:rsidR="007D4715" w:rsidRPr="007D4715">
        <w:rPr>
          <w:rFonts w:ascii="Times New Roman" w:hAnsi="Times New Roman" w:cs="Times New Roman"/>
          <w:sz w:val="28"/>
          <w:szCs w:val="28"/>
          <w:vertAlign w:val="superscript"/>
          <w:lang w:val="kk-KZ"/>
        </w:rPr>
        <w:t>2</w:t>
      </w:r>
      <w:r w:rsidRPr="000C1190">
        <w:rPr>
          <w:rFonts w:ascii="Times New Roman" w:hAnsi="Times New Roman" w:cs="Times New Roman"/>
          <w:sz w:val="28"/>
          <w:szCs w:val="28"/>
        </w:rPr>
        <w:t xml:space="preserve"> = 0</w:t>
      </w:r>
      <w:r w:rsidR="00457221">
        <w:rPr>
          <w:rFonts w:ascii="Times New Roman" w:hAnsi="Times New Roman" w:cs="Times New Roman"/>
          <w:sz w:val="28"/>
          <w:szCs w:val="28"/>
          <w:lang w:val="kk-KZ"/>
        </w:rPr>
        <w:t>,</w:t>
      </w:r>
      <w:r w:rsidRPr="000C1190">
        <w:rPr>
          <w:rFonts w:ascii="Times New Roman" w:hAnsi="Times New Roman" w:cs="Times New Roman"/>
          <w:sz w:val="28"/>
          <w:szCs w:val="28"/>
        </w:rPr>
        <w:t xml:space="preserve">366; p </w:t>
      </w:r>
      <w:r w:rsidR="00457221" w:rsidRPr="000C1190">
        <w:rPr>
          <w:rFonts w:ascii="Times New Roman" w:hAnsi="Times New Roman" w:cs="Times New Roman"/>
          <w:sz w:val="28"/>
          <w:szCs w:val="28"/>
        </w:rPr>
        <w:t>&lt;0,001</w:t>
      </w:r>
      <w:r w:rsidRPr="000C1190">
        <w:rPr>
          <w:rFonts w:ascii="Times New Roman" w:hAnsi="Times New Roman" w:cs="Times New Roman"/>
          <w:sz w:val="28"/>
          <w:szCs w:val="28"/>
        </w:rPr>
        <w:t>), что подтверждает значимость человеческого капитала даже в малом бизнесе, несмотря на ограниченность его структурных и организационных ресурсов.</w:t>
      </w:r>
    </w:p>
    <w:p w14:paraId="5996C097"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Наибольшее влияние на инновационный потенциал оказали следующие hard-компетенции:</w:t>
      </w:r>
    </w:p>
    <w:p w14:paraId="07673946" w14:textId="27DEA468" w:rsidR="000C1190" w:rsidRPr="000C1190" w:rsidRDefault="007D4715" w:rsidP="007F5E68">
      <w:pPr>
        <w:pStyle w:val="a3"/>
        <w:numPr>
          <w:ilvl w:val="0"/>
          <w:numId w:val="17"/>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kk-KZ"/>
        </w:rPr>
        <w:t>з</w:t>
      </w:r>
      <w:r w:rsidR="000C1190" w:rsidRPr="000C1190">
        <w:rPr>
          <w:rFonts w:ascii="Times New Roman" w:hAnsi="Times New Roman" w:cs="Times New Roman"/>
          <w:sz w:val="28"/>
          <w:szCs w:val="28"/>
        </w:rPr>
        <w:t>нания в области экологической безопасности (β = 0</w:t>
      </w:r>
      <w:r w:rsidR="00457221">
        <w:rPr>
          <w:rFonts w:ascii="Times New Roman" w:hAnsi="Times New Roman" w:cs="Times New Roman"/>
          <w:sz w:val="28"/>
          <w:szCs w:val="28"/>
          <w:lang w:val="kk-KZ"/>
        </w:rPr>
        <w:t>,</w:t>
      </w:r>
      <w:r w:rsidR="000C1190" w:rsidRPr="000C1190">
        <w:rPr>
          <w:rFonts w:ascii="Times New Roman" w:hAnsi="Times New Roman" w:cs="Times New Roman"/>
          <w:sz w:val="28"/>
          <w:szCs w:val="28"/>
        </w:rPr>
        <w:t xml:space="preserve">288; p </w:t>
      </w:r>
      <w:r w:rsidR="00457221" w:rsidRPr="000C1190">
        <w:rPr>
          <w:rFonts w:ascii="Times New Roman" w:hAnsi="Times New Roman" w:cs="Times New Roman"/>
          <w:sz w:val="28"/>
          <w:szCs w:val="28"/>
        </w:rPr>
        <w:t>&lt;0,001</w:t>
      </w:r>
      <w:r w:rsidR="000C1190" w:rsidRPr="000C1190">
        <w:rPr>
          <w:rFonts w:ascii="Times New Roman" w:hAnsi="Times New Roman" w:cs="Times New Roman"/>
          <w:sz w:val="28"/>
          <w:szCs w:val="28"/>
        </w:rPr>
        <w:t>);</w:t>
      </w:r>
    </w:p>
    <w:p w14:paraId="1E0CF2CC" w14:textId="2A8FF0A3" w:rsidR="000C1190" w:rsidRPr="000C1190" w:rsidRDefault="007D4715" w:rsidP="007F5E68">
      <w:pPr>
        <w:pStyle w:val="a3"/>
        <w:numPr>
          <w:ilvl w:val="0"/>
          <w:numId w:val="17"/>
        </w:numPr>
        <w:tabs>
          <w:tab w:val="left" w:pos="851"/>
        </w:tabs>
        <w:spacing w:after="0" w:line="24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kk-KZ"/>
        </w:rPr>
        <w:t>н</w:t>
      </w:r>
      <w:r w:rsidR="000C1190" w:rsidRPr="000C1190">
        <w:rPr>
          <w:rFonts w:ascii="Times New Roman" w:hAnsi="Times New Roman" w:cs="Times New Roman"/>
          <w:sz w:val="28"/>
          <w:szCs w:val="28"/>
        </w:rPr>
        <w:t>авыки</w:t>
      </w:r>
      <w:r w:rsidR="000C1190" w:rsidRPr="000C1190">
        <w:rPr>
          <w:rFonts w:ascii="Times New Roman" w:hAnsi="Times New Roman" w:cs="Times New Roman"/>
          <w:sz w:val="28"/>
          <w:szCs w:val="28"/>
          <w:lang w:val="en-US"/>
        </w:rPr>
        <w:t xml:space="preserve"> </w:t>
      </w:r>
      <w:r w:rsidR="000C1190" w:rsidRPr="000C1190">
        <w:rPr>
          <w:rFonts w:ascii="Times New Roman" w:hAnsi="Times New Roman" w:cs="Times New Roman"/>
          <w:sz w:val="28"/>
          <w:szCs w:val="28"/>
        </w:rPr>
        <w:t>кибербезопасности</w:t>
      </w:r>
      <w:r w:rsidR="000C1190" w:rsidRPr="000C1190">
        <w:rPr>
          <w:rFonts w:ascii="Times New Roman" w:hAnsi="Times New Roman" w:cs="Times New Roman"/>
          <w:sz w:val="28"/>
          <w:szCs w:val="28"/>
          <w:lang w:val="en-US"/>
        </w:rPr>
        <w:t xml:space="preserve"> (</w:t>
      </w:r>
      <w:r w:rsidR="000C1190" w:rsidRPr="000C1190">
        <w:rPr>
          <w:rFonts w:ascii="Times New Roman" w:hAnsi="Times New Roman" w:cs="Times New Roman"/>
          <w:sz w:val="28"/>
          <w:szCs w:val="28"/>
        </w:rPr>
        <w:t>β</w:t>
      </w:r>
      <w:r w:rsidR="000C1190" w:rsidRPr="000C1190">
        <w:rPr>
          <w:rFonts w:ascii="Times New Roman" w:hAnsi="Times New Roman" w:cs="Times New Roman"/>
          <w:sz w:val="28"/>
          <w:szCs w:val="28"/>
          <w:lang w:val="en-US"/>
        </w:rPr>
        <w:t xml:space="preserve"> = 0</w:t>
      </w:r>
      <w:r w:rsidR="00457221">
        <w:rPr>
          <w:rFonts w:ascii="Times New Roman" w:hAnsi="Times New Roman" w:cs="Times New Roman"/>
          <w:sz w:val="28"/>
          <w:szCs w:val="28"/>
          <w:lang w:val="kk-KZ"/>
        </w:rPr>
        <w:t>,</w:t>
      </w:r>
      <w:r w:rsidR="000C1190" w:rsidRPr="000C1190">
        <w:rPr>
          <w:rFonts w:ascii="Times New Roman" w:hAnsi="Times New Roman" w:cs="Times New Roman"/>
          <w:sz w:val="28"/>
          <w:szCs w:val="28"/>
          <w:lang w:val="en-US"/>
        </w:rPr>
        <w:t xml:space="preserve">231; p </w:t>
      </w:r>
      <w:r w:rsidR="00457221" w:rsidRPr="000C1190">
        <w:rPr>
          <w:rFonts w:ascii="Times New Roman" w:hAnsi="Times New Roman" w:cs="Times New Roman"/>
          <w:sz w:val="28"/>
          <w:szCs w:val="28"/>
          <w:lang w:val="en-US"/>
        </w:rPr>
        <w:t>&lt;0,001</w:t>
      </w:r>
      <w:r w:rsidR="000C1190" w:rsidRPr="000C1190">
        <w:rPr>
          <w:rFonts w:ascii="Times New Roman" w:hAnsi="Times New Roman" w:cs="Times New Roman"/>
          <w:sz w:val="28"/>
          <w:szCs w:val="28"/>
          <w:lang w:val="en-US"/>
        </w:rPr>
        <w:t>);</w:t>
      </w:r>
    </w:p>
    <w:p w14:paraId="71CB30B5" w14:textId="1BBA6964" w:rsidR="000C1190" w:rsidRPr="000C1190" w:rsidRDefault="007D4715" w:rsidP="007F5E68">
      <w:pPr>
        <w:pStyle w:val="a3"/>
        <w:numPr>
          <w:ilvl w:val="0"/>
          <w:numId w:val="17"/>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kk-KZ"/>
        </w:rPr>
        <w:t>н</w:t>
      </w:r>
      <w:r w:rsidR="000C1190" w:rsidRPr="000C1190">
        <w:rPr>
          <w:rFonts w:ascii="Times New Roman" w:hAnsi="Times New Roman" w:cs="Times New Roman"/>
          <w:sz w:val="28"/>
          <w:szCs w:val="28"/>
        </w:rPr>
        <w:t>авыки работы с роботизированными системами (β = 0</w:t>
      </w:r>
      <w:r w:rsidR="00457221">
        <w:rPr>
          <w:rFonts w:ascii="Times New Roman" w:hAnsi="Times New Roman" w:cs="Times New Roman"/>
          <w:sz w:val="28"/>
          <w:szCs w:val="28"/>
          <w:lang w:val="kk-KZ"/>
        </w:rPr>
        <w:t>,</w:t>
      </w:r>
      <w:r w:rsidR="000C1190" w:rsidRPr="000C1190">
        <w:rPr>
          <w:rFonts w:ascii="Times New Roman" w:hAnsi="Times New Roman" w:cs="Times New Roman"/>
          <w:sz w:val="28"/>
          <w:szCs w:val="28"/>
        </w:rPr>
        <w:t xml:space="preserve">182; p </w:t>
      </w:r>
      <w:r w:rsidR="00457221" w:rsidRPr="000C1190">
        <w:rPr>
          <w:rFonts w:ascii="Times New Roman" w:hAnsi="Times New Roman" w:cs="Times New Roman"/>
          <w:sz w:val="28"/>
          <w:szCs w:val="28"/>
        </w:rPr>
        <w:t>&lt;0,001</w:t>
      </w:r>
      <w:r w:rsidR="000C1190" w:rsidRPr="000C1190">
        <w:rPr>
          <w:rFonts w:ascii="Times New Roman" w:hAnsi="Times New Roman" w:cs="Times New Roman"/>
          <w:sz w:val="28"/>
          <w:szCs w:val="28"/>
        </w:rPr>
        <w:t>);</w:t>
      </w:r>
    </w:p>
    <w:p w14:paraId="1B187D3A" w14:textId="375C23BD" w:rsidR="000C1190" w:rsidRPr="000C1190" w:rsidRDefault="007D4715" w:rsidP="007F5E68">
      <w:pPr>
        <w:pStyle w:val="a3"/>
        <w:numPr>
          <w:ilvl w:val="0"/>
          <w:numId w:val="17"/>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kk-KZ"/>
        </w:rPr>
        <w:t>з</w:t>
      </w:r>
      <w:r w:rsidR="000C1190" w:rsidRPr="000C1190">
        <w:rPr>
          <w:rFonts w:ascii="Times New Roman" w:hAnsi="Times New Roman" w:cs="Times New Roman"/>
          <w:sz w:val="28"/>
          <w:szCs w:val="28"/>
        </w:rPr>
        <w:t>нания в области биотехнологий (β = 0</w:t>
      </w:r>
      <w:r w:rsidR="00457221">
        <w:rPr>
          <w:rFonts w:ascii="Times New Roman" w:hAnsi="Times New Roman" w:cs="Times New Roman"/>
          <w:sz w:val="28"/>
          <w:szCs w:val="28"/>
          <w:lang w:val="kk-KZ"/>
        </w:rPr>
        <w:t>,</w:t>
      </w:r>
      <w:r w:rsidR="000C1190" w:rsidRPr="000C1190">
        <w:rPr>
          <w:rFonts w:ascii="Times New Roman" w:hAnsi="Times New Roman" w:cs="Times New Roman"/>
          <w:sz w:val="28"/>
          <w:szCs w:val="28"/>
        </w:rPr>
        <w:t>126; p = 0</w:t>
      </w:r>
      <w:r w:rsidR="00457221">
        <w:rPr>
          <w:rFonts w:ascii="Times New Roman" w:hAnsi="Times New Roman" w:cs="Times New Roman"/>
          <w:sz w:val="28"/>
          <w:szCs w:val="28"/>
          <w:lang w:val="kk-KZ"/>
        </w:rPr>
        <w:t>,</w:t>
      </w:r>
      <w:r w:rsidR="000C1190" w:rsidRPr="000C1190">
        <w:rPr>
          <w:rFonts w:ascii="Times New Roman" w:hAnsi="Times New Roman" w:cs="Times New Roman"/>
          <w:sz w:val="28"/>
          <w:szCs w:val="28"/>
        </w:rPr>
        <w:t>004);</w:t>
      </w:r>
    </w:p>
    <w:p w14:paraId="1588DC16" w14:textId="21F14BA2" w:rsidR="000C1190" w:rsidRPr="000C1190" w:rsidRDefault="007D4715" w:rsidP="007F5E68">
      <w:pPr>
        <w:pStyle w:val="a3"/>
        <w:numPr>
          <w:ilvl w:val="0"/>
          <w:numId w:val="17"/>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kk-KZ"/>
        </w:rPr>
        <w:t>п</w:t>
      </w:r>
      <w:r w:rsidR="000C1190" w:rsidRPr="000C1190">
        <w:rPr>
          <w:rFonts w:ascii="Times New Roman" w:hAnsi="Times New Roman" w:cs="Times New Roman"/>
          <w:sz w:val="28"/>
          <w:szCs w:val="28"/>
        </w:rPr>
        <w:t>онимание технологических трендов (β = 0</w:t>
      </w:r>
      <w:r w:rsidR="00457221">
        <w:rPr>
          <w:rFonts w:ascii="Times New Roman" w:hAnsi="Times New Roman" w:cs="Times New Roman"/>
          <w:sz w:val="28"/>
          <w:szCs w:val="28"/>
          <w:lang w:val="kk-KZ"/>
        </w:rPr>
        <w:t>,</w:t>
      </w:r>
      <w:r w:rsidR="000C1190" w:rsidRPr="000C1190">
        <w:rPr>
          <w:rFonts w:ascii="Times New Roman" w:hAnsi="Times New Roman" w:cs="Times New Roman"/>
          <w:sz w:val="28"/>
          <w:szCs w:val="28"/>
        </w:rPr>
        <w:t xml:space="preserve">166; p </w:t>
      </w:r>
      <w:r w:rsidR="00457221" w:rsidRPr="000C1190">
        <w:rPr>
          <w:rFonts w:ascii="Times New Roman" w:hAnsi="Times New Roman" w:cs="Times New Roman"/>
          <w:sz w:val="28"/>
          <w:szCs w:val="28"/>
        </w:rPr>
        <w:t>&lt;0,001</w:t>
      </w:r>
      <w:r w:rsidR="000C1190" w:rsidRPr="000C1190">
        <w:rPr>
          <w:rFonts w:ascii="Times New Roman" w:hAnsi="Times New Roman" w:cs="Times New Roman"/>
          <w:sz w:val="28"/>
          <w:szCs w:val="28"/>
        </w:rPr>
        <w:t>).</w:t>
      </w:r>
    </w:p>
    <w:p w14:paraId="3E6FEC71" w14:textId="1F5056DF" w:rsidR="000C1190" w:rsidRPr="00457221" w:rsidRDefault="000C1190" w:rsidP="002F33D0">
      <w:pPr>
        <w:tabs>
          <w:tab w:val="left" w:pos="851"/>
        </w:tabs>
        <w:spacing w:after="0" w:line="240" w:lineRule="auto"/>
        <w:ind w:firstLine="567"/>
        <w:jc w:val="both"/>
        <w:rPr>
          <w:rFonts w:ascii="Times New Roman" w:hAnsi="Times New Roman" w:cs="Times New Roman"/>
          <w:sz w:val="28"/>
          <w:szCs w:val="28"/>
        </w:rPr>
      </w:pPr>
      <w:r w:rsidRPr="00457221">
        <w:rPr>
          <w:rFonts w:ascii="Times New Roman" w:hAnsi="Times New Roman" w:cs="Times New Roman"/>
          <w:sz w:val="28"/>
          <w:szCs w:val="28"/>
        </w:rPr>
        <w:t xml:space="preserve">Среди soft-компетенций статистически значимыми (p </w:t>
      </w:r>
      <w:r w:rsidR="00457221" w:rsidRPr="00457221">
        <w:rPr>
          <w:rFonts w:ascii="Times New Roman" w:hAnsi="Times New Roman" w:cs="Times New Roman"/>
          <w:sz w:val="28"/>
          <w:szCs w:val="28"/>
        </w:rPr>
        <w:t>&lt;0</w:t>
      </w:r>
      <w:r w:rsidR="00457221">
        <w:rPr>
          <w:rFonts w:ascii="Times New Roman" w:hAnsi="Times New Roman" w:cs="Times New Roman"/>
          <w:sz w:val="28"/>
          <w:szCs w:val="28"/>
          <w:lang w:val="kk-KZ"/>
        </w:rPr>
        <w:t>,</w:t>
      </w:r>
      <w:r w:rsidRPr="00457221">
        <w:rPr>
          <w:rFonts w:ascii="Times New Roman" w:hAnsi="Times New Roman" w:cs="Times New Roman"/>
          <w:sz w:val="28"/>
          <w:szCs w:val="28"/>
        </w:rPr>
        <w:t>05) стали:</w:t>
      </w:r>
    </w:p>
    <w:p w14:paraId="66CE8A95" w14:textId="0ADC4BD1" w:rsidR="000C1190" w:rsidRPr="000C1190" w:rsidRDefault="007D4715" w:rsidP="007F5E68">
      <w:pPr>
        <w:pStyle w:val="a3"/>
        <w:numPr>
          <w:ilvl w:val="0"/>
          <w:numId w:val="17"/>
        </w:numPr>
        <w:tabs>
          <w:tab w:val="left" w:pos="851"/>
        </w:tabs>
        <w:spacing w:after="0" w:line="24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kk-KZ"/>
        </w:rPr>
        <w:t>к</w:t>
      </w:r>
      <w:r w:rsidR="000C1190" w:rsidRPr="000C1190">
        <w:rPr>
          <w:rFonts w:ascii="Times New Roman" w:hAnsi="Times New Roman" w:cs="Times New Roman"/>
          <w:sz w:val="28"/>
          <w:szCs w:val="28"/>
        </w:rPr>
        <w:t>реативность</w:t>
      </w:r>
      <w:r w:rsidR="000C1190" w:rsidRPr="000C1190">
        <w:rPr>
          <w:rFonts w:ascii="Times New Roman" w:hAnsi="Times New Roman" w:cs="Times New Roman"/>
          <w:sz w:val="28"/>
          <w:szCs w:val="28"/>
          <w:lang w:val="en-US"/>
        </w:rPr>
        <w:t xml:space="preserve"> (</w:t>
      </w:r>
      <w:r w:rsidR="000C1190" w:rsidRPr="000C1190">
        <w:rPr>
          <w:rFonts w:ascii="Times New Roman" w:hAnsi="Times New Roman" w:cs="Times New Roman"/>
          <w:sz w:val="28"/>
          <w:szCs w:val="28"/>
        </w:rPr>
        <w:t>β</w:t>
      </w:r>
      <w:r w:rsidR="000C1190" w:rsidRPr="000C1190">
        <w:rPr>
          <w:rFonts w:ascii="Times New Roman" w:hAnsi="Times New Roman" w:cs="Times New Roman"/>
          <w:sz w:val="28"/>
          <w:szCs w:val="28"/>
          <w:lang w:val="en-US"/>
        </w:rPr>
        <w:t xml:space="preserve"> = 0</w:t>
      </w:r>
      <w:r w:rsidR="00457221">
        <w:rPr>
          <w:rFonts w:ascii="Times New Roman" w:hAnsi="Times New Roman" w:cs="Times New Roman"/>
          <w:sz w:val="28"/>
          <w:szCs w:val="28"/>
          <w:lang w:val="kk-KZ"/>
        </w:rPr>
        <w:t>,</w:t>
      </w:r>
      <w:r w:rsidR="000C1190" w:rsidRPr="000C1190">
        <w:rPr>
          <w:rFonts w:ascii="Times New Roman" w:hAnsi="Times New Roman" w:cs="Times New Roman"/>
          <w:sz w:val="28"/>
          <w:szCs w:val="28"/>
          <w:lang w:val="en-US"/>
        </w:rPr>
        <w:t xml:space="preserve">231; p </w:t>
      </w:r>
      <w:r w:rsidR="00457221" w:rsidRPr="000C1190">
        <w:rPr>
          <w:rFonts w:ascii="Times New Roman" w:hAnsi="Times New Roman" w:cs="Times New Roman"/>
          <w:sz w:val="28"/>
          <w:szCs w:val="28"/>
          <w:lang w:val="en-US"/>
        </w:rPr>
        <w:t>&lt;0,001</w:t>
      </w:r>
      <w:r w:rsidR="000C1190" w:rsidRPr="000C1190">
        <w:rPr>
          <w:rFonts w:ascii="Times New Roman" w:hAnsi="Times New Roman" w:cs="Times New Roman"/>
          <w:sz w:val="28"/>
          <w:szCs w:val="28"/>
          <w:lang w:val="en-US"/>
        </w:rPr>
        <w:t>);</w:t>
      </w:r>
    </w:p>
    <w:p w14:paraId="1CA766AC" w14:textId="381921AC" w:rsidR="000C1190" w:rsidRPr="000C1190" w:rsidRDefault="007D4715" w:rsidP="007F5E68">
      <w:pPr>
        <w:pStyle w:val="a3"/>
        <w:numPr>
          <w:ilvl w:val="0"/>
          <w:numId w:val="17"/>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kk-KZ"/>
        </w:rPr>
        <w:t>к</w:t>
      </w:r>
      <w:r w:rsidR="000C1190" w:rsidRPr="000C1190">
        <w:rPr>
          <w:rFonts w:ascii="Times New Roman" w:hAnsi="Times New Roman" w:cs="Times New Roman"/>
          <w:sz w:val="28"/>
          <w:szCs w:val="28"/>
        </w:rPr>
        <w:t>омандная работа и коммуникации (β = 0</w:t>
      </w:r>
      <w:r w:rsidR="00457221">
        <w:rPr>
          <w:rFonts w:ascii="Times New Roman" w:hAnsi="Times New Roman" w:cs="Times New Roman"/>
          <w:sz w:val="28"/>
          <w:szCs w:val="28"/>
          <w:lang w:val="kk-KZ"/>
        </w:rPr>
        <w:t>,</w:t>
      </w:r>
      <w:r w:rsidR="000C1190" w:rsidRPr="000C1190">
        <w:rPr>
          <w:rFonts w:ascii="Times New Roman" w:hAnsi="Times New Roman" w:cs="Times New Roman"/>
          <w:sz w:val="28"/>
          <w:szCs w:val="28"/>
        </w:rPr>
        <w:t xml:space="preserve">201; p </w:t>
      </w:r>
      <w:r w:rsidR="00457221" w:rsidRPr="000C1190">
        <w:rPr>
          <w:rFonts w:ascii="Times New Roman" w:hAnsi="Times New Roman" w:cs="Times New Roman"/>
          <w:sz w:val="28"/>
          <w:szCs w:val="28"/>
        </w:rPr>
        <w:t>&lt;0,001</w:t>
      </w:r>
      <w:r w:rsidR="000C1190" w:rsidRPr="000C1190">
        <w:rPr>
          <w:rFonts w:ascii="Times New Roman" w:hAnsi="Times New Roman" w:cs="Times New Roman"/>
          <w:sz w:val="28"/>
          <w:szCs w:val="28"/>
        </w:rPr>
        <w:t>);</w:t>
      </w:r>
    </w:p>
    <w:p w14:paraId="5D1AA794" w14:textId="48D3D5FD" w:rsidR="000C1190" w:rsidRPr="000C1190" w:rsidRDefault="007D4715" w:rsidP="007F5E68">
      <w:pPr>
        <w:pStyle w:val="a3"/>
        <w:numPr>
          <w:ilvl w:val="0"/>
          <w:numId w:val="17"/>
        </w:numPr>
        <w:tabs>
          <w:tab w:val="left" w:pos="851"/>
        </w:tabs>
        <w:spacing w:after="0" w:line="24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kk-KZ"/>
        </w:rPr>
        <w:t>а</w:t>
      </w:r>
      <w:r w:rsidR="000C1190" w:rsidRPr="000C1190">
        <w:rPr>
          <w:rFonts w:ascii="Times New Roman" w:hAnsi="Times New Roman" w:cs="Times New Roman"/>
          <w:sz w:val="28"/>
          <w:szCs w:val="28"/>
        </w:rPr>
        <w:t>даптивность</w:t>
      </w:r>
      <w:r w:rsidR="000C1190" w:rsidRPr="000C1190">
        <w:rPr>
          <w:rFonts w:ascii="Times New Roman" w:hAnsi="Times New Roman" w:cs="Times New Roman"/>
          <w:sz w:val="28"/>
          <w:szCs w:val="28"/>
          <w:lang w:val="en-US"/>
        </w:rPr>
        <w:t xml:space="preserve"> (</w:t>
      </w:r>
      <w:r w:rsidR="000C1190" w:rsidRPr="000C1190">
        <w:rPr>
          <w:rFonts w:ascii="Times New Roman" w:hAnsi="Times New Roman" w:cs="Times New Roman"/>
          <w:sz w:val="28"/>
          <w:szCs w:val="28"/>
        </w:rPr>
        <w:t>β</w:t>
      </w:r>
      <w:r w:rsidR="000C1190" w:rsidRPr="000C1190">
        <w:rPr>
          <w:rFonts w:ascii="Times New Roman" w:hAnsi="Times New Roman" w:cs="Times New Roman"/>
          <w:sz w:val="28"/>
          <w:szCs w:val="28"/>
          <w:lang w:val="en-US"/>
        </w:rPr>
        <w:t xml:space="preserve"> = 0</w:t>
      </w:r>
      <w:r w:rsidR="00457221">
        <w:rPr>
          <w:rFonts w:ascii="Times New Roman" w:hAnsi="Times New Roman" w:cs="Times New Roman"/>
          <w:sz w:val="28"/>
          <w:szCs w:val="28"/>
          <w:lang w:val="kk-KZ"/>
        </w:rPr>
        <w:t>,</w:t>
      </w:r>
      <w:r w:rsidR="000C1190" w:rsidRPr="000C1190">
        <w:rPr>
          <w:rFonts w:ascii="Times New Roman" w:hAnsi="Times New Roman" w:cs="Times New Roman"/>
          <w:sz w:val="28"/>
          <w:szCs w:val="28"/>
          <w:lang w:val="en-US"/>
        </w:rPr>
        <w:t xml:space="preserve">193; p </w:t>
      </w:r>
      <w:r w:rsidR="00457221" w:rsidRPr="000C1190">
        <w:rPr>
          <w:rFonts w:ascii="Times New Roman" w:hAnsi="Times New Roman" w:cs="Times New Roman"/>
          <w:sz w:val="28"/>
          <w:szCs w:val="28"/>
          <w:lang w:val="en-US"/>
        </w:rPr>
        <w:t>&lt;0,001</w:t>
      </w:r>
      <w:r w:rsidR="000C1190" w:rsidRPr="000C1190">
        <w:rPr>
          <w:rFonts w:ascii="Times New Roman" w:hAnsi="Times New Roman" w:cs="Times New Roman"/>
          <w:sz w:val="28"/>
          <w:szCs w:val="28"/>
          <w:lang w:val="en-US"/>
        </w:rPr>
        <w:t>);</w:t>
      </w:r>
    </w:p>
    <w:p w14:paraId="629BC376" w14:textId="44C136FD" w:rsidR="000C1190" w:rsidRPr="000C1190" w:rsidRDefault="007D4715" w:rsidP="007F5E68">
      <w:pPr>
        <w:pStyle w:val="a3"/>
        <w:numPr>
          <w:ilvl w:val="0"/>
          <w:numId w:val="17"/>
        </w:numPr>
        <w:tabs>
          <w:tab w:val="left" w:pos="851"/>
        </w:tabs>
        <w:spacing w:after="0" w:line="24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kk-KZ"/>
        </w:rPr>
        <w:t>у</w:t>
      </w:r>
      <w:r w:rsidR="000C1190" w:rsidRPr="000C1190">
        <w:rPr>
          <w:rFonts w:ascii="Times New Roman" w:hAnsi="Times New Roman" w:cs="Times New Roman"/>
          <w:sz w:val="28"/>
          <w:szCs w:val="28"/>
        </w:rPr>
        <w:t>стойчивое</w:t>
      </w:r>
      <w:r w:rsidR="000C1190" w:rsidRPr="000C1190">
        <w:rPr>
          <w:rFonts w:ascii="Times New Roman" w:hAnsi="Times New Roman" w:cs="Times New Roman"/>
          <w:sz w:val="28"/>
          <w:szCs w:val="28"/>
          <w:lang w:val="en-US"/>
        </w:rPr>
        <w:t xml:space="preserve"> </w:t>
      </w:r>
      <w:r w:rsidR="000C1190" w:rsidRPr="000C1190">
        <w:rPr>
          <w:rFonts w:ascii="Times New Roman" w:hAnsi="Times New Roman" w:cs="Times New Roman"/>
          <w:sz w:val="28"/>
          <w:szCs w:val="28"/>
        </w:rPr>
        <w:t>мышление</w:t>
      </w:r>
      <w:r w:rsidR="000C1190" w:rsidRPr="000C1190">
        <w:rPr>
          <w:rFonts w:ascii="Times New Roman" w:hAnsi="Times New Roman" w:cs="Times New Roman"/>
          <w:sz w:val="28"/>
          <w:szCs w:val="28"/>
          <w:lang w:val="en-US"/>
        </w:rPr>
        <w:t xml:space="preserve"> (</w:t>
      </w:r>
      <w:r w:rsidR="000C1190" w:rsidRPr="000C1190">
        <w:rPr>
          <w:rFonts w:ascii="Times New Roman" w:hAnsi="Times New Roman" w:cs="Times New Roman"/>
          <w:sz w:val="28"/>
          <w:szCs w:val="28"/>
        </w:rPr>
        <w:t>β</w:t>
      </w:r>
      <w:r w:rsidR="000C1190" w:rsidRPr="000C1190">
        <w:rPr>
          <w:rFonts w:ascii="Times New Roman" w:hAnsi="Times New Roman" w:cs="Times New Roman"/>
          <w:sz w:val="28"/>
          <w:szCs w:val="28"/>
          <w:lang w:val="en-US"/>
        </w:rPr>
        <w:t xml:space="preserve"> = 0</w:t>
      </w:r>
      <w:r w:rsidR="00457221">
        <w:rPr>
          <w:rFonts w:ascii="Times New Roman" w:hAnsi="Times New Roman" w:cs="Times New Roman"/>
          <w:sz w:val="28"/>
          <w:szCs w:val="28"/>
          <w:lang w:val="kk-KZ"/>
        </w:rPr>
        <w:t>,</w:t>
      </w:r>
      <w:r w:rsidR="000C1190" w:rsidRPr="000C1190">
        <w:rPr>
          <w:rFonts w:ascii="Times New Roman" w:hAnsi="Times New Roman" w:cs="Times New Roman"/>
          <w:sz w:val="28"/>
          <w:szCs w:val="28"/>
          <w:lang w:val="en-US"/>
        </w:rPr>
        <w:t xml:space="preserve">182; p </w:t>
      </w:r>
      <w:r w:rsidR="00457221" w:rsidRPr="000C1190">
        <w:rPr>
          <w:rFonts w:ascii="Times New Roman" w:hAnsi="Times New Roman" w:cs="Times New Roman"/>
          <w:sz w:val="28"/>
          <w:szCs w:val="28"/>
          <w:lang w:val="en-US"/>
        </w:rPr>
        <w:t>&lt;0,001</w:t>
      </w:r>
      <w:r w:rsidR="000C1190" w:rsidRPr="000C1190">
        <w:rPr>
          <w:rFonts w:ascii="Times New Roman" w:hAnsi="Times New Roman" w:cs="Times New Roman"/>
          <w:sz w:val="28"/>
          <w:szCs w:val="28"/>
          <w:lang w:val="en-US"/>
        </w:rPr>
        <w:t>);</w:t>
      </w:r>
    </w:p>
    <w:p w14:paraId="0CA678E3" w14:textId="20F775B5" w:rsidR="000C1190" w:rsidRPr="000C1190" w:rsidRDefault="007D4715" w:rsidP="007F5E68">
      <w:pPr>
        <w:pStyle w:val="a3"/>
        <w:numPr>
          <w:ilvl w:val="0"/>
          <w:numId w:val="17"/>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kk-KZ"/>
        </w:rPr>
        <w:t>к</w:t>
      </w:r>
      <w:r w:rsidR="000C1190" w:rsidRPr="000C1190">
        <w:rPr>
          <w:rFonts w:ascii="Times New Roman" w:hAnsi="Times New Roman" w:cs="Times New Roman"/>
          <w:sz w:val="28"/>
          <w:szCs w:val="28"/>
        </w:rPr>
        <w:t>ритическое мышление и решение проблем (β = 0</w:t>
      </w:r>
      <w:r w:rsidR="00457221">
        <w:rPr>
          <w:rFonts w:ascii="Times New Roman" w:hAnsi="Times New Roman" w:cs="Times New Roman"/>
          <w:sz w:val="28"/>
          <w:szCs w:val="28"/>
          <w:lang w:val="kk-KZ"/>
        </w:rPr>
        <w:t>,</w:t>
      </w:r>
      <w:r w:rsidR="000C1190" w:rsidRPr="000C1190">
        <w:rPr>
          <w:rFonts w:ascii="Times New Roman" w:hAnsi="Times New Roman" w:cs="Times New Roman"/>
          <w:sz w:val="28"/>
          <w:szCs w:val="28"/>
        </w:rPr>
        <w:t>139; p = 0</w:t>
      </w:r>
      <w:r w:rsidR="00457221">
        <w:rPr>
          <w:rFonts w:ascii="Times New Roman" w:hAnsi="Times New Roman" w:cs="Times New Roman"/>
          <w:sz w:val="28"/>
          <w:szCs w:val="28"/>
          <w:lang w:val="kk-KZ"/>
        </w:rPr>
        <w:t>,</w:t>
      </w:r>
      <w:r w:rsidR="000C1190" w:rsidRPr="000C1190">
        <w:rPr>
          <w:rFonts w:ascii="Times New Roman" w:hAnsi="Times New Roman" w:cs="Times New Roman"/>
          <w:sz w:val="28"/>
          <w:szCs w:val="28"/>
        </w:rPr>
        <w:t>002).</w:t>
      </w:r>
    </w:p>
    <w:p w14:paraId="697848F8" w14:textId="4D9E9C73"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В отличие от средних и крупных предприятий, в сегменте малого бизнеса вклад HR-практик вновь оказался статистически незначимым (все </w:t>
      </w:r>
      <w:r w:rsidR="00457221" w:rsidRPr="000C1190">
        <w:rPr>
          <w:rFonts w:ascii="Times New Roman" w:hAnsi="Times New Roman" w:cs="Times New Roman"/>
          <w:sz w:val="28"/>
          <w:szCs w:val="28"/>
        </w:rPr>
        <w:t>p&gt;</w:t>
      </w:r>
      <w:r w:rsidRPr="000C1190">
        <w:rPr>
          <w:rFonts w:ascii="Times New Roman" w:hAnsi="Times New Roman" w:cs="Times New Roman"/>
          <w:sz w:val="28"/>
          <w:szCs w:val="28"/>
        </w:rPr>
        <w:t>0</w:t>
      </w:r>
      <w:r w:rsidR="00457221">
        <w:rPr>
          <w:rFonts w:ascii="Times New Roman" w:hAnsi="Times New Roman" w:cs="Times New Roman"/>
          <w:sz w:val="28"/>
          <w:szCs w:val="28"/>
          <w:lang w:val="kk-KZ"/>
        </w:rPr>
        <w:t>,</w:t>
      </w:r>
      <w:r w:rsidRPr="000C1190">
        <w:rPr>
          <w:rFonts w:ascii="Times New Roman" w:hAnsi="Times New Roman" w:cs="Times New Roman"/>
          <w:sz w:val="28"/>
          <w:szCs w:val="28"/>
        </w:rPr>
        <w:t xml:space="preserve">2), а величины коэффициентов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крайне малы и в отдельных случаях отрицательны. Это указывает на слабую институционализацию кадровой политики и отсутствие системного подхода к развитию персонала.</w:t>
      </w:r>
    </w:p>
    <w:p w14:paraId="46944E40"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Проверка статистических предпосылок подтвердила корректность модели:</w:t>
      </w:r>
    </w:p>
    <w:p w14:paraId="428AC644" w14:textId="0BC7A341" w:rsidR="000C1190" w:rsidRPr="000C1190" w:rsidRDefault="000C1190" w:rsidP="007F5E68">
      <w:pPr>
        <w:pStyle w:val="a3"/>
        <w:numPr>
          <w:ilvl w:val="0"/>
          <w:numId w:val="18"/>
        </w:numPr>
        <w:tabs>
          <w:tab w:val="left" w:pos="851"/>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остатки распределены нормально (Shapiro</w:t>
      </w:r>
      <w:r w:rsidR="00486569">
        <w:rPr>
          <w:rFonts w:ascii="Times New Roman" w:hAnsi="Times New Roman" w:cs="Times New Roman"/>
          <w:sz w:val="28"/>
          <w:szCs w:val="28"/>
          <w:lang w:val="kk-KZ"/>
        </w:rPr>
        <w:t>-</w:t>
      </w:r>
      <w:r w:rsidRPr="000C1190">
        <w:rPr>
          <w:rFonts w:ascii="Times New Roman" w:hAnsi="Times New Roman" w:cs="Times New Roman"/>
          <w:sz w:val="28"/>
          <w:szCs w:val="28"/>
        </w:rPr>
        <w:t>Wilk p = 0</w:t>
      </w:r>
      <w:r w:rsidR="00457221">
        <w:rPr>
          <w:rFonts w:ascii="Times New Roman" w:hAnsi="Times New Roman" w:cs="Times New Roman"/>
          <w:sz w:val="28"/>
          <w:szCs w:val="28"/>
          <w:lang w:val="kk-KZ"/>
        </w:rPr>
        <w:t>,</w:t>
      </w:r>
      <w:r w:rsidRPr="000C1190">
        <w:rPr>
          <w:rFonts w:ascii="Times New Roman" w:hAnsi="Times New Roman" w:cs="Times New Roman"/>
          <w:sz w:val="28"/>
          <w:szCs w:val="28"/>
        </w:rPr>
        <w:t>729);</w:t>
      </w:r>
    </w:p>
    <w:p w14:paraId="60E4F073" w14:textId="1F825542" w:rsidR="000C1190" w:rsidRPr="000C1190" w:rsidRDefault="000C1190" w:rsidP="007F5E68">
      <w:pPr>
        <w:pStyle w:val="a3"/>
        <w:numPr>
          <w:ilvl w:val="0"/>
          <w:numId w:val="18"/>
        </w:numPr>
        <w:tabs>
          <w:tab w:val="left" w:pos="851"/>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мультиколлинеарность отсутствует (все VIF </w:t>
      </w:r>
      <w:r w:rsidR="00457221" w:rsidRPr="000C1190">
        <w:rPr>
          <w:rFonts w:ascii="Times New Roman" w:hAnsi="Times New Roman" w:cs="Times New Roman"/>
          <w:sz w:val="28"/>
          <w:szCs w:val="28"/>
        </w:rPr>
        <w:t>&lt;1</w:t>
      </w:r>
      <w:r w:rsidR="00457221">
        <w:rPr>
          <w:rFonts w:ascii="Times New Roman" w:hAnsi="Times New Roman" w:cs="Times New Roman"/>
          <w:sz w:val="28"/>
          <w:szCs w:val="28"/>
          <w:lang w:val="kk-KZ"/>
        </w:rPr>
        <w:t>,</w:t>
      </w:r>
      <w:r w:rsidRPr="000C1190">
        <w:rPr>
          <w:rFonts w:ascii="Times New Roman" w:hAnsi="Times New Roman" w:cs="Times New Roman"/>
          <w:sz w:val="28"/>
          <w:szCs w:val="28"/>
        </w:rPr>
        <w:t>08);</w:t>
      </w:r>
    </w:p>
    <w:p w14:paraId="49E94C23" w14:textId="77777777" w:rsidR="000C1190" w:rsidRPr="000C1190" w:rsidRDefault="000C1190" w:rsidP="007F5E68">
      <w:pPr>
        <w:pStyle w:val="a3"/>
        <w:numPr>
          <w:ilvl w:val="0"/>
          <w:numId w:val="18"/>
        </w:numPr>
        <w:tabs>
          <w:tab w:val="left" w:pos="851"/>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гомоскедастичность остатков сохранена.</w:t>
      </w:r>
    </w:p>
    <w:p w14:paraId="161AA4D2"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Таким образом, в малых предпринимательских структурах инновационный потенциал в наибольшей степени определяется индивидуальными компетенциями сотрудников, при этом soft- и hard-навыки проявляют сопоставимую силу воздействия. Наибольший эффект оказывают компетенции, связанные с экологической и цифровой безопасностью, адаптивностью, креативностью и технологическим мышлением.</w:t>
      </w:r>
    </w:p>
    <w:p w14:paraId="1731D86B" w14:textId="0EFC2B7E"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Отсутствие эффективных HR-инструментов ограничивает возможности малых предприятий в институционализации и масштабировании инновационной активности, что подтверждает необходимость государственной и инфраструктурной поддержки процессов кадровой цифровизации и компетентностного развития</w:t>
      </w:r>
      <w:r w:rsidRPr="000C1190">
        <w:rPr>
          <w:rFonts w:ascii="Times New Roman" w:hAnsi="Times New Roman" w:cs="Times New Roman"/>
          <w:sz w:val="28"/>
          <w:szCs w:val="28"/>
          <w:lang w:val="kk-KZ"/>
        </w:rPr>
        <w:t xml:space="preserve"> (таблица</w:t>
      </w:r>
      <w:r w:rsidR="007D4715">
        <w:rPr>
          <w:rFonts w:ascii="Times New Roman" w:hAnsi="Times New Roman" w:cs="Times New Roman"/>
          <w:sz w:val="28"/>
          <w:szCs w:val="28"/>
          <w:lang w:val="kk-KZ"/>
        </w:rPr>
        <w:t xml:space="preserve"> 14</w:t>
      </w:r>
      <w:r w:rsidRPr="000C1190">
        <w:rPr>
          <w:rFonts w:ascii="Times New Roman" w:hAnsi="Times New Roman" w:cs="Times New Roman"/>
          <w:sz w:val="28"/>
          <w:szCs w:val="28"/>
          <w:lang w:val="kk-KZ"/>
        </w:rPr>
        <w:t>)</w:t>
      </w:r>
      <w:r w:rsidRPr="000C1190">
        <w:rPr>
          <w:rFonts w:ascii="Times New Roman" w:hAnsi="Times New Roman" w:cs="Times New Roman"/>
          <w:sz w:val="28"/>
          <w:szCs w:val="28"/>
        </w:rPr>
        <w:t>.</w:t>
      </w:r>
    </w:p>
    <w:p w14:paraId="6E484953" w14:textId="77777777" w:rsidR="000C1190" w:rsidRPr="000C1190" w:rsidRDefault="000C1190" w:rsidP="002F33D0">
      <w:pPr>
        <w:spacing w:after="0" w:line="240" w:lineRule="auto"/>
        <w:ind w:firstLine="567"/>
        <w:jc w:val="both"/>
        <w:rPr>
          <w:rFonts w:ascii="Times New Roman" w:hAnsi="Times New Roman" w:cs="Times New Roman"/>
          <w:sz w:val="28"/>
          <w:szCs w:val="28"/>
        </w:rPr>
      </w:pPr>
    </w:p>
    <w:p w14:paraId="2ACC55A8" w14:textId="77777777" w:rsidR="003F0E8F" w:rsidRDefault="003F0E8F" w:rsidP="002F33D0">
      <w:pPr>
        <w:spacing w:after="0" w:line="240" w:lineRule="auto"/>
        <w:jc w:val="both"/>
        <w:rPr>
          <w:rFonts w:ascii="Times New Roman" w:hAnsi="Times New Roman" w:cs="Times New Roman"/>
          <w:sz w:val="28"/>
          <w:szCs w:val="28"/>
        </w:rPr>
      </w:pPr>
    </w:p>
    <w:p w14:paraId="62AAB827" w14:textId="77777777" w:rsidR="003F0E8F" w:rsidRDefault="003F0E8F" w:rsidP="002F33D0">
      <w:pPr>
        <w:spacing w:after="0" w:line="240" w:lineRule="auto"/>
        <w:jc w:val="both"/>
        <w:rPr>
          <w:rFonts w:ascii="Times New Roman" w:hAnsi="Times New Roman" w:cs="Times New Roman"/>
          <w:sz w:val="28"/>
          <w:szCs w:val="28"/>
        </w:rPr>
      </w:pPr>
    </w:p>
    <w:p w14:paraId="6631E7CA" w14:textId="012AD143" w:rsidR="000C1190" w:rsidRDefault="000C1190" w:rsidP="002F33D0">
      <w:pPr>
        <w:spacing w:after="0" w:line="240" w:lineRule="auto"/>
        <w:jc w:val="both"/>
        <w:rPr>
          <w:rFonts w:ascii="Times New Roman" w:hAnsi="Times New Roman" w:cs="Times New Roman"/>
          <w:sz w:val="28"/>
          <w:szCs w:val="28"/>
        </w:rPr>
      </w:pPr>
      <w:r w:rsidRPr="000C1190">
        <w:rPr>
          <w:rFonts w:ascii="Times New Roman" w:hAnsi="Times New Roman" w:cs="Times New Roman"/>
          <w:sz w:val="28"/>
          <w:szCs w:val="28"/>
        </w:rPr>
        <w:lastRenderedPageBreak/>
        <w:t>Таблица</w:t>
      </w:r>
      <w:r w:rsidR="007D4715">
        <w:rPr>
          <w:rFonts w:ascii="Times New Roman" w:hAnsi="Times New Roman" w:cs="Times New Roman"/>
          <w:sz w:val="28"/>
          <w:szCs w:val="28"/>
          <w:lang w:val="kk-KZ"/>
        </w:rPr>
        <w:t xml:space="preserve"> 14</w:t>
      </w:r>
      <w:r w:rsidRPr="000C1190">
        <w:rPr>
          <w:rFonts w:ascii="Times New Roman" w:hAnsi="Times New Roman" w:cs="Times New Roman"/>
          <w:sz w:val="28"/>
          <w:szCs w:val="28"/>
        </w:rPr>
        <w:t xml:space="preserve">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Влияние компетенций на инновационный потенциал (малые предприятия)</w:t>
      </w:r>
    </w:p>
    <w:p w14:paraId="11D8D22D" w14:textId="77777777" w:rsidR="00457221" w:rsidRPr="007D4715" w:rsidRDefault="00457221" w:rsidP="002F33D0">
      <w:pPr>
        <w:spacing w:after="0" w:line="240" w:lineRule="auto"/>
        <w:jc w:val="both"/>
        <w:rPr>
          <w:rFonts w:ascii="Times New Roman" w:hAnsi="Times New Roman" w:cs="Times New Roman"/>
          <w:sz w:val="20"/>
          <w:szCs w:val="20"/>
        </w:rPr>
      </w:pPr>
    </w:p>
    <w:tbl>
      <w:tblPr>
        <w:tblStyle w:val="a5"/>
        <w:tblW w:w="0" w:type="auto"/>
        <w:tblLayout w:type="fixed"/>
        <w:tblLook w:val="04A0" w:firstRow="1" w:lastRow="0" w:firstColumn="1" w:lastColumn="0" w:noHBand="0" w:noVBand="1"/>
      </w:tblPr>
      <w:tblGrid>
        <w:gridCol w:w="2571"/>
        <w:gridCol w:w="2736"/>
        <w:gridCol w:w="1469"/>
        <w:gridCol w:w="1155"/>
        <w:gridCol w:w="1414"/>
      </w:tblGrid>
      <w:tr w:rsidR="000C1190" w:rsidRPr="000C1190" w14:paraId="457597FD" w14:textId="77777777" w:rsidTr="007D4715">
        <w:tc>
          <w:tcPr>
            <w:tcW w:w="2571" w:type="dxa"/>
            <w:vAlign w:val="center"/>
          </w:tcPr>
          <w:p w14:paraId="23962D4A" w14:textId="77777777" w:rsidR="000C1190" w:rsidRPr="00457221" w:rsidRDefault="000C1190" w:rsidP="002F33D0">
            <w:pPr>
              <w:ind w:firstLine="0"/>
              <w:jc w:val="center"/>
              <w:rPr>
                <w:rFonts w:eastAsia="Times New Roman"/>
                <w:bCs/>
                <w:color w:val="000000"/>
                <w:szCs w:val="24"/>
                <w:lang w:val="kk-KZ" w:eastAsia="ru-RU"/>
              </w:rPr>
            </w:pPr>
            <w:r w:rsidRPr="00457221">
              <w:rPr>
                <w:rFonts w:eastAsia="Times New Roman"/>
                <w:bCs/>
                <w:color w:val="000000"/>
                <w:szCs w:val="24"/>
                <w:lang w:val="kk-KZ" w:eastAsia="ru-RU"/>
              </w:rPr>
              <w:t>Название переменной</w:t>
            </w:r>
          </w:p>
        </w:tc>
        <w:tc>
          <w:tcPr>
            <w:tcW w:w="2736" w:type="dxa"/>
            <w:vAlign w:val="center"/>
            <w:hideMark/>
          </w:tcPr>
          <w:p w14:paraId="535441DA" w14:textId="77777777" w:rsidR="000C1190" w:rsidRPr="00457221" w:rsidRDefault="000C1190" w:rsidP="002F33D0">
            <w:pPr>
              <w:ind w:firstLine="0"/>
              <w:jc w:val="center"/>
              <w:rPr>
                <w:rFonts w:eastAsia="Times New Roman"/>
                <w:bCs/>
                <w:color w:val="000000"/>
                <w:szCs w:val="24"/>
                <w:lang w:eastAsia="ru-RU"/>
              </w:rPr>
            </w:pPr>
            <w:r w:rsidRPr="00457221">
              <w:rPr>
                <w:rFonts w:eastAsia="Times New Roman"/>
                <w:bCs/>
                <w:color w:val="000000"/>
                <w:szCs w:val="24"/>
                <w:lang w:eastAsia="ru-RU"/>
              </w:rPr>
              <w:t>Обозначение в анализе</w:t>
            </w:r>
          </w:p>
        </w:tc>
        <w:tc>
          <w:tcPr>
            <w:tcW w:w="1469" w:type="dxa"/>
            <w:vAlign w:val="center"/>
            <w:hideMark/>
          </w:tcPr>
          <w:p w14:paraId="626F3D75" w14:textId="77777777" w:rsidR="000C1190" w:rsidRPr="00457221" w:rsidRDefault="000C1190" w:rsidP="002F33D0">
            <w:pPr>
              <w:ind w:firstLine="0"/>
              <w:jc w:val="center"/>
              <w:rPr>
                <w:rFonts w:eastAsia="Times New Roman"/>
                <w:bCs/>
                <w:szCs w:val="24"/>
                <w:lang w:eastAsia="ru-RU"/>
              </w:rPr>
            </w:pPr>
            <w:r w:rsidRPr="00457221">
              <w:rPr>
                <w:rFonts w:eastAsia="Times New Roman"/>
                <w:bCs/>
                <w:szCs w:val="24"/>
                <w:lang w:eastAsia="ru-RU"/>
              </w:rPr>
              <w:t>Стандартиз. β</w:t>
            </w:r>
          </w:p>
        </w:tc>
        <w:tc>
          <w:tcPr>
            <w:tcW w:w="1155" w:type="dxa"/>
            <w:vAlign w:val="center"/>
            <w:hideMark/>
          </w:tcPr>
          <w:p w14:paraId="6095959B" w14:textId="77777777" w:rsidR="000C1190" w:rsidRPr="00457221" w:rsidRDefault="000C1190" w:rsidP="002F33D0">
            <w:pPr>
              <w:ind w:firstLine="0"/>
              <w:jc w:val="center"/>
              <w:rPr>
                <w:rFonts w:eastAsia="Times New Roman"/>
                <w:bCs/>
                <w:szCs w:val="24"/>
                <w:lang w:eastAsia="ru-RU"/>
              </w:rPr>
            </w:pPr>
            <w:r w:rsidRPr="00457221">
              <w:rPr>
                <w:rFonts w:eastAsia="Times New Roman"/>
                <w:bCs/>
                <w:szCs w:val="24"/>
                <w:lang w:eastAsia="ru-RU"/>
              </w:rPr>
              <w:t>p-значение</w:t>
            </w:r>
          </w:p>
        </w:tc>
        <w:tc>
          <w:tcPr>
            <w:tcW w:w="1414" w:type="dxa"/>
            <w:vAlign w:val="center"/>
            <w:hideMark/>
          </w:tcPr>
          <w:p w14:paraId="65994EEC" w14:textId="77777777" w:rsidR="000C1190" w:rsidRPr="00457221" w:rsidRDefault="000C1190" w:rsidP="002F33D0">
            <w:pPr>
              <w:ind w:firstLine="0"/>
              <w:jc w:val="center"/>
              <w:rPr>
                <w:rFonts w:eastAsia="Times New Roman"/>
                <w:bCs/>
                <w:szCs w:val="24"/>
                <w:lang w:eastAsia="ru-RU"/>
              </w:rPr>
            </w:pPr>
            <w:r w:rsidRPr="00457221">
              <w:rPr>
                <w:rFonts w:eastAsia="Times New Roman"/>
                <w:bCs/>
                <w:szCs w:val="24"/>
                <w:lang w:eastAsia="ru-RU"/>
              </w:rPr>
              <w:t>Значимость</w:t>
            </w:r>
          </w:p>
        </w:tc>
      </w:tr>
      <w:tr w:rsidR="000C1190" w:rsidRPr="000C1190" w14:paraId="7CF8A124" w14:textId="77777777" w:rsidTr="007D4715">
        <w:tc>
          <w:tcPr>
            <w:tcW w:w="2571" w:type="dxa"/>
          </w:tcPr>
          <w:p w14:paraId="4B54A019" w14:textId="77777777" w:rsidR="000C1190" w:rsidRPr="00457221" w:rsidRDefault="000C1190" w:rsidP="002F33D0">
            <w:pPr>
              <w:ind w:firstLine="0"/>
              <w:rPr>
                <w:szCs w:val="24"/>
              </w:rPr>
            </w:pPr>
            <w:r w:rsidRPr="00457221">
              <w:rPr>
                <w:szCs w:val="24"/>
              </w:rPr>
              <w:t>Навыки кибербезопасности</w:t>
            </w:r>
          </w:p>
        </w:tc>
        <w:tc>
          <w:tcPr>
            <w:tcW w:w="2736" w:type="dxa"/>
            <w:hideMark/>
          </w:tcPr>
          <w:p w14:paraId="088EBB19" w14:textId="77777777" w:rsidR="000C1190" w:rsidRPr="00457221" w:rsidRDefault="000C1190" w:rsidP="002F33D0">
            <w:pPr>
              <w:ind w:firstLine="0"/>
              <w:jc w:val="both"/>
              <w:rPr>
                <w:rFonts w:eastAsia="Times New Roman"/>
                <w:szCs w:val="24"/>
                <w:lang w:eastAsia="ru-RU"/>
              </w:rPr>
            </w:pPr>
            <w:r w:rsidRPr="00457221">
              <w:rPr>
                <w:szCs w:val="24"/>
              </w:rPr>
              <w:t>skill_hard_cybersecurity</w:t>
            </w:r>
          </w:p>
        </w:tc>
        <w:tc>
          <w:tcPr>
            <w:tcW w:w="1469" w:type="dxa"/>
            <w:vAlign w:val="center"/>
            <w:hideMark/>
          </w:tcPr>
          <w:p w14:paraId="66AC63A7" w14:textId="39D01EB6"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231</w:t>
            </w:r>
          </w:p>
        </w:tc>
        <w:tc>
          <w:tcPr>
            <w:tcW w:w="1155" w:type="dxa"/>
            <w:vAlign w:val="center"/>
            <w:hideMark/>
          </w:tcPr>
          <w:p w14:paraId="7E77F8FF" w14:textId="68CE5881"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&lt;0</w:t>
            </w:r>
            <w:r w:rsidR="00457221">
              <w:rPr>
                <w:rFonts w:eastAsia="Times New Roman"/>
                <w:szCs w:val="24"/>
                <w:lang w:val="kk-KZ" w:eastAsia="ru-RU"/>
              </w:rPr>
              <w:t>,</w:t>
            </w:r>
            <w:r w:rsidRPr="00457221">
              <w:rPr>
                <w:rFonts w:eastAsia="Times New Roman"/>
                <w:szCs w:val="24"/>
                <w:lang w:eastAsia="ru-RU"/>
              </w:rPr>
              <w:t>001</w:t>
            </w:r>
          </w:p>
        </w:tc>
        <w:tc>
          <w:tcPr>
            <w:tcW w:w="1414" w:type="dxa"/>
            <w:vAlign w:val="center"/>
            <w:hideMark/>
          </w:tcPr>
          <w:p w14:paraId="5B984E17" w14:textId="77777777" w:rsidR="000C1190" w:rsidRPr="00457221" w:rsidRDefault="000C1190" w:rsidP="002F33D0">
            <w:pPr>
              <w:ind w:firstLine="0"/>
              <w:jc w:val="center"/>
              <w:rPr>
                <w:rFonts w:eastAsia="Times New Roman"/>
                <w:szCs w:val="24"/>
                <w:lang w:eastAsia="ru-RU"/>
              </w:rPr>
            </w:pPr>
            <w:r w:rsidRPr="00457221">
              <w:rPr>
                <w:rFonts w:ascii="Segoe UI Symbol" w:eastAsia="Times New Roman" w:hAnsi="Segoe UI Symbol" w:cs="Segoe UI Symbol"/>
                <w:bCs/>
                <w:szCs w:val="24"/>
                <w:lang w:eastAsia="ru-RU"/>
              </w:rPr>
              <w:t>✔</w:t>
            </w:r>
          </w:p>
        </w:tc>
      </w:tr>
      <w:tr w:rsidR="000C1190" w:rsidRPr="000C1190" w14:paraId="2147D0C0" w14:textId="77777777" w:rsidTr="007D4715">
        <w:tc>
          <w:tcPr>
            <w:tcW w:w="2571" w:type="dxa"/>
          </w:tcPr>
          <w:p w14:paraId="694AEBA5" w14:textId="77777777" w:rsidR="000C1190" w:rsidRPr="00457221" w:rsidRDefault="000C1190" w:rsidP="002F33D0">
            <w:pPr>
              <w:ind w:firstLine="0"/>
              <w:rPr>
                <w:rFonts w:eastAsia="Times New Roman"/>
                <w:szCs w:val="24"/>
                <w:lang w:eastAsia="ru-RU"/>
              </w:rPr>
            </w:pPr>
            <w:r w:rsidRPr="00457221">
              <w:rPr>
                <w:rFonts w:eastAsia="Times New Roman"/>
                <w:szCs w:val="24"/>
                <w:lang w:eastAsia="ru-RU"/>
              </w:rPr>
              <w:t>Креативность</w:t>
            </w:r>
          </w:p>
        </w:tc>
        <w:tc>
          <w:tcPr>
            <w:tcW w:w="2736" w:type="dxa"/>
            <w:hideMark/>
          </w:tcPr>
          <w:p w14:paraId="7A3F05A9" w14:textId="77777777" w:rsidR="000C1190" w:rsidRPr="00457221" w:rsidRDefault="000C1190" w:rsidP="002F33D0">
            <w:pPr>
              <w:ind w:firstLine="0"/>
              <w:jc w:val="both"/>
              <w:rPr>
                <w:rFonts w:eastAsia="Times New Roman"/>
                <w:szCs w:val="24"/>
                <w:lang w:eastAsia="ru-RU"/>
              </w:rPr>
            </w:pPr>
            <w:r w:rsidRPr="00457221">
              <w:rPr>
                <w:rFonts w:eastAsia="Times New Roman"/>
                <w:szCs w:val="24"/>
                <w:lang w:eastAsia="ru-RU"/>
              </w:rPr>
              <w:t>skill_soft_creativity</w:t>
            </w:r>
          </w:p>
        </w:tc>
        <w:tc>
          <w:tcPr>
            <w:tcW w:w="1469" w:type="dxa"/>
            <w:vAlign w:val="center"/>
            <w:hideMark/>
          </w:tcPr>
          <w:p w14:paraId="5EC913BD" w14:textId="2A234F06"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231</w:t>
            </w:r>
          </w:p>
        </w:tc>
        <w:tc>
          <w:tcPr>
            <w:tcW w:w="1155" w:type="dxa"/>
            <w:vAlign w:val="center"/>
            <w:hideMark/>
          </w:tcPr>
          <w:p w14:paraId="63071080" w14:textId="28353BC4"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&lt;0</w:t>
            </w:r>
            <w:r w:rsidR="00457221">
              <w:rPr>
                <w:rFonts w:eastAsia="Times New Roman"/>
                <w:szCs w:val="24"/>
                <w:lang w:val="kk-KZ" w:eastAsia="ru-RU"/>
              </w:rPr>
              <w:t>,</w:t>
            </w:r>
            <w:r w:rsidRPr="00457221">
              <w:rPr>
                <w:rFonts w:eastAsia="Times New Roman"/>
                <w:szCs w:val="24"/>
                <w:lang w:eastAsia="ru-RU"/>
              </w:rPr>
              <w:t>001</w:t>
            </w:r>
          </w:p>
        </w:tc>
        <w:tc>
          <w:tcPr>
            <w:tcW w:w="1414" w:type="dxa"/>
            <w:vAlign w:val="center"/>
            <w:hideMark/>
          </w:tcPr>
          <w:p w14:paraId="2110EC59" w14:textId="77777777" w:rsidR="000C1190" w:rsidRPr="00457221" w:rsidRDefault="000C1190" w:rsidP="002F33D0">
            <w:pPr>
              <w:ind w:firstLine="0"/>
              <w:jc w:val="center"/>
              <w:rPr>
                <w:rFonts w:eastAsia="Times New Roman"/>
                <w:szCs w:val="24"/>
                <w:lang w:eastAsia="ru-RU"/>
              </w:rPr>
            </w:pPr>
            <w:r w:rsidRPr="00457221">
              <w:rPr>
                <w:rFonts w:ascii="Segoe UI Symbol" w:eastAsia="Times New Roman" w:hAnsi="Segoe UI Symbol" w:cs="Segoe UI Symbol"/>
                <w:bCs/>
                <w:szCs w:val="24"/>
                <w:lang w:eastAsia="ru-RU"/>
              </w:rPr>
              <w:t>✔</w:t>
            </w:r>
          </w:p>
        </w:tc>
      </w:tr>
      <w:tr w:rsidR="000C1190" w:rsidRPr="000C1190" w14:paraId="037AF3F2" w14:textId="77777777" w:rsidTr="007D4715">
        <w:tc>
          <w:tcPr>
            <w:tcW w:w="2571" w:type="dxa"/>
          </w:tcPr>
          <w:p w14:paraId="5B2014FD" w14:textId="77777777" w:rsidR="000C1190" w:rsidRPr="00457221" w:rsidRDefault="000C1190" w:rsidP="002F33D0">
            <w:pPr>
              <w:ind w:firstLine="0"/>
              <w:rPr>
                <w:rFonts w:eastAsia="Times New Roman"/>
                <w:szCs w:val="24"/>
                <w:lang w:eastAsia="ru-RU"/>
              </w:rPr>
            </w:pPr>
            <w:r w:rsidRPr="00457221">
              <w:rPr>
                <w:rFonts w:eastAsia="Times New Roman"/>
                <w:szCs w:val="24"/>
                <w:lang w:eastAsia="ru-RU"/>
              </w:rPr>
              <w:t>Командная работа и коммуникации</w:t>
            </w:r>
          </w:p>
        </w:tc>
        <w:tc>
          <w:tcPr>
            <w:tcW w:w="2736" w:type="dxa"/>
            <w:hideMark/>
          </w:tcPr>
          <w:p w14:paraId="78D2136F" w14:textId="77777777" w:rsidR="000C1190" w:rsidRPr="00457221" w:rsidRDefault="000C1190" w:rsidP="002F33D0">
            <w:pPr>
              <w:ind w:firstLine="0"/>
              <w:jc w:val="both"/>
              <w:rPr>
                <w:rFonts w:eastAsia="Times New Roman"/>
                <w:szCs w:val="24"/>
                <w:lang w:eastAsia="ru-RU"/>
              </w:rPr>
            </w:pPr>
            <w:r w:rsidRPr="00457221">
              <w:rPr>
                <w:rFonts w:eastAsia="Times New Roman"/>
                <w:szCs w:val="24"/>
                <w:lang w:eastAsia="ru-RU"/>
              </w:rPr>
              <w:t>skill_soft_teamwork</w:t>
            </w:r>
          </w:p>
        </w:tc>
        <w:tc>
          <w:tcPr>
            <w:tcW w:w="1469" w:type="dxa"/>
            <w:vAlign w:val="center"/>
            <w:hideMark/>
          </w:tcPr>
          <w:p w14:paraId="2E408E40" w14:textId="4318C103"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201</w:t>
            </w:r>
          </w:p>
        </w:tc>
        <w:tc>
          <w:tcPr>
            <w:tcW w:w="1155" w:type="dxa"/>
            <w:vAlign w:val="center"/>
            <w:hideMark/>
          </w:tcPr>
          <w:p w14:paraId="7D9DE9B7" w14:textId="7DA106BE"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&lt;0</w:t>
            </w:r>
            <w:r w:rsidR="00457221">
              <w:rPr>
                <w:rFonts w:eastAsia="Times New Roman"/>
                <w:szCs w:val="24"/>
                <w:lang w:val="kk-KZ" w:eastAsia="ru-RU"/>
              </w:rPr>
              <w:t>,</w:t>
            </w:r>
            <w:r w:rsidRPr="00457221">
              <w:rPr>
                <w:rFonts w:eastAsia="Times New Roman"/>
                <w:szCs w:val="24"/>
                <w:lang w:eastAsia="ru-RU"/>
              </w:rPr>
              <w:t>001</w:t>
            </w:r>
          </w:p>
        </w:tc>
        <w:tc>
          <w:tcPr>
            <w:tcW w:w="1414" w:type="dxa"/>
            <w:vAlign w:val="center"/>
            <w:hideMark/>
          </w:tcPr>
          <w:p w14:paraId="2E1C01B9" w14:textId="77777777" w:rsidR="000C1190" w:rsidRPr="00457221" w:rsidRDefault="000C1190" w:rsidP="002F33D0">
            <w:pPr>
              <w:ind w:firstLine="0"/>
              <w:jc w:val="center"/>
              <w:rPr>
                <w:rFonts w:eastAsia="Times New Roman"/>
                <w:szCs w:val="24"/>
                <w:lang w:eastAsia="ru-RU"/>
              </w:rPr>
            </w:pPr>
            <w:r w:rsidRPr="00457221">
              <w:rPr>
                <w:rFonts w:ascii="Segoe UI Symbol" w:eastAsia="Times New Roman" w:hAnsi="Segoe UI Symbol" w:cs="Segoe UI Symbol"/>
                <w:bCs/>
                <w:szCs w:val="24"/>
                <w:lang w:eastAsia="ru-RU"/>
              </w:rPr>
              <w:t>✔</w:t>
            </w:r>
          </w:p>
        </w:tc>
      </w:tr>
      <w:tr w:rsidR="000C1190" w:rsidRPr="000C1190" w14:paraId="2C51419A" w14:textId="77777777" w:rsidTr="007D4715">
        <w:tc>
          <w:tcPr>
            <w:tcW w:w="2571" w:type="dxa"/>
          </w:tcPr>
          <w:p w14:paraId="1EED474F" w14:textId="77777777" w:rsidR="000C1190" w:rsidRPr="00457221" w:rsidRDefault="000C1190" w:rsidP="002F33D0">
            <w:pPr>
              <w:ind w:firstLine="0"/>
              <w:rPr>
                <w:rFonts w:eastAsia="Times New Roman"/>
                <w:szCs w:val="24"/>
                <w:lang w:eastAsia="ru-RU"/>
              </w:rPr>
            </w:pPr>
            <w:r w:rsidRPr="00457221">
              <w:rPr>
                <w:rFonts w:eastAsia="Times New Roman"/>
                <w:szCs w:val="24"/>
                <w:lang w:eastAsia="ru-RU"/>
              </w:rPr>
              <w:t>Гибкость и адаптивность</w:t>
            </w:r>
          </w:p>
        </w:tc>
        <w:tc>
          <w:tcPr>
            <w:tcW w:w="2736" w:type="dxa"/>
            <w:hideMark/>
          </w:tcPr>
          <w:p w14:paraId="0FD5649D" w14:textId="77777777" w:rsidR="000C1190" w:rsidRPr="00457221" w:rsidRDefault="000C1190" w:rsidP="002F33D0">
            <w:pPr>
              <w:ind w:firstLine="0"/>
              <w:jc w:val="both"/>
              <w:rPr>
                <w:rFonts w:eastAsia="Times New Roman"/>
                <w:szCs w:val="24"/>
                <w:lang w:eastAsia="ru-RU"/>
              </w:rPr>
            </w:pPr>
            <w:r w:rsidRPr="00457221">
              <w:rPr>
                <w:rFonts w:eastAsia="Times New Roman"/>
                <w:szCs w:val="24"/>
                <w:lang w:eastAsia="ru-RU"/>
              </w:rPr>
              <w:t>skill_soft_adaptability</w:t>
            </w:r>
          </w:p>
        </w:tc>
        <w:tc>
          <w:tcPr>
            <w:tcW w:w="1469" w:type="dxa"/>
            <w:vAlign w:val="center"/>
            <w:hideMark/>
          </w:tcPr>
          <w:p w14:paraId="08819662" w14:textId="6FD47B35"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193</w:t>
            </w:r>
          </w:p>
        </w:tc>
        <w:tc>
          <w:tcPr>
            <w:tcW w:w="1155" w:type="dxa"/>
            <w:vAlign w:val="center"/>
            <w:hideMark/>
          </w:tcPr>
          <w:p w14:paraId="6E72DBAE" w14:textId="482123A4"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&lt;0</w:t>
            </w:r>
            <w:r w:rsidR="00457221">
              <w:rPr>
                <w:rFonts w:eastAsia="Times New Roman"/>
                <w:szCs w:val="24"/>
                <w:lang w:val="kk-KZ" w:eastAsia="ru-RU"/>
              </w:rPr>
              <w:t>,</w:t>
            </w:r>
            <w:r w:rsidRPr="00457221">
              <w:rPr>
                <w:rFonts w:eastAsia="Times New Roman"/>
                <w:szCs w:val="24"/>
                <w:lang w:eastAsia="ru-RU"/>
              </w:rPr>
              <w:t>001</w:t>
            </w:r>
          </w:p>
        </w:tc>
        <w:tc>
          <w:tcPr>
            <w:tcW w:w="1414" w:type="dxa"/>
            <w:vAlign w:val="center"/>
            <w:hideMark/>
          </w:tcPr>
          <w:p w14:paraId="47629740" w14:textId="77777777" w:rsidR="000C1190" w:rsidRPr="00457221" w:rsidRDefault="000C1190" w:rsidP="002F33D0">
            <w:pPr>
              <w:ind w:firstLine="0"/>
              <w:jc w:val="center"/>
              <w:rPr>
                <w:rFonts w:eastAsia="Times New Roman"/>
                <w:szCs w:val="24"/>
                <w:lang w:eastAsia="ru-RU"/>
              </w:rPr>
            </w:pPr>
            <w:r w:rsidRPr="00457221">
              <w:rPr>
                <w:rFonts w:ascii="Segoe UI Symbol" w:eastAsia="Times New Roman" w:hAnsi="Segoe UI Symbol" w:cs="Segoe UI Symbol"/>
                <w:bCs/>
                <w:szCs w:val="24"/>
                <w:lang w:eastAsia="ru-RU"/>
              </w:rPr>
              <w:t>✔</w:t>
            </w:r>
          </w:p>
        </w:tc>
      </w:tr>
      <w:tr w:rsidR="000C1190" w:rsidRPr="000C1190" w14:paraId="1A3010DF" w14:textId="77777777" w:rsidTr="007D4715">
        <w:tc>
          <w:tcPr>
            <w:tcW w:w="2571" w:type="dxa"/>
          </w:tcPr>
          <w:p w14:paraId="444E7222" w14:textId="77777777" w:rsidR="000C1190" w:rsidRPr="00457221" w:rsidRDefault="000C1190" w:rsidP="002F33D0">
            <w:pPr>
              <w:ind w:firstLine="0"/>
              <w:rPr>
                <w:rFonts w:eastAsia="Times New Roman"/>
                <w:szCs w:val="24"/>
                <w:lang w:eastAsia="ru-RU"/>
              </w:rPr>
            </w:pPr>
            <w:r w:rsidRPr="00457221">
              <w:rPr>
                <w:rFonts w:eastAsia="Times New Roman"/>
                <w:szCs w:val="24"/>
                <w:lang w:eastAsia="ru-RU"/>
              </w:rPr>
              <w:t>Навыки программирования и робототехники</w:t>
            </w:r>
          </w:p>
        </w:tc>
        <w:tc>
          <w:tcPr>
            <w:tcW w:w="2736" w:type="dxa"/>
            <w:hideMark/>
          </w:tcPr>
          <w:p w14:paraId="107D5D3E" w14:textId="77777777" w:rsidR="000C1190" w:rsidRPr="00457221" w:rsidRDefault="000C1190" w:rsidP="002F33D0">
            <w:pPr>
              <w:ind w:firstLine="0"/>
              <w:jc w:val="both"/>
              <w:rPr>
                <w:rFonts w:eastAsia="Times New Roman"/>
                <w:szCs w:val="24"/>
                <w:lang w:eastAsia="ru-RU"/>
              </w:rPr>
            </w:pPr>
            <w:r w:rsidRPr="00457221">
              <w:rPr>
                <w:rFonts w:eastAsia="Times New Roman"/>
                <w:szCs w:val="24"/>
                <w:lang w:eastAsia="ru-RU"/>
              </w:rPr>
              <w:t>skill_hard_robotics</w:t>
            </w:r>
          </w:p>
        </w:tc>
        <w:tc>
          <w:tcPr>
            <w:tcW w:w="1469" w:type="dxa"/>
            <w:vAlign w:val="center"/>
            <w:hideMark/>
          </w:tcPr>
          <w:p w14:paraId="346ED3AA" w14:textId="7062EA86"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182</w:t>
            </w:r>
          </w:p>
        </w:tc>
        <w:tc>
          <w:tcPr>
            <w:tcW w:w="1155" w:type="dxa"/>
            <w:vAlign w:val="center"/>
            <w:hideMark/>
          </w:tcPr>
          <w:p w14:paraId="1ABAE6D2" w14:textId="673E70DF"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&lt;0</w:t>
            </w:r>
            <w:r w:rsidR="00457221">
              <w:rPr>
                <w:rFonts w:eastAsia="Times New Roman"/>
                <w:szCs w:val="24"/>
                <w:lang w:val="kk-KZ" w:eastAsia="ru-RU"/>
              </w:rPr>
              <w:t>,</w:t>
            </w:r>
            <w:r w:rsidRPr="00457221">
              <w:rPr>
                <w:rFonts w:eastAsia="Times New Roman"/>
                <w:szCs w:val="24"/>
                <w:lang w:eastAsia="ru-RU"/>
              </w:rPr>
              <w:t>001</w:t>
            </w:r>
          </w:p>
        </w:tc>
        <w:tc>
          <w:tcPr>
            <w:tcW w:w="1414" w:type="dxa"/>
            <w:vAlign w:val="center"/>
            <w:hideMark/>
          </w:tcPr>
          <w:p w14:paraId="0F35B366" w14:textId="77777777" w:rsidR="000C1190" w:rsidRPr="00457221" w:rsidRDefault="000C1190" w:rsidP="002F33D0">
            <w:pPr>
              <w:ind w:firstLine="0"/>
              <w:jc w:val="center"/>
              <w:rPr>
                <w:rFonts w:eastAsia="Times New Roman"/>
                <w:szCs w:val="24"/>
                <w:lang w:eastAsia="ru-RU"/>
              </w:rPr>
            </w:pPr>
            <w:r w:rsidRPr="00457221">
              <w:rPr>
                <w:rFonts w:ascii="Segoe UI Symbol" w:eastAsia="Times New Roman" w:hAnsi="Segoe UI Symbol" w:cs="Segoe UI Symbol"/>
                <w:bCs/>
                <w:szCs w:val="24"/>
                <w:lang w:eastAsia="ru-RU"/>
              </w:rPr>
              <w:t>✔</w:t>
            </w:r>
          </w:p>
        </w:tc>
      </w:tr>
      <w:tr w:rsidR="000C1190" w:rsidRPr="000C1190" w14:paraId="077A5BE5" w14:textId="77777777" w:rsidTr="007D4715">
        <w:tc>
          <w:tcPr>
            <w:tcW w:w="2571" w:type="dxa"/>
          </w:tcPr>
          <w:p w14:paraId="4103F30F" w14:textId="77777777" w:rsidR="000C1190" w:rsidRPr="00457221" w:rsidRDefault="000C1190" w:rsidP="002F33D0">
            <w:pPr>
              <w:ind w:firstLine="0"/>
              <w:rPr>
                <w:rFonts w:eastAsia="Times New Roman"/>
                <w:szCs w:val="24"/>
                <w:lang w:eastAsia="ru-RU"/>
              </w:rPr>
            </w:pPr>
            <w:r w:rsidRPr="00457221">
              <w:rPr>
                <w:rFonts w:eastAsia="Times New Roman"/>
                <w:szCs w:val="24"/>
                <w:lang w:eastAsia="ru-RU"/>
              </w:rPr>
              <w:t>Устойчивое мышление (ориентация на устойчивое развитие)</w:t>
            </w:r>
          </w:p>
        </w:tc>
        <w:tc>
          <w:tcPr>
            <w:tcW w:w="2736" w:type="dxa"/>
            <w:hideMark/>
          </w:tcPr>
          <w:p w14:paraId="4F905B31" w14:textId="77777777" w:rsidR="000C1190" w:rsidRPr="00457221" w:rsidRDefault="000C1190" w:rsidP="002F33D0">
            <w:pPr>
              <w:ind w:firstLine="0"/>
              <w:jc w:val="both"/>
              <w:rPr>
                <w:rFonts w:eastAsia="Times New Roman"/>
                <w:szCs w:val="24"/>
                <w:lang w:eastAsia="ru-RU"/>
              </w:rPr>
            </w:pPr>
            <w:r w:rsidRPr="00457221">
              <w:rPr>
                <w:rFonts w:eastAsia="Times New Roman"/>
                <w:szCs w:val="24"/>
                <w:lang w:eastAsia="ru-RU"/>
              </w:rPr>
              <w:t>skill_soft_sustainability</w:t>
            </w:r>
          </w:p>
        </w:tc>
        <w:tc>
          <w:tcPr>
            <w:tcW w:w="1469" w:type="dxa"/>
            <w:vAlign w:val="center"/>
            <w:hideMark/>
          </w:tcPr>
          <w:p w14:paraId="70075159" w14:textId="6B95F861"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182</w:t>
            </w:r>
          </w:p>
        </w:tc>
        <w:tc>
          <w:tcPr>
            <w:tcW w:w="1155" w:type="dxa"/>
            <w:vAlign w:val="center"/>
            <w:hideMark/>
          </w:tcPr>
          <w:p w14:paraId="63C8A869" w14:textId="2D2EA8FE"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&lt;0</w:t>
            </w:r>
            <w:r w:rsidR="00457221">
              <w:rPr>
                <w:rFonts w:eastAsia="Times New Roman"/>
                <w:szCs w:val="24"/>
                <w:lang w:val="kk-KZ" w:eastAsia="ru-RU"/>
              </w:rPr>
              <w:t>,</w:t>
            </w:r>
            <w:r w:rsidRPr="00457221">
              <w:rPr>
                <w:rFonts w:eastAsia="Times New Roman"/>
                <w:szCs w:val="24"/>
                <w:lang w:eastAsia="ru-RU"/>
              </w:rPr>
              <w:t>001</w:t>
            </w:r>
          </w:p>
        </w:tc>
        <w:tc>
          <w:tcPr>
            <w:tcW w:w="1414" w:type="dxa"/>
            <w:vAlign w:val="center"/>
            <w:hideMark/>
          </w:tcPr>
          <w:p w14:paraId="23F19F56" w14:textId="77777777" w:rsidR="000C1190" w:rsidRPr="00457221" w:rsidRDefault="000C1190" w:rsidP="002F33D0">
            <w:pPr>
              <w:ind w:firstLine="0"/>
              <w:jc w:val="center"/>
              <w:rPr>
                <w:rFonts w:eastAsia="Times New Roman"/>
                <w:szCs w:val="24"/>
                <w:lang w:eastAsia="ru-RU"/>
              </w:rPr>
            </w:pPr>
            <w:r w:rsidRPr="00457221">
              <w:rPr>
                <w:rFonts w:ascii="Segoe UI Symbol" w:eastAsia="Times New Roman" w:hAnsi="Segoe UI Symbol" w:cs="Segoe UI Symbol"/>
                <w:bCs/>
                <w:szCs w:val="24"/>
                <w:lang w:eastAsia="ru-RU"/>
              </w:rPr>
              <w:t>✔</w:t>
            </w:r>
          </w:p>
        </w:tc>
      </w:tr>
      <w:tr w:rsidR="000C1190" w:rsidRPr="000C1190" w14:paraId="0435B01A" w14:textId="77777777" w:rsidTr="007D4715">
        <w:tc>
          <w:tcPr>
            <w:tcW w:w="2571" w:type="dxa"/>
          </w:tcPr>
          <w:p w14:paraId="7C2415C3" w14:textId="77777777" w:rsidR="000C1190" w:rsidRPr="00457221" w:rsidRDefault="000C1190" w:rsidP="002F33D0">
            <w:pPr>
              <w:ind w:firstLine="0"/>
              <w:rPr>
                <w:rFonts w:eastAsia="Times New Roman"/>
                <w:szCs w:val="24"/>
                <w:lang w:eastAsia="ru-RU"/>
              </w:rPr>
            </w:pPr>
            <w:r w:rsidRPr="00457221">
              <w:rPr>
                <w:rFonts w:eastAsia="Times New Roman"/>
                <w:szCs w:val="24"/>
                <w:lang w:eastAsia="ru-RU"/>
              </w:rPr>
              <w:t>Критическое мышление и решение проблем</w:t>
            </w:r>
          </w:p>
        </w:tc>
        <w:tc>
          <w:tcPr>
            <w:tcW w:w="2736" w:type="dxa"/>
            <w:hideMark/>
          </w:tcPr>
          <w:p w14:paraId="0F63D52D" w14:textId="77777777" w:rsidR="000C1190" w:rsidRPr="00457221" w:rsidRDefault="000C1190" w:rsidP="002F33D0">
            <w:pPr>
              <w:ind w:firstLine="0"/>
              <w:jc w:val="both"/>
              <w:rPr>
                <w:rFonts w:eastAsia="Times New Roman"/>
                <w:szCs w:val="24"/>
                <w:lang w:eastAsia="ru-RU"/>
              </w:rPr>
            </w:pPr>
            <w:r w:rsidRPr="00457221">
              <w:rPr>
                <w:rFonts w:eastAsia="Times New Roman"/>
                <w:szCs w:val="24"/>
                <w:lang w:eastAsia="ru-RU"/>
              </w:rPr>
              <w:t>skill_soft_problemsolving</w:t>
            </w:r>
          </w:p>
        </w:tc>
        <w:tc>
          <w:tcPr>
            <w:tcW w:w="1469" w:type="dxa"/>
            <w:vAlign w:val="center"/>
            <w:hideMark/>
          </w:tcPr>
          <w:p w14:paraId="03F5D23A" w14:textId="349CBB1E"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139</w:t>
            </w:r>
          </w:p>
        </w:tc>
        <w:tc>
          <w:tcPr>
            <w:tcW w:w="1155" w:type="dxa"/>
            <w:vAlign w:val="center"/>
            <w:hideMark/>
          </w:tcPr>
          <w:p w14:paraId="088EBB5D" w14:textId="45CC8BEB"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002</w:t>
            </w:r>
          </w:p>
        </w:tc>
        <w:tc>
          <w:tcPr>
            <w:tcW w:w="1414" w:type="dxa"/>
            <w:vAlign w:val="center"/>
            <w:hideMark/>
          </w:tcPr>
          <w:p w14:paraId="66B68C6A" w14:textId="77777777" w:rsidR="000C1190" w:rsidRPr="00457221" w:rsidRDefault="000C1190" w:rsidP="002F33D0">
            <w:pPr>
              <w:ind w:firstLine="0"/>
              <w:jc w:val="center"/>
              <w:rPr>
                <w:rFonts w:eastAsia="Times New Roman"/>
                <w:szCs w:val="24"/>
                <w:lang w:eastAsia="ru-RU"/>
              </w:rPr>
            </w:pPr>
            <w:r w:rsidRPr="00457221">
              <w:rPr>
                <w:rFonts w:ascii="Segoe UI Symbol" w:eastAsia="Times New Roman" w:hAnsi="Segoe UI Symbol" w:cs="Segoe UI Symbol"/>
                <w:bCs/>
                <w:szCs w:val="24"/>
                <w:lang w:eastAsia="ru-RU"/>
              </w:rPr>
              <w:t>✔</w:t>
            </w:r>
          </w:p>
        </w:tc>
      </w:tr>
      <w:tr w:rsidR="000C1190" w:rsidRPr="000C1190" w14:paraId="1BC629E7" w14:textId="77777777" w:rsidTr="007D4715">
        <w:tc>
          <w:tcPr>
            <w:tcW w:w="2571" w:type="dxa"/>
          </w:tcPr>
          <w:p w14:paraId="1AB19703" w14:textId="77777777" w:rsidR="000C1190" w:rsidRPr="00457221" w:rsidRDefault="000C1190" w:rsidP="002F33D0">
            <w:pPr>
              <w:ind w:firstLine="0"/>
              <w:rPr>
                <w:rFonts w:eastAsia="Times New Roman"/>
                <w:szCs w:val="24"/>
                <w:lang w:eastAsia="ru-RU"/>
              </w:rPr>
            </w:pPr>
            <w:r w:rsidRPr="00457221">
              <w:rPr>
                <w:rFonts w:eastAsia="Times New Roman"/>
                <w:szCs w:val="24"/>
                <w:lang w:eastAsia="ru-RU"/>
              </w:rPr>
              <w:t>Знание технологических трендов</w:t>
            </w:r>
          </w:p>
        </w:tc>
        <w:tc>
          <w:tcPr>
            <w:tcW w:w="2736" w:type="dxa"/>
            <w:hideMark/>
          </w:tcPr>
          <w:p w14:paraId="29FAFF18" w14:textId="77777777" w:rsidR="000C1190" w:rsidRPr="00457221" w:rsidRDefault="000C1190" w:rsidP="002F33D0">
            <w:pPr>
              <w:ind w:firstLine="0"/>
              <w:jc w:val="both"/>
              <w:rPr>
                <w:rFonts w:eastAsia="Times New Roman"/>
                <w:szCs w:val="24"/>
                <w:lang w:eastAsia="ru-RU"/>
              </w:rPr>
            </w:pPr>
            <w:r w:rsidRPr="00457221">
              <w:rPr>
                <w:rFonts w:eastAsia="Times New Roman"/>
                <w:szCs w:val="24"/>
                <w:lang w:eastAsia="ru-RU"/>
              </w:rPr>
              <w:t>skill_hard_techtrends</w:t>
            </w:r>
          </w:p>
        </w:tc>
        <w:tc>
          <w:tcPr>
            <w:tcW w:w="1469" w:type="dxa"/>
            <w:vAlign w:val="center"/>
            <w:hideMark/>
          </w:tcPr>
          <w:p w14:paraId="1D190D9E" w14:textId="22579047"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166</w:t>
            </w:r>
          </w:p>
        </w:tc>
        <w:tc>
          <w:tcPr>
            <w:tcW w:w="1155" w:type="dxa"/>
            <w:vAlign w:val="center"/>
            <w:hideMark/>
          </w:tcPr>
          <w:p w14:paraId="652C2E54" w14:textId="16FA7A33"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&lt;0</w:t>
            </w:r>
            <w:r w:rsidR="00457221">
              <w:rPr>
                <w:rFonts w:eastAsia="Times New Roman"/>
                <w:szCs w:val="24"/>
                <w:lang w:val="kk-KZ" w:eastAsia="ru-RU"/>
              </w:rPr>
              <w:t>,</w:t>
            </w:r>
            <w:r w:rsidRPr="00457221">
              <w:rPr>
                <w:rFonts w:eastAsia="Times New Roman"/>
                <w:szCs w:val="24"/>
                <w:lang w:eastAsia="ru-RU"/>
              </w:rPr>
              <w:t>001</w:t>
            </w:r>
          </w:p>
        </w:tc>
        <w:tc>
          <w:tcPr>
            <w:tcW w:w="1414" w:type="dxa"/>
            <w:vAlign w:val="center"/>
            <w:hideMark/>
          </w:tcPr>
          <w:p w14:paraId="6AFA34BD" w14:textId="77777777" w:rsidR="000C1190" w:rsidRPr="00457221" w:rsidRDefault="000C1190" w:rsidP="002F33D0">
            <w:pPr>
              <w:ind w:firstLine="0"/>
              <w:jc w:val="center"/>
              <w:rPr>
                <w:rFonts w:eastAsia="Times New Roman"/>
                <w:szCs w:val="24"/>
                <w:lang w:eastAsia="ru-RU"/>
              </w:rPr>
            </w:pPr>
            <w:r w:rsidRPr="00457221">
              <w:rPr>
                <w:rFonts w:ascii="Segoe UI Symbol" w:eastAsia="Times New Roman" w:hAnsi="Segoe UI Symbol" w:cs="Segoe UI Symbol"/>
                <w:bCs/>
                <w:szCs w:val="24"/>
                <w:lang w:eastAsia="ru-RU"/>
              </w:rPr>
              <w:t>✔</w:t>
            </w:r>
          </w:p>
        </w:tc>
      </w:tr>
      <w:tr w:rsidR="000C1190" w:rsidRPr="000C1190" w14:paraId="6F599EEB" w14:textId="77777777" w:rsidTr="007D4715">
        <w:tc>
          <w:tcPr>
            <w:tcW w:w="2571" w:type="dxa"/>
          </w:tcPr>
          <w:p w14:paraId="1C42447C" w14:textId="77777777" w:rsidR="000C1190" w:rsidRPr="00457221" w:rsidRDefault="000C1190" w:rsidP="002F33D0">
            <w:pPr>
              <w:ind w:firstLine="0"/>
              <w:rPr>
                <w:rFonts w:eastAsia="Times New Roman"/>
                <w:szCs w:val="24"/>
                <w:lang w:eastAsia="ru-RU"/>
              </w:rPr>
            </w:pPr>
            <w:r w:rsidRPr="00457221">
              <w:rPr>
                <w:rFonts w:eastAsia="Times New Roman"/>
                <w:szCs w:val="24"/>
                <w:lang w:eastAsia="ru-RU"/>
              </w:rPr>
              <w:t>Знания в области биотехнологий</w:t>
            </w:r>
          </w:p>
        </w:tc>
        <w:tc>
          <w:tcPr>
            <w:tcW w:w="2736" w:type="dxa"/>
            <w:hideMark/>
          </w:tcPr>
          <w:p w14:paraId="3549FA0D" w14:textId="77777777" w:rsidR="000C1190" w:rsidRPr="00457221" w:rsidRDefault="000C1190" w:rsidP="002F33D0">
            <w:pPr>
              <w:ind w:firstLine="0"/>
              <w:jc w:val="both"/>
              <w:rPr>
                <w:rFonts w:eastAsia="Times New Roman"/>
                <w:szCs w:val="24"/>
                <w:lang w:eastAsia="ru-RU"/>
              </w:rPr>
            </w:pPr>
            <w:r w:rsidRPr="00457221">
              <w:rPr>
                <w:rFonts w:eastAsia="Times New Roman"/>
                <w:szCs w:val="24"/>
                <w:lang w:eastAsia="ru-RU"/>
              </w:rPr>
              <w:t>skill_hard_biotech</w:t>
            </w:r>
          </w:p>
        </w:tc>
        <w:tc>
          <w:tcPr>
            <w:tcW w:w="1469" w:type="dxa"/>
            <w:vAlign w:val="center"/>
            <w:hideMark/>
          </w:tcPr>
          <w:p w14:paraId="720A969E" w14:textId="10EE670E"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126</w:t>
            </w:r>
          </w:p>
        </w:tc>
        <w:tc>
          <w:tcPr>
            <w:tcW w:w="1155" w:type="dxa"/>
            <w:vAlign w:val="center"/>
            <w:hideMark/>
          </w:tcPr>
          <w:p w14:paraId="1B4119B2" w14:textId="787C80AF"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0</w:t>
            </w:r>
            <w:r w:rsidR="00457221">
              <w:rPr>
                <w:rFonts w:eastAsia="Times New Roman"/>
                <w:szCs w:val="24"/>
                <w:lang w:val="kk-KZ" w:eastAsia="ru-RU"/>
              </w:rPr>
              <w:t>,</w:t>
            </w:r>
            <w:r w:rsidRPr="00457221">
              <w:rPr>
                <w:rFonts w:eastAsia="Times New Roman"/>
                <w:szCs w:val="24"/>
                <w:lang w:eastAsia="ru-RU"/>
              </w:rPr>
              <w:t>004</w:t>
            </w:r>
          </w:p>
        </w:tc>
        <w:tc>
          <w:tcPr>
            <w:tcW w:w="1414" w:type="dxa"/>
            <w:vAlign w:val="center"/>
            <w:hideMark/>
          </w:tcPr>
          <w:p w14:paraId="2B838387" w14:textId="77777777" w:rsidR="000C1190" w:rsidRPr="00457221" w:rsidRDefault="000C1190" w:rsidP="002F33D0">
            <w:pPr>
              <w:ind w:firstLine="0"/>
              <w:jc w:val="center"/>
              <w:rPr>
                <w:rFonts w:eastAsia="Times New Roman"/>
                <w:szCs w:val="24"/>
                <w:lang w:eastAsia="ru-RU"/>
              </w:rPr>
            </w:pPr>
            <w:r w:rsidRPr="00457221">
              <w:rPr>
                <w:rFonts w:ascii="Segoe UI Symbol" w:eastAsia="Times New Roman" w:hAnsi="Segoe UI Symbol" w:cs="Segoe UI Symbol"/>
                <w:bCs/>
                <w:szCs w:val="24"/>
                <w:lang w:eastAsia="ru-RU"/>
              </w:rPr>
              <w:t>✔</w:t>
            </w:r>
          </w:p>
        </w:tc>
      </w:tr>
      <w:tr w:rsidR="000C1190" w:rsidRPr="000C1190" w14:paraId="1967269F" w14:textId="77777777" w:rsidTr="007D4715">
        <w:tc>
          <w:tcPr>
            <w:tcW w:w="5307" w:type="dxa"/>
            <w:gridSpan w:val="2"/>
          </w:tcPr>
          <w:p w14:paraId="5C328525" w14:textId="77777777" w:rsidR="000C1190" w:rsidRPr="00457221" w:rsidRDefault="000C1190" w:rsidP="002F33D0">
            <w:pPr>
              <w:ind w:firstLine="0"/>
              <w:jc w:val="both"/>
              <w:rPr>
                <w:rFonts w:eastAsia="Times New Roman"/>
                <w:szCs w:val="24"/>
                <w:lang w:eastAsia="ru-RU"/>
              </w:rPr>
            </w:pPr>
            <w:r w:rsidRPr="00457221">
              <w:rPr>
                <w:rFonts w:eastAsia="Times New Roman"/>
                <w:szCs w:val="24"/>
                <w:lang w:eastAsia="ru-RU"/>
              </w:rPr>
              <w:t>Остальные (включая HR-практики)</w:t>
            </w:r>
          </w:p>
        </w:tc>
        <w:tc>
          <w:tcPr>
            <w:tcW w:w="1469" w:type="dxa"/>
            <w:vAlign w:val="center"/>
            <w:hideMark/>
          </w:tcPr>
          <w:p w14:paraId="192ACC50" w14:textId="278277FB"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&lt; 0</w:t>
            </w:r>
            <w:r w:rsidR="00457221">
              <w:rPr>
                <w:rFonts w:eastAsia="Times New Roman"/>
                <w:szCs w:val="24"/>
                <w:lang w:val="kk-KZ" w:eastAsia="ru-RU"/>
              </w:rPr>
              <w:t>,</w:t>
            </w:r>
            <w:r w:rsidRPr="00457221">
              <w:rPr>
                <w:rFonts w:eastAsia="Times New Roman"/>
                <w:szCs w:val="24"/>
                <w:lang w:eastAsia="ru-RU"/>
              </w:rPr>
              <w:t>1</w:t>
            </w:r>
          </w:p>
        </w:tc>
        <w:tc>
          <w:tcPr>
            <w:tcW w:w="1155" w:type="dxa"/>
            <w:vAlign w:val="center"/>
            <w:hideMark/>
          </w:tcPr>
          <w:p w14:paraId="19ECD3CF" w14:textId="6ACCC7F6" w:rsidR="000C1190" w:rsidRPr="00457221" w:rsidRDefault="000C1190" w:rsidP="002F33D0">
            <w:pPr>
              <w:ind w:firstLine="0"/>
              <w:jc w:val="center"/>
              <w:rPr>
                <w:rFonts w:eastAsia="Times New Roman"/>
                <w:szCs w:val="24"/>
                <w:lang w:eastAsia="ru-RU"/>
              </w:rPr>
            </w:pPr>
            <w:r w:rsidRPr="00457221">
              <w:rPr>
                <w:rFonts w:eastAsia="Times New Roman"/>
                <w:szCs w:val="24"/>
                <w:lang w:eastAsia="ru-RU"/>
              </w:rPr>
              <w:t>&gt; 0</w:t>
            </w:r>
            <w:r w:rsidR="00457221">
              <w:rPr>
                <w:rFonts w:eastAsia="Times New Roman"/>
                <w:szCs w:val="24"/>
                <w:lang w:val="kk-KZ" w:eastAsia="ru-RU"/>
              </w:rPr>
              <w:t>,</w:t>
            </w:r>
            <w:r w:rsidRPr="00457221">
              <w:rPr>
                <w:rFonts w:eastAsia="Times New Roman"/>
                <w:szCs w:val="24"/>
                <w:lang w:eastAsia="ru-RU"/>
              </w:rPr>
              <w:t>1</w:t>
            </w:r>
          </w:p>
        </w:tc>
        <w:tc>
          <w:tcPr>
            <w:tcW w:w="1414" w:type="dxa"/>
            <w:vAlign w:val="center"/>
            <w:hideMark/>
          </w:tcPr>
          <w:p w14:paraId="2D866F43" w14:textId="77777777" w:rsidR="000C1190" w:rsidRPr="00457221" w:rsidRDefault="000C1190" w:rsidP="002F33D0">
            <w:pPr>
              <w:ind w:firstLine="0"/>
              <w:jc w:val="center"/>
              <w:rPr>
                <w:rFonts w:eastAsia="Times New Roman"/>
                <w:szCs w:val="24"/>
                <w:lang w:eastAsia="ru-RU"/>
              </w:rPr>
            </w:pPr>
            <w:r w:rsidRPr="00457221">
              <w:rPr>
                <w:rFonts w:ascii="Segoe UI Symbol" w:eastAsia="Times New Roman" w:hAnsi="Segoe UI Symbol" w:cs="Segoe UI Symbol"/>
                <w:szCs w:val="24"/>
                <w:lang w:eastAsia="ru-RU"/>
              </w:rPr>
              <w:t>✘</w:t>
            </w:r>
          </w:p>
        </w:tc>
      </w:tr>
      <w:tr w:rsidR="000C1190" w:rsidRPr="000C1190" w14:paraId="5A246C27" w14:textId="77777777" w:rsidTr="007D4715">
        <w:tc>
          <w:tcPr>
            <w:tcW w:w="9345" w:type="dxa"/>
            <w:gridSpan w:val="5"/>
          </w:tcPr>
          <w:p w14:paraId="25416DF7" w14:textId="2BF9AD53" w:rsidR="000C1190" w:rsidRPr="00EE311D" w:rsidRDefault="000C1190" w:rsidP="000F3C80">
            <w:pPr>
              <w:ind w:firstLine="459"/>
              <w:jc w:val="both"/>
              <w:rPr>
                <w:rFonts w:eastAsia="Times New Roman"/>
                <w:szCs w:val="24"/>
                <w:lang w:eastAsia="ru-RU"/>
              </w:rPr>
            </w:pPr>
            <w:r w:rsidRPr="00EE311D">
              <w:rPr>
                <w:rFonts w:eastAsia="Times New Roman"/>
                <w:szCs w:val="24"/>
                <w:lang w:eastAsia="ru-RU"/>
              </w:rPr>
              <w:t>Пр</w:t>
            </w:r>
            <w:r w:rsidR="000F3C80" w:rsidRPr="00EE311D">
              <w:rPr>
                <w:rFonts w:eastAsia="Times New Roman"/>
                <w:szCs w:val="24"/>
                <w:lang w:eastAsia="ru-RU"/>
              </w:rPr>
              <w:t>имечание</w:t>
            </w:r>
            <w:r w:rsidR="000F3C80" w:rsidRPr="00EE311D">
              <w:rPr>
                <w:rFonts w:eastAsia="Times New Roman"/>
                <w:szCs w:val="24"/>
                <w:lang w:val="kk-KZ" w:eastAsia="ru-RU"/>
              </w:rPr>
              <w:t xml:space="preserve"> – </w:t>
            </w:r>
            <w:r w:rsidRPr="00EE311D">
              <w:rPr>
                <w:rFonts w:ascii="Segoe UI Symbol" w:eastAsia="Times New Roman" w:hAnsi="Segoe UI Symbol" w:cs="Segoe UI Symbol"/>
                <w:szCs w:val="24"/>
                <w:lang w:eastAsia="ru-RU"/>
              </w:rPr>
              <w:t>✔</w:t>
            </w:r>
            <w:r w:rsidRPr="00EE311D">
              <w:rPr>
                <w:rFonts w:eastAsia="Times New Roman"/>
                <w:szCs w:val="24"/>
                <w:lang w:eastAsia="ru-RU"/>
              </w:rPr>
              <w:t xml:space="preserve"> – значимо (p &lt; 0</w:t>
            </w:r>
            <w:r w:rsidR="002C6041" w:rsidRPr="00EE311D">
              <w:rPr>
                <w:rFonts w:eastAsia="Times New Roman"/>
                <w:szCs w:val="24"/>
                <w:lang w:val="kk-KZ" w:eastAsia="ru-RU"/>
              </w:rPr>
              <w:t>,</w:t>
            </w:r>
            <w:r w:rsidRPr="00EE311D">
              <w:rPr>
                <w:rFonts w:eastAsia="Times New Roman"/>
                <w:szCs w:val="24"/>
                <w:lang w:eastAsia="ru-RU"/>
              </w:rPr>
              <w:t xml:space="preserve">05); </w:t>
            </w:r>
            <w:r w:rsidRPr="00EE311D">
              <w:rPr>
                <w:rFonts w:ascii="Segoe UI Symbol" w:eastAsia="Times New Roman" w:hAnsi="Segoe UI Symbol" w:cs="Segoe UI Symbol"/>
                <w:szCs w:val="24"/>
                <w:lang w:eastAsia="ru-RU"/>
              </w:rPr>
              <w:t>✘</w:t>
            </w:r>
            <w:r w:rsidRPr="00EE311D">
              <w:rPr>
                <w:rFonts w:eastAsia="Times New Roman"/>
                <w:szCs w:val="24"/>
                <w:lang w:eastAsia="ru-RU"/>
              </w:rPr>
              <w:t xml:space="preserve"> – незначимо (p &gt; 0</w:t>
            </w:r>
            <w:r w:rsidR="002C6041" w:rsidRPr="00EE311D">
              <w:rPr>
                <w:rFonts w:eastAsia="Times New Roman"/>
                <w:szCs w:val="24"/>
                <w:lang w:val="kk-KZ" w:eastAsia="ru-RU"/>
              </w:rPr>
              <w:t>,</w:t>
            </w:r>
            <w:r w:rsidR="003F0E8F" w:rsidRPr="00EE311D">
              <w:rPr>
                <w:rFonts w:eastAsia="Times New Roman"/>
                <w:szCs w:val="24"/>
                <w:lang w:eastAsia="ru-RU"/>
              </w:rPr>
              <w:t>1)</w:t>
            </w:r>
          </w:p>
        </w:tc>
      </w:tr>
    </w:tbl>
    <w:p w14:paraId="425602B0" w14:textId="77777777" w:rsidR="000C1190" w:rsidRPr="000C1190" w:rsidRDefault="000C1190" w:rsidP="002F33D0">
      <w:pPr>
        <w:spacing w:after="0" w:line="240" w:lineRule="auto"/>
        <w:ind w:firstLine="567"/>
        <w:jc w:val="both"/>
        <w:rPr>
          <w:rFonts w:ascii="Times New Roman" w:hAnsi="Times New Roman" w:cs="Times New Roman"/>
          <w:sz w:val="28"/>
          <w:szCs w:val="28"/>
        </w:rPr>
      </w:pPr>
    </w:p>
    <w:p w14:paraId="78B1F0B4" w14:textId="2D1A9D75" w:rsid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Наибольшее влияние на инновационный потенциал оказывают компетенции в области кибербезопасности</w:t>
      </w:r>
      <w:r w:rsidR="00122E31">
        <w:rPr>
          <w:rFonts w:ascii="Times New Roman" w:hAnsi="Times New Roman" w:cs="Times New Roman"/>
          <w:sz w:val="28"/>
          <w:szCs w:val="28"/>
          <w:lang w:val="kk-KZ"/>
        </w:rPr>
        <w:t xml:space="preserve"> (</w:t>
      </w:r>
      <m:oMath>
        <m:r>
          <w:rPr>
            <w:rStyle w:val="mord"/>
            <w:rFonts w:ascii="Cambria Math" w:hAnsi="Cambria Math"/>
            <w:sz w:val="28"/>
            <w:szCs w:val="28"/>
            <w:lang w:val="en-US"/>
          </w:rPr>
          <m:t>cybersecurity</m:t>
        </m:r>
      </m:oMath>
      <w:r w:rsidR="00122E31">
        <w:rPr>
          <w:rStyle w:val="mord"/>
          <w:rFonts w:ascii="Times New Roman" w:eastAsiaTheme="minorEastAsia" w:hAnsi="Times New Roman" w:cs="Times New Roman"/>
          <w:sz w:val="28"/>
          <w:szCs w:val="28"/>
          <w:lang w:val="kk-KZ"/>
        </w:rPr>
        <w:t>)</w:t>
      </w:r>
      <w:r w:rsidRPr="000C1190">
        <w:rPr>
          <w:rFonts w:ascii="Times New Roman" w:hAnsi="Times New Roman" w:cs="Times New Roman"/>
          <w:sz w:val="28"/>
          <w:szCs w:val="28"/>
        </w:rPr>
        <w:t>, робототехники</w:t>
      </w:r>
      <w:r w:rsidR="00122E31">
        <w:rPr>
          <w:rFonts w:ascii="Times New Roman" w:hAnsi="Times New Roman" w:cs="Times New Roman"/>
          <w:sz w:val="28"/>
          <w:szCs w:val="28"/>
          <w:lang w:val="kk-KZ"/>
        </w:rPr>
        <w:t xml:space="preserve"> (</w:t>
      </w:r>
      <m:oMath>
        <m:r>
          <w:rPr>
            <w:rFonts w:ascii="Cambria Math" w:hAnsi="Cambria Math"/>
            <w:sz w:val="28"/>
            <w:szCs w:val="28"/>
            <w:lang w:val="kk-KZ"/>
          </w:rPr>
          <m:t>robotics</m:t>
        </m:r>
      </m:oMath>
      <w:r w:rsidR="00122E31">
        <w:rPr>
          <w:rFonts w:ascii="Times New Roman" w:eastAsiaTheme="minorEastAsia" w:hAnsi="Times New Roman" w:cs="Times New Roman"/>
          <w:sz w:val="28"/>
          <w:szCs w:val="28"/>
          <w:lang w:val="kk-KZ"/>
        </w:rPr>
        <w:t>)</w:t>
      </w:r>
      <w:r w:rsidRPr="000C1190">
        <w:rPr>
          <w:rFonts w:ascii="Times New Roman" w:hAnsi="Times New Roman" w:cs="Times New Roman"/>
          <w:sz w:val="28"/>
          <w:szCs w:val="28"/>
        </w:rPr>
        <w:t>, биотехнологий</w:t>
      </w:r>
      <w:r w:rsidR="00122E31">
        <w:rPr>
          <w:rFonts w:ascii="Times New Roman" w:hAnsi="Times New Roman" w:cs="Times New Roman"/>
          <w:sz w:val="28"/>
          <w:szCs w:val="28"/>
          <w:lang w:val="kk-KZ"/>
        </w:rPr>
        <w:t xml:space="preserve"> (</w:t>
      </w:r>
      <m:oMath>
        <m:r>
          <w:rPr>
            <w:rFonts w:ascii="Cambria Math" w:eastAsia="Times New Roman" w:hAnsi="Cambria Math"/>
            <w:sz w:val="28"/>
            <w:szCs w:val="28"/>
            <w:lang w:val="en-US" w:eastAsia="ru-RU"/>
          </w:rPr>
          <m:t>biotec</m:t>
        </m:r>
        <m:r>
          <w:rPr>
            <w:rFonts w:ascii="Cambria Math" w:eastAsia="Times New Roman" w:hAnsi="Cambria Math"/>
            <w:sz w:val="28"/>
            <w:szCs w:val="28"/>
            <w:lang w:eastAsia="ru-RU"/>
          </w:rPr>
          <m:t>h</m:t>
        </m:r>
      </m:oMath>
      <w:r w:rsidR="00122E31">
        <w:rPr>
          <w:rFonts w:ascii="Times New Roman" w:eastAsiaTheme="minorEastAsia" w:hAnsi="Times New Roman" w:cs="Times New Roman"/>
          <w:sz w:val="28"/>
          <w:szCs w:val="28"/>
          <w:lang w:val="kk-KZ" w:eastAsia="ru-RU"/>
        </w:rPr>
        <w:t>)</w:t>
      </w:r>
      <w:r w:rsidRPr="000C1190">
        <w:rPr>
          <w:rFonts w:ascii="Times New Roman" w:hAnsi="Times New Roman" w:cs="Times New Roman"/>
          <w:sz w:val="28"/>
          <w:szCs w:val="28"/>
        </w:rPr>
        <w:t>, технологических трендов</w:t>
      </w:r>
      <w:r w:rsidR="00122E31">
        <w:rPr>
          <w:rFonts w:ascii="Times New Roman" w:hAnsi="Times New Roman" w:cs="Times New Roman"/>
          <w:sz w:val="28"/>
          <w:szCs w:val="28"/>
          <w:lang w:val="kk-KZ"/>
        </w:rPr>
        <w:t xml:space="preserve"> (</w:t>
      </w:r>
      <m:oMath>
        <m:r>
          <w:rPr>
            <w:rFonts w:ascii="Cambria Math" w:eastAsia="Times New Roman" w:hAnsi="Cambria Math"/>
            <w:sz w:val="28"/>
            <w:szCs w:val="28"/>
            <w:lang w:val="en-US" w:eastAsia="ru-RU"/>
          </w:rPr>
          <m:t>tec</m:t>
        </m:r>
        <m:r>
          <w:rPr>
            <w:rFonts w:ascii="Cambria Math" w:eastAsia="Times New Roman" w:hAnsi="Cambria Math"/>
            <w:sz w:val="28"/>
            <w:szCs w:val="28"/>
            <w:lang w:eastAsia="ru-RU"/>
          </w:rPr>
          <m:t>h</m:t>
        </m:r>
        <m:r>
          <w:rPr>
            <w:rFonts w:ascii="Cambria Math" w:eastAsia="Times New Roman" w:hAnsi="Cambria Math"/>
            <w:sz w:val="28"/>
            <w:szCs w:val="28"/>
            <w:lang w:val="en-US" w:eastAsia="ru-RU"/>
          </w:rPr>
          <m:t>trends</m:t>
        </m:r>
      </m:oMath>
      <w:r w:rsidR="00122E31">
        <w:rPr>
          <w:rFonts w:ascii="Times New Roman" w:eastAsiaTheme="minorEastAsia" w:hAnsi="Times New Roman" w:cs="Times New Roman"/>
          <w:sz w:val="28"/>
          <w:szCs w:val="28"/>
          <w:lang w:val="kk-KZ" w:eastAsia="ru-RU"/>
        </w:rPr>
        <w:t>)</w:t>
      </w:r>
      <w:r w:rsidRPr="000C1190">
        <w:rPr>
          <w:rFonts w:ascii="Times New Roman" w:hAnsi="Times New Roman" w:cs="Times New Roman"/>
          <w:sz w:val="28"/>
          <w:szCs w:val="28"/>
        </w:rPr>
        <w:t>, а также креативность</w:t>
      </w:r>
      <w:r w:rsidR="00122E31">
        <w:rPr>
          <w:rFonts w:ascii="Times New Roman" w:hAnsi="Times New Roman" w:cs="Times New Roman"/>
          <w:sz w:val="28"/>
          <w:szCs w:val="28"/>
          <w:lang w:val="kk-KZ"/>
        </w:rPr>
        <w:t xml:space="preserve"> (</w:t>
      </w:r>
      <m:oMath>
        <m:r>
          <w:rPr>
            <w:rFonts w:ascii="Cambria Math" w:hAnsi="Cambria Math"/>
            <w:sz w:val="28"/>
            <w:szCs w:val="28"/>
            <w:lang w:val="kk-KZ"/>
          </w:rPr>
          <m:t>creativity</m:t>
        </m:r>
      </m:oMath>
      <w:r w:rsidR="00122E31">
        <w:rPr>
          <w:rFonts w:ascii="Times New Roman" w:eastAsiaTheme="minorEastAsia" w:hAnsi="Times New Roman" w:cs="Times New Roman"/>
          <w:sz w:val="28"/>
          <w:szCs w:val="28"/>
          <w:lang w:val="kk-KZ"/>
        </w:rPr>
        <w:t>)</w:t>
      </w:r>
      <w:r w:rsidRPr="000C1190">
        <w:rPr>
          <w:rFonts w:ascii="Times New Roman" w:hAnsi="Times New Roman" w:cs="Times New Roman"/>
          <w:sz w:val="28"/>
          <w:szCs w:val="28"/>
        </w:rPr>
        <w:t>, командная работа</w:t>
      </w:r>
      <w:r w:rsidR="00122E31">
        <w:rPr>
          <w:rFonts w:ascii="Times New Roman" w:hAnsi="Times New Roman" w:cs="Times New Roman"/>
          <w:sz w:val="28"/>
          <w:szCs w:val="28"/>
          <w:lang w:val="kk-KZ"/>
        </w:rPr>
        <w:t xml:space="preserve"> (</w:t>
      </w:r>
      <m:oMath>
        <m:r>
          <w:rPr>
            <w:rStyle w:val="mord"/>
            <w:rFonts w:ascii="Cambria Math" w:hAnsi="Cambria Math"/>
            <w:sz w:val="28"/>
            <w:szCs w:val="28"/>
            <w:lang w:val="en-US"/>
          </w:rPr>
          <m:t>teamwork</m:t>
        </m:r>
      </m:oMath>
      <w:r w:rsidR="00122E31">
        <w:rPr>
          <w:rFonts w:ascii="Times New Roman" w:hAnsi="Times New Roman" w:cs="Times New Roman"/>
          <w:sz w:val="28"/>
          <w:szCs w:val="28"/>
          <w:lang w:val="kk-KZ"/>
        </w:rPr>
        <w:t>),</w:t>
      </w:r>
      <w:r w:rsidRPr="000C1190">
        <w:rPr>
          <w:rFonts w:ascii="Times New Roman" w:hAnsi="Times New Roman" w:cs="Times New Roman"/>
          <w:sz w:val="28"/>
          <w:szCs w:val="28"/>
        </w:rPr>
        <w:t xml:space="preserve"> адаптивность</w:t>
      </w:r>
      <w:r w:rsidR="00122E31">
        <w:rPr>
          <w:rFonts w:ascii="Times New Roman" w:hAnsi="Times New Roman" w:cs="Times New Roman"/>
          <w:sz w:val="28"/>
          <w:szCs w:val="28"/>
          <w:lang w:val="kk-KZ"/>
        </w:rPr>
        <w:t xml:space="preserve"> (</w:t>
      </w:r>
      <m:oMath>
        <m:r>
          <w:rPr>
            <w:rStyle w:val="mord"/>
            <w:rFonts w:ascii="Cambria Math" w:hAnsi="Cambria Math"/>
            <w:sz w:val="28"/>
            <w:szCs w:val="28"/>
            <w:lang w:val="en-US"/>
          </w:rPr>
          <m:t>adaptability</m:t>
        </m:r>
      </m:oMath>
      <w:r w:rsidR="00122E31">
        <w:rPr>
          <w:rStyle w:val="mord"/>
          <w:rFonts w:ascii="Times New Roman" w:eastAsiaTheme="minorEastAsia" w:hAnsi="Times New Roman" w:cs="Times New Roman"/>
          <w:sz w:val="28"/>
          <w:szCs w:val="28"/>
          <w:lang w:val="kk-KZ"/>
        </w:rPr>
        <w:t>)</w:t>
      </w:r>
      <w:r w:rsidRPr="000C1190">
        <w:rPr>
          <w:rFonts w:ascii="Times New Roman" w:hAnsi="Times New Roman" w:cs="Times New Roman"/>
          <w:sz w:val="28"/>
          <w:szCs w:val="28"/>
        </w:rPr>
        <w:t xml:space="preserve"> и устойчивое мышление</w:t>
      </w:r>
      <w:r w:rsidR="00122E31">
        <w:rPr>
          <w:rFonts w:ascii="Times New Roman" w:hAnsi="Times New Roman" w:cs="Times New Roman"/>
          <w:sz w:val="28"/>
          <w:szCs w:val="28"/>
          <w:lang w:val="kk-KZ"/>
        </w:rPr>
        <w:t xml:space="preserve"> (</w:t>
      </w:r>
      <m:oMath>
        <m:r>
          <w:rPr>
            <w:rStyle w:val="mord"/>
            <w:rFonts w:ascii="Cambria Math" w:hAnsi="Cambria Math"/>
            <w:sz w:val="28"/>
            <w:szCs w:val="28"/>
            <w:lang w:val="en-US"/>
          </w:rPr>
          <m:t>sustainability</m:t>
        </m:r>
      </m:oMath>
      <w:r w:rsidR="00122E31">
        <w:rPr>
          <w:rStyle w:val="mord"/>
          <w:rFonts w:ascii="Times New Roman" w:eastAsiaTheme="minorEastAsia" w:hAnsi="Times New Roman" w:cs="Times New Roman"/>
          <w:sz w:val="28"/>
          <w:szCs w:val="28"/>
          <w:lang w:val="kk-KZ"/>
        </w:rPr>
        <w:t>)</w:t>
      </w:r>
      <w:r w:rsidR="002C6041">
        <w:rPr>
          <w:rFonts w:ascii="Times New Roman" w:hAnsi="Times New Roman" w:cs="Times New Roman"/>
          <w:sz w:val="28"/>
          <w:szCs w:val="28"/>
          <w:lang w:val="kk-KZ"/>
        </w:rPr>
        <w:t xml:space="preserve"> (7)</w:t>
      </w:r>
      <w:r w:rsidRPr="000C1190">
        <w:rPr>
          <w:rFonts w:ascii="Times New Roman" w:hAnsi="Times New Roman" w:cs="Times New Roman"/>
          <w:sz w:val="28"/>
          <w:szCs w:val="28"/>
        </w:rPr>
        <w:t>.</w:t>
      </w:r>
    </w:p>
    <w:p w14:paraId="2912DC05" w14:textId="03A90973" w:rsidR="002C6041" w:rsidRDefault="002C6041" w:rsidP="002F33D0">
      <w:pPr>
        <w:spacing w:after="0" w:line="240" w:lineRule="auto"/>
        <w:ind w:firstLine="567"/>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2"/>
        <w:gridCol w:w="543"/>
      </w:tblGrid>
      <w:tr w:rsidR="002C6041" w14:paraId="786E0B08" w14:textId="77777777" w:rsidTr="002C6041">
        <w:tc>
          <w:tcPr>
            <w:tcW w:w="9209" w:type="dxa"/>
          </w:tcPr>
          <w:p w14:paraId="32D39BF9" w14:textId="633CE3F6" w:rsidR="002C6041" w:rsidRPr="002C6041" w:rsidRDefault="001D4931" w:rsidP="002F33D0">
            <w:pPr>
              <w:jc w:val="both"/>
              <w:rPr>
                <w:rFonts w:eastAsiaTheme="minorEastAsia"/>
                <w:sz w:val="28"/>
                <w:szCs w:val="28"/>
                <w:lang w:val="kk-KZ"/>
              </w:rPr>
            </w:pPr>
            <m:oMathPara>
              <m:oMath>
                <m:sSub>
                  <m:sSubPr>
                    <m:ctrlPr>
                      <w:rPr>
                        <w:rFonts w:ascii="Cambria Math" w:hAnsi="Cambria Math"/>
                        <w:i/>
                        <w:sz w:val="28"/>
                        <w:szCs w:val="28"/>
                        <w:lang w:val="kk-KZ"/>
                      </w:rPr>
                    </m:ctrlPr>
                  </m:sSubPr>
                  <m:e>
                    <m:r>
                      <w:rPr>
                        <w:rFonts w:ascii="Cambria Math" w:hAnsi="Cambria Math"/>
                        <w:sz w:val="28"/>
                        <w:szCs w:val="28"/>
                        <w:lang w:val="en-US"/>
                      </w:rPr>
                      <m:t>IP</m:t>
                    </m:r>
                  </m:e>
                  <m:sub>
                    <m:r>
                      <w:rPr>
                        <w:rFonts w:ascii="Cambria Math" w:hAnsi="Cambria Math"/>
                        <w:sz w:val="28"/>
                        <w:szCs w:val="28"/>
                        <w:lang w:val="kk-KZ"/>
                      </w:rPr>
                      <m:t>мал.</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β</m:t>
                    </m:r>
                  </m:e>
                  <m:sub>
                    <m:r>
                      <w:rPr>
                        <w:rFonts w:ascii="Cambria Math" w:hAnsi="Cambria Math"/>
                        <w:sz w:val="28"/>
                        <w:szCs w:val="28"/>
                        <w:lang w:val="kk-KZ"/>
                      </w:rPr>
                      <m:t>0</m:t>
                    </m:r>
                  </m:sub>
                </m:sSub>
                <m:r>
                  <w:rPr>
                    <w:rFonts w:ascii="Cambria Math" w:hAnsi="Cambria Math"/>
                    <w:sz w:val="28"/>
                    <w:szCs w:val="28"/>
                    <w:lang w:val="kk-KZ"/>
                  </w:rPr>
                  <m:t>+0,231∙</m:t>
                </m:r>
                <m:r>
                  <w:rPr>
                    <w:rStyle w:val="mord"/>
                    <w:rFonts w:ascii="Cambria Math" w:hAnsi="Cambria Math"/>
                    <w:sz w:val="28"/>
                    <w:szCs w:val="28"/>
                    <w:lang w:val="en-US"/>
                  </w:rPr>
                  <m:t>cybersecurity</m:t>
                </m:r>
                <m:r>
                  <w:rPr>
                    <w:rFonts w:ascii="Cambria Math" w:hAnsi="Cambria Math"/>
                    <w:sz w:val="28"/>
                    <w:szCs w:val="28"/>
                    <w:lang w:val="kk-KZ"/>
                  </w:rPr>
                  <m:t>+0,231∙creativity+</m:t>
                </m:r>
              </m:oMath>
            </m:oMathPara>
          </w:p>
          <w:p w14:paraId="0BA894B6" w14:textId="2E378E96" w:rsidR="002C6041" w:rsidRPr="002C6041" w:rsidRDefault="00486569" w:rsidP="002F33D0">
            <w:pPr>
              <w:jc w:val="both"/>
              <w:rPr>
                <w:rFonts w:eastAsiaTheme="minorEastAsia"/>
                <w:sz w:val="28"/>
                <w:szCs w:val="28"/>
                <w:lang w:val="kk-KZ"/>
              </w:rPr>
            </w:pPr>
            <m:oMathPara>
              <m:oMath>
                <m:r>
                  <w:rPr>
                    <w:rFonts w:ascii="Cambria Math" w:hAnsi="Cambria Math"/>
                    <w:sz w:val="28"/>
                    <w:szCs w:val="28"/>
                    <w:lang w:val="kk-KZ"/>
                  </w:rPr>
                  <m:t>+0,201∙</m:t>
                </m:r>
                <m:r>
                  <w:rPr>
                    <w:rStyle w:val="mord"/>
                    <w:rFonts w:ascii="Cambria Math" w:hAnsi="Cambria Math"/>
                    <w:sz w:val="28"/>
                    <w:szCs w:val="28"/>
                    <w:lang w:val="en-US"/>
                  </w:rPr>
                  <m:t>teamwork</m:t>
                </m:r>
                <m:r>
                  <w:rPr>
                    <w:rFonts w:ascii="Cambria Math" w:hAnsi="Cambria Math"/>
                    <w:sz w:val="28"/>
                    <w:szCs w:val="28"/>
                    <w:lang w:val="kk-KZ"/>
                  </w:rPr>
                  <m:t>+0,193∙</m:t>
                </m:r>
                <m:r>
                  <w:rPr>
                    <w:rStyle w:val="mord"/>
                    <w:rFonts w:ascii="Cambria Math" w:hAnsi="Cambria Math"/>
                    <w:sz w:val="28"/>
                    <w:szCs w:val="28"/>
                    <w:lang w:val="en-US"/>
                  </w:rPr>
                  <m:t>adaptability</m:t>
                </m:r>
                <m:r>
                  <m:rPr>
                    <m:sty m:val="p"/>
                  </m:rPr>
                  <w:rPr>
                    <w:rStyle w:val="mord"/>
                    <w:rFonts w:ascii="Cambria Math" w:hAnsi="Cambria Math"/>
                    <w:sz w:val="28"/>
                    <w:szCs w:val="28"/>
                    <w:lang w:val="en-US"/>
                  </w:rPr>
                  <m:t>+0,182∙</m:t>
                </m:r>
                <m:r>
                  <w:rPr>
                    <w:rFonts w:ascii="Cambria Math" w:hAnsi="Cambria Math"/>
                    <w:sz w:val="28"/>
                    <w:szCs w:val="28"/>
                    <w:lang w:val="kk-KZ"/>
                  </w:rPr>
                  <m:t>robotics+</m:t>
                </m:r>
              </m:oMath>
            </m:oMathPara>
          </w:p>
          <w:p w14:paraId="6AA16A4B" w14:textId="77777777" w:rsidR="002C6041" w:rsidRPr="002C6041" w:rsidRDefault="002C6041" w:rsidP="002F33D0">
            <w:pPr>
              <w:jc w:val="both"/>
              <w:rPr>
                <w:rFonts w:eastAsiaTheme="minorEastAsia"/>
                <w:sz w:val="28"/>
                <w:szCs w:val="28"/>
                <w:lang w:val="en-US" w:eastAsia="ru-RU"/>
              </w:rPr>
            </w:pPr>
            <m:oMathPara>
              <m:oMath>
                <m:r>
                  <w:rPr>
                    <w:rFonts w:ascii="Cambria Math" w:hAnsi="Cambria Math"/>
                    <w:sz w:val="28"/>
                    <w:szCs w:val="28"/>
                    <w:lang w:val="kk-KZ"/>
                  </w:rPr>
                  <m:t>+0,182∙</m:t>
                </m:r>
                <m:r>
                  <w:rPr>
                    <w:rStyle w:val="mord"/>
                    <w:rFonts w:ascii="Cambria Math" w:hAnsi="Cambria Math"/>
                    <w:sz w:val="28"/>
                    <w:szCs w:val="28"/>
                    <w:lang w:val="en-US"/>
                  </w:rPr>
                  <m:t>sustainability</m:t>
                </m:r>
                <m:r>
                  <m:rPr>
                    <m:sty m:val="p"/>
                  </m:rPr>
                  <w:rPr>
                    <w:rStyle w:val="mord"/>
                    <w:rFonts w:ascii="Cambria Math" w:hAnsi="Cambria Math"/>
                    <w:sz w:val="28"/>
                    <w:szCs w:val="28"/>
                    <w:lang w:val="en-US"/>
                  </w:rPr>
                  <m:t>+0,166∙</m:t>
                </m:r>
                <m:r>
                  <w:rPr>
                    <w:rFonts w:ascii="Cambria Math" w:eastAsia="Times New Roman" w:hAnsi="Cambria Math"/>
                    <w:sz w:val="28"/>
                    <w:szCs w:val="28"/>
                    <w:lang w:val="en-US" w:eastAsia="ru-RU"/>
                  </w:rPr>
                  <m:t>techtrends+</m:t>
                </m:r>
              </m:oMath>
            </m:oMathPara>
          </w:p>
          <w:p w14:paraId="7676E6D2" w14:textId="728D52DC" w:rsidR="002C6041" w:rsidRDefault="002C6041" w:rsidP="002F33D0">
            <w:pPr>
              <w:jc w:val="both"/>
              <w:rPr>
                <w:sz w:val="28"/>
                <w:szCs w:val="28"/>
              </w:rPr>
            </w:pPr>
            <m:oMathPara>
              <m:oMath>
                <m:r>
                  <m:rPr>
                    <m:sty m:val="p"/>
                  </m:rPr>
                  <w:rPr>
                    <w:rFonts w:ascii="Cambria Math" w:eastAsia="Times New Roman" w:hAnsi="Cambria Math"/>
                    <w:sz w:val="28"/>
                    <w:szCs w:val="28"/>
                    <w:lang w:val="en-US" w:eastAsia="ru-RU"/>
                  </w:rPr>
                  <m:t>+0,139∙</m:t>
                </m:r>
                <m:r>
                  <w:rPr>
                    <w:rFonts w:ascii="Cambria Math" w:eastAsia="Times New Roman" w:hAnsi="Cambria Math"/>
                    <w:sz w:val="28"/>
                    <w:szCs w:val="28"/>
                    <w:lang w:val="en-US" w:eastAsia="ru-RU"/>
                  </w:rPr>
                  <m:t>problem solving</m:t>
                </m:r>
                <m:r>
                  <m:rPr>
                    <m:sty m:val="p"/>
                  </m:rPr>
                  <w:rPr>
                    <w:rFonts w:ascii="Cambria Math" w:eastAsia="Times New Roman" w:hAnsi="Cambria Math"/>
                    <w:sz w:val="28"/>
                    <w:szCs w:val="28"/>
                    <w:lang w:val="en-US" w:eastAsia="ru-RU"/>
                  </w:rPr>
                  <m:t>+0,126∙</m:t>
                </m:r>
                <m:r>
                  <w:rPr>
                    <w:rFonts w:ascii="Cambria Math" w:eastAsia="Times New Roman" w:hAnsi="Cambria Math"/>
                    <w:sz w:val="28"/>
                    <w:szCs w:val="28"/>
                    <w:lang w:val="en-US" w:eastAsia="ru-RU"/>
                  </w:rPr>
                  <m:t>biotech</m:t>
                </m:r>
                <m:r>
                  <m:rPr>
                    <m:sty m:val="p"/>
                  </m:rPr>
                  <w:rPr>
                    <w:rFonts w:ascii="Cambria Math" w:eastAsia="Times New Roman" w:hAnsi="Cambria Math"/>
                    <w:sz w:val="28"/>
                    <w:szCs w:val="28"/>
                    <w:lang w:val="en-US" w:eastAsia="ru-RU"/>
                  </w:rPr>
                  <m:t>+</m:t>
                </m:r>
                <m:r>
                  <w:rPr>
                    <w:rFonts w:ascii="Cambria Math" w:hAnsi="Cambria Math"/>
                    <w:sz w:val="28"/>
                    <w:szCs w:val="28"/>
                    <w:lang w:val="kk-KZ"/>
                  </w:rPr>
                  <m:t>ε</m:t>
                </m:r>
              </m:oMath>
            </m:oMathPara>
          </w:p>
        </w:tc>
        <w:tc>
          <w:tcPr>
            <w:tcW w:w="419" w:type="dxa"/>
            <w:vAlign w:val="center"/>
          </w:tcPr>
          <w:p w14:paraId="4A820105" w14:textId="7E43D4BF" w:rsidR="002C6041" w:rsidRPr="002C6041" w:rsidRDefault="002C6041" w:rsidP="002F33D0">
            <w:pPr>
              <w:ind w:firstLine="0"/>
              <w:jc w:val="center"/>
              <w:rPr>
                <w:sz w:val="28"/>
                <w:szCs w:val="28"/>
                <w:lang w:val="kk-KZ"/>
              </w:rPr>
            </w:pPr>
            <w:r>
              <w:rPr>
                <w:sz w:val="28"/>
                <w:szCs w:val="28"/>
                <w:lang w:val="kk-KZ"/>
              </w:rPr>
              <w:t>(7)</w:t>
            </w:r>
          </w:p>
        </w:tc>
      </w:tr>
    </w:tbl>
    <w:p w14:paraId="06DC3742" w14:textId="77777777" w:rsidR="002C6041" w:rsidRPr="000C1190" w:rsidRDefault="002C6041" w:rsidP="002F33D0">
      <w:pPr>
        <w:spacing w:after="0" w:line="240" w:lineRule="auto"/>
        <w:ind w:firstLine="567"/>
        <w:jc w:val="both"/>
        <w:rPr>
          <w:rFonts w:ascii="Times New Roman" w:hAnsi="Times New Roman" w:cs="Times New Roman"/>
          <w:sz w:val="28"/>
          <w:szCs w:val="28"/>
        </w:rPr>
      </w:pPr>
    </w:p>
    <w:p w14:paraId="259550ED"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Сравнительный анализ линейных регрессионных моделей, построенных отдельно для крупных, средних и малых предпринимательских структур, позволил выявить устойчивые закономерности и специфику влияния различных видов компетенций на субъективную оценку инновационного потенциала (IP).</w:t>
      </w:r>
    </w:p>
    <w:p w14:paraId="6C4E6159" w14:textId="1AA01A64"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lastRenderedPageBreak/>
        <w:t>Во всех трёх моделях</w:t>
      </w:r>
      <w:r w:rsidR="002C6041">
        <w:rPr>
          <w:rFonts w:ascii="Times New Roman" w:hAnsi="Times New Roman" w:cs="Times New Roman"/>
          <w:sz w:val="28"/>
          <w:szCs w:val="28"/>
          <w:lang w:val="kk-KZ"/>
        </w:rPr>
        <w:t xml:space="preserve"> (</w:t>
      </w:r>
      <w:r w:rsidR="00122E31">
        <w:rPr>
          <w:rFonts w:ascii="Times New Roman" w:hAnsi="Times New Roman" w:cs="Times New Roman"/>
          <w:sz w:val="28"/>
          <w:szCs w:val="28"/>
          <w:lang w:val="kk-KZ"/>
        </w:rPr>
        <w:t>5</w:t>
      </w:r>
      <w:r w:rsidR="002C6041">
        <w:rPr>
          <w:rFonts w:ascii="Times New Roman" w:hAnsi="Times New Roman" w:cs="Times New Roman"/>
          <w:sz w:val="28"/>
          <w:szCs w:val="28"/>
          <w:lang w:val="kk-KZ"/>
        </w:rPr>
        <w:t>),</w:t>
      </w:r>
      <w:r w:rsidRPr="000C1190">
        <w:rPr>
          <w:rFonts w:ascii="Times New Roman" w:hAnsi="Times New Roman" w:cs="Times New Roman"/>
          <w:sz w:val="28"/>
          <w:szCs w:val="28"/>
        </w:rPr>
        <w:t xml:space="preserve"> </w:t>
      </w:r>
      <w:r w:rsidR="002C6041">
        <w:rPr>
          <w:rFonts w:ascii="Times New Roman" w:hAnsi="Times New Roman" w:cs="Times New Roman"/>
          <w:sz w:val="28"/>
          <w:szCs w:val="28"/>
          <w:lang w:val="kk-KZ"/>
        </w:rPr>
        <w:t>(</w:t>
      </w:r>
      <w:r w:rsidR="00122E31">
        <w:rPr>
          <w:rFonts w:ascii="Times New Roman" w:hAnsi="Times New Roman" w:cs="Times New Roman"/>
          <w:sz w:val="28"/>
          <w:szCs w:val="28"/>
          <w:lang w:val="kk-KZ"/>
        </w:rPr>
        <w:t>6</w:t>
      </w:r>
      <w:r w:rsidR="002C6041">
        <w:rPr>
          <w:rFonts w:ascii="Times New Roman" w:hAnsi="Times New Roman" w:cs="Times New Roman"/>
          <w:sz w:val="28"/>
          <w:szCs w:val="28"/>
          <w:lang w:val="kk-KZ"/>
        </w:rPr>
        <w:t xml:space="preserve">), (7) </w:t>
      </w:r>
      <w:r w:rsidRPr="000C1190">
        <w:rPr>
          <w:rFonts w:ascii="Times New Roman" w:hAnsi="Times New Roman" w:cs="Times New Roman"/>
          <w:sz w:val="28"/>
          <w:szCs w:val="28"/>
        </w:rPr>
        <w:t>наибольшее значение имеют индивидуальные soft- и hard-компетенции сотрудников, в то время как управленческие HR-практики не продемонстрировали статистической значимости. Этот результат свидетельствует о недостаточной институционализации механизмов кадрового управления инновационной деятельностью и слабой связи между формальными управленческими инструментами и результатами инновационной активности.</w:t>
      </w:r>
    </w:p>
    <w:p w14:paraId="15F97797" w14:textId="6F81A6B0"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Для крупных предприятий определяющими факторами выступают технологические hard-компетенции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навыки робототехники, работы с большими данными и ориентация на устойчивое мышление. Это указывает на стратегическую направленность крупных компаний на автоматизацию, цифровизацию и интеграцию ESG-подходов в бизнес-процессы.</w:t>
      </w:r>
    </w:p>
    <w:p w14:paraId="1E6D90D5"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Средние предприятия характеризуются более сбалансированным сочетанием soft- и hard-компетенций. Наиболее значимыми предикторами стали знание технологических трендов, командная работа, креативность, адаптивность и робототехника, что отражает гибкость и способность к адаптации к инновационной повестке.</w:t>
      </w:r>
    </w:p>
    <w:p w14:paraId="6C59FEF6" w14:textId="6D9ABC9A"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В малых предприятиях инновационный потенциал в наибольшей степени определяется совокупностью индивидуальных компетенций сотрудников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как технических, так и поведенческих. Наиболее выражено влияние навыков кибербезопасности, креативности, устойчивого мышления, решения проблем и командной работы. Это подтверждает ключевую роль человеческого капитала как компенсаторного ресурса в условиях ограниченных финансовых и институциональных возможностей малого бизнеса.</w:t>
      </w:r>
    </w:p>
    <w:p w14:paraId="53971D6D"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Таким образом, кадровый профиль инновационного потенциала варьирует в зависимости от масштаба предприятия, что требует дифференцированной политики поддержки и адаптированных стратегий управления человеческими ресурсами. Разработанные регрессионные модели количественно подтверждают центральную роль компетенций в формировании инновационного потенциала и создают основу для практических инструментов его диагностики и мониторинга. В частности, полученные уравнения могут использоваться для внутрифирменной оценки развития человеческого капитала, а также для государственного мониторинга инновационной активности предприятий различного масштаба.</w:t>
      </w:r>
    </w:p>
    <w:p w14:paraId="6750B463"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Несмотря на наличие теоретических оснований ожидать положительного влияния HR-практик на инновационный потенциал, результаты эмпирического анализа показали их статистическую незначимость. Для объяснения этого несоответствия была проведена дополнительная оценка уровня распространённости кадровых инструментов и различий между типами предприятий.</w:t>
      </w:r>
    </w:p>
    <w:p w14:paraId="1E253958" w14:textId="343BC365"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Во-первых, описательная статистика подтвердила, что большинство HR-практик реализуются менее чем половиной предпринимательс</w:t>
      </w:r>
      <w:r w:rsidR="002C6041">
        <w:rPr>
          <w:rFonts w:ascii="Times New Roman" w:hAnsi="Times New Roman" w:cs="Times New Roman"/>
          <w:sz w:val="28"/>
          <w:szCs w:val="28"/>
        </w:rPr>
        <w:t>ких структур. Так, только 44</w:t>
      </w:r>
      <w:r w:rsidR="00486569">
        <w:rPr>
          <w:rFonts w:ascii="Times New Roman" w:hAnsi="Times New Roman" w:cs="Times New Roman"/>
          <w:sz w:val="28"/>
          <w:szCs w:val="28"/>
          <w:lang w:val="kk-KZ"/>
        </w:rPr>
        <w:t>-</w:t>
      </w:r>
      <w:r w:rsidR="002C6041">
        <w:rPr>
          <w:rFonts w:ascii="Times New Roman" w:hAnsi="Times New Roman" w:cs="Times New Roman"/>
          <w:sz w:val="28"/>
          <w:szCs w:val="28"/>
        </w:rPr>
        <w:t>50</w:t>
      </w:r>
      <w:r w:rsidRPr="000C1190">
        <w:rPr>
          <w:rFonts w:ascii="Times New Roman" w:hAnsi="Times New Roman" w:cs="Times New Roman"/>
          <w:sz w:val="28"/>
          <w:szCs w:val="28"/>
        </w:rPr>
        <w:t>% предприятий используют интервью при найме на</w:t>
      </w:r>
      <w:r w:rsidR="002C6041">
        <w:rPr>
          <w:rFonts w:ascii="Times New Roman" w:hAnsi="Times New Roman" w:cs="Times New Roman"/>
          <w:sz w:val="28"/>
          <w:szCs w:val="28"/>
        </w:rPr>
        <w:t xml:space="preserve"> инновационные должности, 35</w:t>
      </w:r>
      <w:r w:rsidR="00486569">
        <w:rPr>
          <w:rFonts w:ascii="Times New Roman" w:hAnsi="Times New Roman" w:cs="Times New Roman"/>
          <w:sz w:val="28"/>
          <w:szCs w:val="28"/>
          <w:lang w:val="kk-KZ"/>
        </w:rPr>
        <w:t>-</w:t>
      </w:r>
      <w:r w:rsidR="002C6041">
        <w:rPr>
          <w:rFonts w:ascii="Times New Roman" w:hAnsi="Times New Roman" w:cs="Times New Roman"/>
          <w:sz w:val="28"/>
          <w:szCs w:val="28"/>
        </w:rPr>
        <w:t>46</w:t>
      </w:r>
      <w:r w:rsidRPr="000C1190">
        <w:rPr>
          <w:rFonts w:ascii="Times New Roman" w:hAnsi="Times New Roman" w:cs="Times New Roman"/>
          <w:sz w:val="28"/>
          <w:szCs w:val="28"/>
        </w:rPr>
        <w:t xml:space="preserve">% внедряют системы поощрения за </w:t>
      </w:r>
      <w:r w:rsidRPr="000C1190">
        <w:rPr>
          <w:rFonts w:ascii="Times New Roman" w:hAnsi="Times New Roman" w:cs="Times New Roman"/>
          <w:sz w:val="28"/>
          <w:szCs w:val="28"/>
        </w:rPr>
        <w:lastRenderedPageBreak/>
        <w:t>инновации, а стратегический анализ кадровых потребностей проводится</w:t>
      </w:r>
      <w:r w:rsidR="002C6041">
        <w:rPr>
          <w:rFonts w:ascii="Times New Roman" w:hAnsi="Times New Roman" w:cs="Times New Roman"/>
          <w:sz w:val="28"/>
          <w:szCs w:val="28"/>
        </w:rPr>
        <w:t xml:space="preserve"> лишь в 39</w:t>
      </w:r>
      <w:r w:rsidR="00486569">
        <w:rPr>
          <w:rFonts w:ascii="Times New Roman" w:hAnsi="Times New Roman" w:cs="Times New Roman"/>
          <w:sz w:val="28"/>
          <w:szCs w:val="28"/>
          <w:lang w:val="kk-KZ"/>
        </w:rPr>
        <w:t>-</w:t>
      </w:r>
      <w:r w:rsidR="002C6041">
        <w:rPr>
          <w:rFonts w:ascii="Times New Roman" w:hAnsi="Times New Roman" w:cs="Times New Roman"/>
          <w:sz w:val="28"/>
          <w:szCs w:val="28"/>
        </w:rPr>
        <w:t>49</w:t>
      </w:r>
      <w:r w:rsidRPr="000C1190">
        <w:rPr>
          <w:rFonts w:ascii="Times New Roman" w:hAnsi="Times New Roman" w:cs="Times New Roman"/>
          <w:sz w:val="28"/>
          <w:szCs w:val="28"/>
        </w:rPr>
        <w:t>% случаев.</w:t>
      </w:r>
    </w:p>
    <w:p w14:paraId="1515B6B8" w14:textId="24C100C2"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Во-вторых, результаты однофакторного дисперсионного анализа (Welch’s ANOVA) показали отсутствие статистически значимых различий по всем HR-практикам между малыми, средними и крупными предприятиями (</w:t>
      </w:r>
      <w:r w:rsidR="002C6041" w:rsidRPr="000C1190">
        <w:rPr>
          <w:rFonts w:ascii="Times New Roman" w:hAnsi="Times New Roman" w:cs="Times New Roman"/>
          <w:sz w:val="28"/>
          <w:szCs w:val="28"/>
        </w:rPr>
        <w:t>p&gt;</w:t>
      </w:r>
      <w:r w:rsidRPr="000C1190">
        <w:rPr>
          <w:rFonts w:ascii="Times New Roman" w:hAnsi="Times New Roman" w:cs="Times New Roman"/>
          <w:sz w:val="28"/>
          <w:szCs w:val="28"/>
        </w:rPr>
        <w:t xml:space="preserve"> 0</w:t>
      </w:r>
      <w:r w:rsidR="002C6041">
        <w:rPr>
          <w:rFonts w:ascii="Times New Roman" w:hAnsi="Times New Roman" w:cs="Times New Roman"/>
          <w:sz w:val="28"/>
          <w:szCs w:val="28"/>
          <w:lang w:val="kk-KZ"/>
        </w:rPr>
        <w:t>,</w:t>
      </w:r>
      <w:r w:rsidRPr="000C1190">
        <w:rPr>
          <w:rFonts w:ascii="Times New Roman" w:hAnsi="Times New Roman" w:cs="Times New Roman"/>
          <w:sz w:val="28"/>
          <w:szCs w:val="28"/>
        </w:rPr>
        <w:t>2). Пост-хок сравнения выполнялись с использованием критерия Games–Howell, который считается наиболее устойчивым при неравенстве дисперсий и различии размеров выборок, что особенно важно для анализа бинарных HR-переменных</w:t>
      </w:r>
      <w:r w:rsidR="00CF05BD">
        <w:rPr>
          <w:rFonts w:ascii="Times New Roman" w:hAnsi="Times New Roman" w:cs="Times New Roman"/>
          <w:sz w:val="28"/>
          <w:szCs w:val="28"/>
          <w:lang w:val="kk-KZ"/>
        </w:rPr>
        <w:t xml:space="preserve"> (</w:t>
      </w:r>
      <w:r w:rsidR="00557C40">
        <w:rPr>
          <w:rFonts w:ascii="Times New Roman" w:hAnsi="Times New Roman" w:cs="Times New Roman"/>
          <w:sz w:val="28"/>
          <w:szCs w:val="28"/>
          <w:lang w:val="kk-KZ"/>
        </w:rPr>
        <w:t xml:space="preserve">Приложение </w:t>
      </w:r>
      <w:r w:rsidR="00AA67DC">
        <w:rPr>
          <w:rFonts w:ascii="Times New Roman" w:hAnsi="Times New Roman" w:cs="Times New Roman"/>
          <w:sz w:val="28"/>
          <w:szCs w:val="28"/>
          <w:lang w:val="kk-KZ"/>
        </w:rPr>
        <w:t>К</w:t>
      </w:r>
      <w:r w:rsidR="00CF05BD">
        <w:rPr>
          <w:rFonts w:ascii="Times New Roman" w:hAnsi="Times New Roman" w:cs="Times New Roman"/>
          <w:sz w:val="28"/>
          <w:szCs w:val="28"/>
          <w:lang w:val="kk-KZ"/>
        </w:rPr>
        <w:t>)</w:t>
      </w:r>
      <w:r w:rsidRPr="000C1190">
        <w:rPr>
          <w:rFonts w:ascii="Times New Roman" w:hAnsi="Times New Roman" w:cs="Times New Roman"/>
          <w:sz w:val="28"/>
          <w:szCs w:val="28"/>
        </w:rPr>
        <w:t>. Полученные результаты пост-хок анализа подтвердили отсутствие различий между группами и, следовательно, слабую дифференциацию кадровых практик по масштабу бизнеса</w:t>
      </w:r>
      <w:r w:rsidR="00122E31">
        <w:rPr>
          <w:rFonts w:ascii="Times New Roman" w:hAnsi="Times New Roman" w:cs="Times New Roman"/>
          <w:sz w:val="28"/>
          <w:szCs w:val="28"/>
          <w:lang w:val="kk-KZ"/>
        </w:rPr>
        <w:t xml:space="preserve"> (таблица 15)</w:t>
      </w:r>
      <w:r w:rsidRPr="000C1190">
        <w:rPr>
          <w:rFonts w:ascii="Times New Roman" w:hAnsi="Times New Roman" w:cs="Times New Roman"/>
          <w:sz w:val="28"/>
          <w:szCs w:val="28"/>
        </w:rPr>
        <w:t>.</w:t>
      </w:r>
    </w:p>
    <w:p w14:paraId="7D0F6AD6" w14:textId="77777777" w:rsidR="000C1190" w:rsidRPr="000C1190" w:rsidRDefault="000C1190" w:rsidP="002F33D0">
      <w:pPr>
        <w:spacing w:after="0" w:line="240" w:lineRule="auto"/>
        <w:ind w:firstLine="567"/>
        <w:jc w:val="both"/>
        <w:rPr>
          <w:rFonts w:ascii="Times New Roman" w:hAnsi="Times New Roman" w:cs="Times New Roman"/>
          <w:sz w:val="28"/>
          <w:szCs w:val="28"/>
        </w:rPr>
      </w:pPr>
    </w:p>
    <w:p w14:paraId="53828435" w14:textId="05C0A7EC" w:rsidR="000C1190" w:rsidRDefault="00122E31" w:rsidP="002F33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w:t>
      </w:r>
      <w:r>
        <w:rPr>
          <w:rFonts w:ascii="Times New Roman" w:hAnsi="Times New Roman" w:cs="Times New Roman"/>
          <w:sz w:val="28"/>
          <w:szCs w:val="28"/>
          <w:lang w:val="kk-KZ"/>
        </w:rPr>
        <w:t>1</w:t>
      </w:r>
      <w:r w:rsidR="000C1190" w:rsidRPr="000C1190">
        <w:rPr>
          <w:rFonts w:ascii="Times New Roman" w:hAnsi="Times New Roman" w:cs="Times New Roman"/>
          <w:sz w:val="28"/>
          <w:szCs w:val="28"/>
        </w:rPr>
        <w:t>5 – Результаты однофакторного дисперсионного анализа (Welch’s ANOVA) по HR-практикам в разрезе типа предприятия</w:t>
      </w:r>
    </w:p>
    <w:p w14:paraId="25984AF5" w14:textId="77777777" w:rsidR="002C6041" w:rsidRPr="00122E31" w:rsidRDefault="002C6041" w:rsidP="002F33D0">
      <w:pPr>
        <w:spacing w:after="0" w:line="240" w:lineRule="auto"/>
        <w:jc w:val="both"/>
        <w:rPr>
          <w:rFonts w:ascii="Times New Roman" w:hAnsi="Times New Roman" w:cs="Times New Roman"/>
          <w:sz w:val="20"/>
          <w:szCs w:val="20"/>
          <w:lang w:val="kk-KZ"/>
        </w:rPr>
      </w:pPr>
    </w:p>
    <w:tbl>
      <w:tblPr>
        <w:tblStyle w:val="a5"/>
        <w:tblW w:w="5000" w:type="pct"/>
        <w:tblLook w:val="04A0" w:firstRow="1" w:lastRow="0" w:firstColumn="1" w:lastColumn="0" w:noHBand="0" w:noVBand="1"/>
      </w:tblPr>
      <w:tblGrid>
        <w:gridCol w:w="3682"/>
        <w:gridCol w:w="3682"/>
        <w:gridCol w:w="865"/>
        <w:gridCol w:w="1116"/>
      </w:tblGrid>
      <w:tr w:rsidR="000C1190" w:rsidRPr="000C1190" w14:paraId="35217902" w14:textId="77777777" w:rsidTr="000C1190">
        <w:tc>
          <w:tcPr>
            <w:tcW w:w="1970" w:type="pct"/>
            <w:vAlign w:val="center"/>
          </w:tcPr>
          <w:p w14:paraId="5116D7D2" w14:textId="77777777" w:rsidR="000C1190" w:rsidRPr="002C6041" w:rsidRDefault="000C1190" w:rsidP="002F33D0">
            <w:pPr>
              <w:ind w:firstLine="0"/>
              <w:jc w:val="center"/>
              <w:rPr>
                <w:rFonts w:eastAsia="Times New Roman"/>
                <w:bCs/>
                <w:color w:val="000000"/>
                <w:szCs w:val="24"/>
                <w:lang w:val="kk-KZ" w:eastAsia="ru-RU"/>
              </w:rPr>
            </w:pPr>
            <w:r w:rsidRPr="002C6041">
              <w:rPr>
                <w:rFonts w:eastAsia="Times New Roman"/>
                <w:bCs/>
                <w:color w:val="000000"/>
                <w:szCs w:val="24"/>
                <w:lang w:val="kk-KZ" w:eastAsia="ru-RU"/>
              </w:rPr>
              <w:t>Название переменной</w:t>
            </w:r>
          </w:p>
        </w:tc>
        <w:tc>
          <w:tcPr>
            <w:tcW w:w="1970" w:type="pct"/>
            <w:vAlign w:val="center"/>
            <w:hideMark/>
          </w:tcPr>
          <w:p w14:paraId="746262B6" w14:textId="77777777" w:rsidR="000C1190" w:rsidRPr="002C6041" w:rsidRDefault="000C1190" w:rsidP="002F33D0">
            <w:pPr>
              <w:ind w:firstLine="0"/>
              <w:jc w:val="center"/>
              <w:rPr>
                <w:rFonts w:eastAsia="Times New Roman"/>
                <w:bCs/>
                <w:color w:val="000000"/>
                <w:szCs w:val="24"/>
                <w:lang w:eastAsia="ru-RU"/>
              </w:rPr>
            </w:pPr>
            <w:r w:rsidRPr="002C6041">
              <w:rPr>
                <w:rFonts w:eastAsia="Times New Roman"/>
                <w:bCs/>
                <w:color w:val="000000"/>
                <w:szCs w:val="24"/>
                <w:lang w:eastAsia="ru-RU"/>
              </w:rPr>
              <w:t>Обозначение в анализе</w:t>
            </w:r>
          </w:p>
        </w:tc>
        <w:tc>
          <w:tcPr>
            <w:tcW w:w="463" w:type="pct"/>
            <w:hideMark/>
          </w:tcPr>
          <w:p w14:paraId="7D71CEA2" w14:textId="77777777" w:rsidR="000C1190" w:rsidRPr="002C6041" w:rsidRDefault="000C1190" w:rsidP="002F33D0">
            <w:pPr>
              <w:ind w:firstLine="0"/>
              <w:jc w:val="center"/>
              <w:rPr>
                <w:rFonts w:eastAsia="Times New Roman"/>
                <w:bCs/>
                <w:szCs w:val="24"/>
                <w:lang w:eastAsia="ru-RU"/>
              </w:rPr>
            </w:pPr>
            <w:r w:rsidRPr="002C6041">
              <w:rPr>
                <w:rFonts w:eastAsia="Times New Roman"/>
                <w:bCs/>
                <w:szCs w:val="24"/>
                <w:lang w:eastAsia="ru-RU"/>
              </w:rPr>
              <w:t>F</w:t>
            </w:r>
          </w:p>
        </w:tc>
        <w:tc>
          <w:tcPr>
            <w:tcW w:w="597" w:type="pct"/>
            <w:hideMark/>
          </w:tcPr>
          <w:p w14:paraId="12111A0F" w14:textId="77777777" w:rsidR="000C1190" w:rsidRPr="002C6041" w:rsidRDefault="000C1190" w:rsidP="002F33D0">
            <w:pPr>
              <w:ind w:firstLine="0"/>
              <w:jc w:val="center"/>
              <w:rPr>
                <w:rFonts w:eastAsia="Times New Roman"/>
                <w:bCs/>
                <w:szCs w:val="24"/>
                <w:lang w:eastAsia="ru-RU"/>
              </w:rPr>
            </w:pPr>
            <w:r w:rsidRPr="002C6041">
              <w:rPr>
                <w:rFonts w:eastAsia="Times New Roman"/>
                <w:bCs/>
                <w:szCs w:val="24"/>
                <w:lang w:eastAsia="ru-RU"/>
              </w:rPr>
              <w:t>p-value</w:t>
            </w:r>
          </w:p>
        </w:tc>
      </w:tr>
      <w:tr w:rsidR="000C1190" w:rsidRPr="000C1190" w14:paraId="24887B58" w14:textId="77777777" w:rsidTr="002C6041">
        <w:tc>
          <w:tcPr>
            <w:tcW w:w="1970" w:type="pct"/>
          </w:tcPr>
          <w:p w14:paraId="602C071C" w14:textId="77777777" w:rsidR="000C1190" w:rsidRPr="002C6041" w:rsidRDefault="000C1190" w:rsidP="002F33D0">
            <w:pPr>
              <w:ind w:firstLine="0"/>
              <w:rPr>
                <w:szCs w:val="24"/>
              </w:rPr>
            </w:pPr>
            <w:r w:rsidRPr="002C6041">
              <w:rPr>
                <w:szCs w:val="24"/>
              </w:rPr>
              <w:t>Интервью при найме на инновационные должности</w:t>
            </w:r>
          </w:p>
        </w:tc>
        <w:tc>
          <w:tcPr>
            <w:tcW w:w="1970" w:type="pct"/>
            <w:hideMark/>
          </w:tcPr>
          <w:p w14:paraId="14199EA8" w14:textId="77777777" w:rsidR="000C1190" w:rsidRPr="002C6041" w:rsidRDefault="000C1190" w:rsidP="002F33D0">
            <w:pPr>
              <w:ind w:firstLine="0"/>
              <w:jc w:val="both"/>
              <w:rPr>
                <w:szCs w:val="24"/>
              </w:rPr>
            </w:pPr>
            <w:r w:rsidRPr="002C6041">
              <w:rPr>
                <w:szCs w:val="24"/>
              </w:rPr>
              <w:t>hr_selectioninterview</w:t>
            </w:r>
          </w:p>
        </w:tc>
        <w:tc>
          <w:tcPr>
            <w:tcW w:w="463" w:type="pct"/>
            <w:vAlign w:val="center"/>
            <w:hideMark/>
          </w:tcPr>
          <w:p w14:paraId="35E85292" w14:textId="1974F3CF" w:rsidR="000C1190" w:rsidRPr="002C6041" w:rsidRDefault="000C1190" w:rsidP="002F33D0">
            <w:pPr>
              <w:ind w:firstLine="0"/>
              <w:jc w:val="center"/>
              <w:rPr>
                <w:rFonts w:eastAsia="Times New Roman"/>
                <w:szCs w:val="24"/>
                <w:lang w:eastAsia="ru-RU"/>
              </w:rPr>
            </w:pPr>
            <w:r w:rsidRPr="002C6041">
              <w:rPr>
                <w:rFonts w:eastAsia="Times New Roman"/>
                <w:szCs w:val="24"/>
                <w:lang w:eastAsia="ru-RU"/>
              </w:rPr>
              <w:t>0</w:t>
            </w:r>
            <w:r w:rsidR="002C6041">
              <w:rPr>
                <w:rFonts w:eastAsia="Times New Roman"/>
                <w:szCs w:val="24"/>
                <w:lang w:val="kk-KZ" w:eastAsia="ru-RU"/>
              </w:rPr>
              <w:t>,</w:t>
            </w:r>
            <w:r w:rsidRPr="002C6041">
              <w:rPr>
                <w:rFonts w:eastAsia="Times New Roman"/>
                <w:szCs w:val="24"/>
                <w:lang w:eastAsia="ru-RU"/>
              </w:rPr>
              <w:t>634</w:t>
            </w:r>
          </w:p>
        </w:tc>
        <w:tc>
          <w:tcPr>
            <w:tcW w:w="597" w:type="pct"/>
            <w:vAlign w:val="center"/>
            <w:hideMark/>
          </w:tcPr>
          <w:p w14:paraId="2CB48614" w14:textId="0FDB8827" w:rsidR="000C1190" w:rsidRPr="002C6041" w:rsidRDefault="000C1190" w:rsidP="002F33D0">
            <w:pPr>
              <w:ind w:firstLine="0"/>
              <w:jc w:val="center"/>
              <w:rPr>
                <w:rFonts w:eastAsia="Times New Roman"/>
                <w:szCs w:val="24"/>
                <w:lang w:eastAsia="ru-RU"/>
              </w:rPr>
            </w:pPr>
            <w:r w:rsidRPr="002C6041">
              <w:rPr>
                <w:rFonts w:eastAsia="Times New Roman"/>
                <w:szCs w:val="24"/>
                <w:lang w:eastAsia="ru-RU"/>
              </w:rPr>
              <w:t>0</w:t>
            </w:r>
            <w:r w:rsidR="002C6041">
              <w:rPr>
                <w:rFonts w:eastAsia="Times New Roman"/>
                <w:szCs w:val="24"/>
                <w:lang w:val="kk-KZ" w:eastAsia="ru-RU"/>
              </w:rPr>
              <w:t>,</w:t>
            </w:r>
            <w:r w:rsidRPr="002C6041">
              <w:rPr>
                <w:rFonts w:eastAsia="Times New Roman"/>
                <w:szCs w:val="24"/>
                <w:lang w:eastAsia="ru-RU"/>
              </w:rPr>
              <w:t>533</w:t>
            </w:r>
          </w:p>
        </w:tc>
      </w:tr>
      <w:tr w:rsidR="000C1190" w:rsidRPr="000C1190" w14:paraId="3B9BD4B1" w14:textId="77777777" w:rsidTr="002C6041">
        <w:tc>
          <w:tcPr>
            <w:tcW w:w="1970" w:type="pct"/>
          </w:tcPr>
          <w:p w14:paraId="22F09CC9" w14:textId="77777777" w:rsidR="000C1190" w:rsidRPr="002C6041" w:rsidRDefault="000C1190" w:rsidP="002F33D0">
            <w:pPr>
              <w:ind w:firstLine="0"/>
              <w:rPr>
                <w:szCs w:val="24"/>
              </w:rPr>
            </w:pPr>
            <w:r w:rsidRPr="002C6041">
              <w:rPr>
                <w:szCs w:val="24"/>
              </w:rPr>
              <w:t>Наличие экспертов по искусственному интеллекту</w:t>
            </w:r>
          </w:p>
        </w:tc>
        <w:tc>
          <w:tcPr>
            <w:tcW w:w="1970" w:type="pct"/>
            <w:hideMark/>
          </w:tcPr>
          <w:p w14:paraId="03BB9F3E" w14:textId="77777777" w:rsidR="000C1190" w:rsidRPr="002C6041" w:rsidRDefault="000C1190" w:rsidP="002F33D0">
            <w:pPr>
              <w:ind w:firstLine="0"/>
              <w:jc w:val="both"/>
              <w:rPr>
                <w:szCs w:val="24"/>
              </w:rPr>
            </w:pPr>
            <w:r w:rsidRPr="002C6041">
              <w:rPr>
                <w:szCs w:val="24"/>
              </w:rPr>
              <w:t>hr_expertsai</w:t>
            </w:r>
          </w:p>
        </w:tc>
        <w:tc>
          <w:tcPr>
            <w:tcW w:w="463" w:type="pct"/>
            <w:vAlign w:val="center"/>
            <w:hideMark/>
          </w:tcPr>
          <w:p w14:paraId="4FD8C74B" w14:textId="6506DB69" w:rsidR="000C1190" w:rsidRPr="002C6041" w:rsidRDefault="000C1190" w:rsidP="002F33D0">
            <w:pPr>
              <w:ind w:firstLine="0"/>
              <w:jc w:val="center"/>
              <w:rPr>
                <w:rFonts w:eastAsia="Times New Roman"/>
                <w:szCs w:val="24"/>
                <w:lang w:eastAsia="ru-RU"/>
              </w:rPr>
            </w:pPr>
            <w:r w:rsidRPr="002C6041">
              <w:rPr>
                <w:rFonts w:eastAsia="Times New Roman"/>
                <w:szCs w:val="24"/>
                <w:lang w:eastAsia="ru-RU"/>
              </w:rPr>
              <w:t>0</w:t>
            </w:r>
            <w:r w:rsidR="002C6041">
              <w:rPr>
                <w:rFonts w:eastAsia="Times New Roman"/>
                <w:szCs w:val="24"/>
                <w:lang w:val="kk-KZ" w:eastAsia="ru-RU"/>
              </w:rPr>
              <w:t>,</w:t>
            </w:r>
            <w:r w:rsidRPr="002C6041">
              <w:rPr>
                <w:rFonts w:eastAsia="Times New Roman"/>
                <w:szCs w:val="24"/>
                <w:lang w:eastAsia="ru-RU"/>
              </w:rPr>
              <w:t>247</w:t>
            </w:r>
          </w:p>
        </w:tc>
        <w:tc>
          <w:tcPr>
            <w:tcW w:w="597" w:type="pct"/>
            <w:vAlign w:val="center"/>
            <w:hideMark/>
          </w:tcPr>
          <w:p w14:paraId="4A6263CF" w14:textId="7D9507F6" w:rsidR="000C1190" w:rsidRPr="002C6041" w:rsidRDefault="000C1190" w:rsidP="002F33D0">
            <w:pPr>
              <w:ind w:firstLine="0"/>
              <w:jc w:val="center"/>
              <w:rPr>
                <w:rFonts w:eastAsia="Times New Roman"/>
                <w:szCs w:val="24"/>
                <w:lang w:eastAsia="ru-RU"/>
              </w:rPr>
            </w:pPr>
            <w:r w:rsidRPr="002C6041">
              <w:rPr>
                <w:rFonts w:eastAsia="Times New Roman"/>
                <w:szCs w:val="24"/>
                <w:lang w:eastAsia="ru-RU"/>
              </w:rPr>
              <w:t>0</w:t>
            </w:r>
            <w:r w:rsidR="002C6041">
              <w:rPr>
                <w:rFonts w:eastAsia="Times New Roman"/>
                <w:szCs w:val="24"/>
                <w:lang w:val="kk-KZ" w:eastAsia="ru-RU"/>
              </w:rPr>
              <w:t>,</w:t>
            </w:r>
            <w:r w:rsidRPr="002C6041">
              <w:rPr>
                <w:rFonts w:eastAsia="Times New Roman"/>
                <w:szCs w:val="24"/>
                <w:lang w:eastAsia="ru-RU"/>
              </w:rPr>
              <w:t>781</w:t>
            </w:r>
          </w:p>
        </w:tc>
      </w:tr>
      <w:tr w:rsidR="000C1190" w:rsidRPr="000C1190" w14:paraId="6B6BBFF2" w14:textId="77777777" w:rsidTr="002C6041">
        <w:tc>
          <w:tcPr>
            <w:tcW w:w="1970" w:type="pct"/>
          </w:tcPr>
          <w:p w14:paraId="643B51A1" w14:textId="77777777" w:rsidR="000C1190" w:rsidRPr="002C6041" w:rsidRDefault="000C1190" w:rsidP="002F33D0">
            <w:pPr>
              <w:ind w:firstLine="0"/>
              <w:rPr>
                <w:szCs w:val="24"/>
              </w:rPr>
            </w:pPr>
            <w:r w:rsidRPr="002C6041">
              <w:rPr>
                <w:szCs w:val="24"/>
              </w:rPr>
              <w:t>Наличие сотрудников с учёной степенью</w:t>
            </w:r>
          </w:p>
        </w:tc>
        <w:tc>
          <w:tcPr>
            <w:tcW w:w="1970" w:type="pct"/>
            <w:hideMark/>
          </w:tcPr>
          <w:p w14:paraId="52B78AB1" w14:textId="77777777" w:rsidR="000C1190" w:rsidRPr="002C6041" w:rsidRDefault="000C1190" w:rsidP="002F33D0">
            <w:pPr>
              <w:ind w:firstLine="0"/>
              <w:jc w:val="both"/>
              <w:rPr>
                <w:szCs w:val="24"/>
              </w:rPr>
            </w:pPr>
            <w:r w:rsidRPr="002C6041">
              <w:rPr>
                <w:szCs w:val="24"/>
              </w:rPr>
              <w:t>hr_scientificdegree</w:t>
            </w:r>
          </w:p>
        </w:tc>
        <w:tc>
          <w:tcPr>
            <w:tcW w:w="463" w:type="pct"/>
            <w:vAlign w:val="center"/>
            <w:hideMark/>
          </w:tcPr>
          <w:p w14:paraId="66509625" w14:textId="5E36A47A" w:rsidR="000C1190" w:rsidRPr="002C6041" w:rsidRDefault="000C1190" w:rsidP="002F33D0">
            <w:pPr>
              <w:ind w:firstLine="0"/>
              <w:jc w:val="center"/>
              <w:rPr>
                <w:rFonts w:eastAsia="Times New Roman"/>
                <w:szCs w:val="24"/>
                <w:lang w:eastAsia="ru-RU"/>
              </w:rPr>
            </w:pPr>
            <w:r w:rsidRPr="002C6041">
              <w:rPr>
                <w:rFonts w:eastAsia="Times New Roman"/>
                <w:szCs w:val="24"/>
                <w:lang w:eastAsia="ru-RU"/>
              </w:rPr>
              <w:t>0</w:t>
            </w:r>
            <w:r w:rsidR="002C6041">
              <w:rPr>
                <w:rFonts w:eastAsia="Times New Roman"/>
                <w:szCs w:val="24"/>
                <w:lang w:val="kk-KZ" w:eastAsia="ru-RU"/>
              </w:rPr>
              <w:t>,</w:t>
            </w:r>
            <w:r w:rsidRPr="002C6041">
              <w:rPr>
                <w:rFonts w:eastAsia="Times New Roman"/>
                <w:szCs w:val="24"/>
                <w:lang w:eastAsia="ru-RU"/>
              </w:rPr>
              <w:t>236</w:t>
            </w:r>
          </w:p>
        </w:tc>
        <w:tc>
          <w:tcPr>
            <w:tcW w:w="597" w:type="pct"/>
            <w:vAlign w:val="center"/>
            <w:hideMark/>
          </w:tcPr>
          <w:p w14:paraId="3C9CEE38" w14:textId="77B98243" w:rsidR="000C1190" w:rsidRPr="002C6041" w:rsidRDefault="000C1190" w:rsidP="002F33D0">
            <w:pPr>
              <w:ind w:firstLine="0"/>
              <w:jc w:val="center"/>
              <w:rPr>
                <w:rFonts w:eastAsia="Times New Roman"/>
                <w:szCs w:val="24"/>
                <w:lang w:eastAsia="ru-RU"/>
              </w:rPr>
            </w:pPr>
            <w:r w:rsidRPr="002C6041">
              <w:rPr>
                <w:rFonts w:eastAsia="Times New Roman"/>
                <w:szCs w:val="24"/>
                <w:lang w:eastAsia="ru-RU"/>
              </w:rPr>
              <w:t>0</w:t>
            </w:r>
            <w:r w:rsidR="002C6041">
              <w:rPr>
                <w:rFonts w:eastAsia="Times New Roman"/>
                <w:szCs w:val="24"/>
                <w:lang w:val="kk-KZ" w:eastAsia="ru-RU"/>
              </w:rPr>
              <w:t>,</w:t>
            </w:r>
            <w:r w:rsidRPr="002C6041">
              <w:rPr>
                <w:rFonts w:eastAsia="Times New Roman"/>
                <w:szCs w:val="24"/>
                <w:lang w:eastAsia="ru-RU"/>
              </w:rPr>
              <w:t>790</w:t>
            </w:r>
          </w:p>
        </w:tc>
      </w:tr>
      <w:tr w:rsidR="000C1190" w:rsidRPr="000C1190" w14:paraId="3959A108" w14:textId="77777777" w:rsidTr="002C6041">
        <w:tc>
          <w:tcPr>
            <w:tcW w:w="1970" w:type="pct"/>
          </w:tcPr>
          <w:p w14:paraId="1FAF8C72" w14:textId="77777777" w:rsidR="000C1190" w:rsidRPr="002C6041" w:rsidRDefault="000C1190" w:rsidP="002F33D0">
            <w:pPr>
              <w:ind w:firstLine="0"/>
              <w:rPr>
                <w:szCs w:val="24"/>
              </w:rPr>
            </w:pPr>
            <w:r w:rsidRPr="002C6041">
              <w:rPr>
                <w:szCs w:val="24"/>
              </w:rPr>
              <w:t>Патенты как результат кадровой активности</w:t>
            </w:r>
          </w:p>
        </w:tc>
        <w:tc>
          <w:tcPr>
            <w:tcW w:w="1970" w:type="pct"/>
            <w:hideMark/>
          </w:tcPr>
          <w:p w14:paraId="2CABA9B0" w14:textId="77777777" w:rsidR="000C1190" w:rsidRPr="002C6041" w:rsidRDefault="000C1190" w:rsidP="002F33D0">
            <w:pPr>
              <w:ind w:firstLine="0"/>
              <w:jc w:val="both"/>
              <w:rPr>
                <w:szCs w:val="24"/>
              </w:rPr>
            </w:pPr>
            <w:r w:rsidRPr="002C6041">
              <w:rPr>
                <w:szCs w:val="24"/>
              </w:rPr>
              <w:t>hr_patents</w:t>
            </w:r>
          </w:p>
        </w:tc>
        <w:tc>
          <w:tcPr>
            <w:tcW w:w="463" w:type="pct"/>
            <w:vAlign w:val="center"/>
            <w:hideMark/>
          </w:tcPr>
          <w:p w14:paraId="50998839" w14:textId="26CF8375" w:rsidR="000C1190" w:rsidRPr="002C6041" w:rsidRDefault="000C1190" w:rsidP="002F33D0">
            <w:pPr>
              <w:ind w:firstLine="0"/>
              <w:jc w:val="center"/>
              <w:rPr>
                <w:rFonts w:eastAsia="Times New Roman"/>
                <w:szCs w:val="24"/>
                <w:lang w:eastAsia="ru-RU"/>
              </w:rPr>
            </w:pPr>
            <w:r w:rsidRPr="002C6041">
              <w:rPr>
                <w:rFonts w:eastAsia="Times New Roman"/>
                <w:szCs w:val="24"/>
                <w:lang w:eastAsia="ru-RU"/>
              </w:rPr>
              <w:t>0</w:t>
            </w:r>
            <w:r w:rsidR="002C6041">
              <w:rPr>
                <w:rFonts w:eastAsia="Times New Roman"/>
                <w:szCs w:val="24"/>
                <w:lang w:val="kk-KZ" w:eastAsia="ru-RU"/>
              </w:rPr>
              <w:t>,</w:t>
            </w:r>
            <w:r w:rsidRPr="002C6041">
              <w:rPr>
                <w:rFonts w:eastAsia="Times New Roman"/>
                <w:szCs w:val="24"/>
                <w:lang w:eastAsia="ru-RU"/>
              </w:rPr>
              <w:t>308</w:t>
            </w:r>
          </w:p>
        </w:tc>
        <w:tc>
          <w:tcPr>
            <w:tcW w:w="597" w:type="pct"/>
            <w:vAlign w:val="center"/>
            <w:hideMark/>
          </w:tcPr>
          <w:p w14:paraId="2D0BD0E5" w14:textId="345F9E46" w:rsidR="000C1190" w:rsidRPr="002C6041" w:rsidRDefault="000C1190" w:rsidP="002F33D0">
            <w:pPr>
              <w:ind w:firstLine="0"/>
              <w:jc w:val="center"/>
              <w:rPr>
                <w:rFonts w:eastAsia="Times New Roman"/>
                <w:szCs w:val="24"/>
                <w:lang w:eastAsia="ru-RU"/>
              </w:rPr>
            </w:pPr>
            <w:r w:rsidRPr="002C6041">
              <w:rPr>
                <w:rFonts w:eastAsia="Times New Roman"/>
                <w:szCs w:val="24"/>
                <w:lang w:eastAsia="ru-RU"/>
              </w:rPr>
              <w:t>0</w:t>
            </w:r>
            <w:r w:rsidR="002C6041">
              <w:rPr>
                <w:rFonts w:eastAsia="Times New Roman"/>
                <w:szCs w:val="24"/>
                <w:lang w:val="kk-KZ" w:eastAsia="ru-RU"/>
              </w:rPr>
              <w:t>,</w:t>
            </w:r>
            <w:r w:rsidRPr="002C6041">
              <w:rPr>
                <w:rFonts w:eastAsia="Times New Roman"/>
                <w:szCs w:val="24"/>
                <w:lang w:eastAsia="ru-RU"/>
              </w:rPr>
              <w:t>736</w:t>
            </w:r>
          </w:p>
        </w:tc>
      </w:tr>
      <w:tr w:rsidR="000C1190" w:rsidRPr="000C1190" w14:paraId="5F9B4AE0" w14:textId="77777777" w:rsidTr="002C6041">
        <w:tc>
          <w:tcPr>
            <w:tcW w:w="1970" w:type="pct"/>
          </w:tcPr>
          <w:p w14:paraId="3E838074" w14:textId="77777777" w:rsidR="000C1190" w:rsidRPr="002C6041" w:rsidRDefault="000C1190" w:rsidP="002F33D0">
            <w:pPr>
              <w:ind w:firstLine="0"/>
              <w:rPr>
                <w:szCs w:val="24"/>
              </w:rPr>
            </w:pPr>
            <w:r w:rsidRPr="002C6041">
              <w:rPr>
                <w:szCs w:val="24"/>
              </w:rPr>
              <w:t>Партнёрства с университетами</w:t>
            </w:r>
          </w:p>
        </w:tc>
        <w:tc>
          <w:tcPr>
            <w:tcW w:w="1970" w:type="pct"/>
            <w:hideMark/>
          </w:tcPr>
          <w:p w14:paraId="55E3C618" w14:textId="77777777" w:rsidR="000C1190" w:rsidRPr="002C6041" w:rsidRDefault="000C1190" w:rsidP="002F33D0">
            <w:pPr>
              <w:ind w:firstLine="0"/>
              <w:jc w:val="both"/>
              <w:rPr>
                <w:szCs w:val="24"/>
              </w:rPr>
            </w:pPr>
            <w:r w:rsidRPr="002C6041">
              <w:rPr>
                <w:szCs w:val="24"/>
              </w:rPr>
              <w:t>hr_universitypartners</w:t>
            </w:r>
          </w:p>
        </w:tc>
        <w:tc>
          <w:tcPr>
            <w:tcW w:w="463" w:type="pct"/>
            <w:vAlign w:val="center"/>
            <w:hideMark/>
          </w:tcPr>
          <w:p w14:paraId="1E336C66" w14:textId="08071B05" w:rsidR="000C1190" w:rsidRPr="002C6041" w:rsidRDefault="000C1190" w:rsidP="002F33D0">
            <w:pPr>
              <w:ind w:firstLine="0"/>
              <w:jc w:val="center"/>
              <w:rPr>
                <w:rFonts w:eastAsia="Times New Roman"/>
                <w:szCs w:val="24"/>
                <w:lang w:eastAsia="ru-RU"/>
              </w:rPr>
            </w:pPr>
            <w:r w:rsidRPr="002C6041">
              <w:rPr>
                <w:rFonts w:eastAsia="Times New Roman"/>
                <w:szCs w:val="24"/>
                <w:lang w:eastAsia="ru-RU"/>
              </w:rPr>
              <w:t>1</w:t>
            </w:r>
            <w:r w:rsidR="002C6041">
              <w:rPr>
                <w:rFonts w:eastAsia="Times New Roman"/>
                <w:szCs w:val="24"/>
                <w:lang w:val="kk-KZ" w:eastAsia="ru-RU"/>
              </w:rPr>
              <w:t>,</w:t>
            </w:r>
            <w:r w:rsidRPr="002C6041">
              <w:rPr>
                <w:rFonts w:eastAsia="Times New Roman"/>
                <w:szCs w:val="24"/>
                <w:lang w:eastAsia="ru-RU"/>
              </w:rPr>
              <w:t>659</w:t>
            </w:r>
          </w:p>
        </w:tc>
        <w:tc>
          <w:tcPr>
            <w:tcW w:w="597" w:type="pct"/>
            <w:vAlign w:val="center"/>
            <w:hideMark/>
          </w:tcPr>
          <w:p w14:paraId="35D24B30" w14:textId="4B6BB88A" w:rsidR="000C1190" w:rsidRPr="002C6041" w:rsidRDefault="000C1190" w:rsidP="002F33D0">
            <w:pPr>
              <w:ind w:firstLine="0"/>
              <w:jc w:val="center"/>
              <w:rPr>
                <w:rFonts w:eastAsia="Times New Roman"/>
                <w:szCs w:val="24"/>
                <w:lang w:eastAsia="ru-RU"/>
              </w:rPr>
            </w:pPr>
            <w:r w:rsidRPr="002C6041">
              <w:rPr>
                <w:rFonts w:eastAsia="Times New Roman"/>
                <w:szCs w:val="24"/>
                <w:lang w:eastAsia="ru-RU"/>
              </w:rPr>
              <w:t>0</w:t>
            </w:r>
            <w:r w:rsidR="002C6041">
              <w:rPr>
                <w:rFonts w:eastAsia="Times New Roman"/>
                <w:szCs w:val="24"/>
                <w:lang w:val="kk-KZ" w:eastAsia="ru-RU"/>
              </w:rPr>
              <w:t>,</w:t>
            </w:r>
            <w:r w:rsidRPr="002C6041">
              <w:rPr>
                <w:rFonts w:eastAsia="Times New Roman"/>
                <w:szCs w:val="24"/>
                <w:lang w:eastAsia="ru-RU"/>
              </w:rPr>
              <w:t>195</w:t>
            </w:r>
          </w:p>
        </w:tc>
      </w:tr>
      <w:tr w:rsidR="000C1190" w:rsidRPr="000C1190" w14:paraId="311FF3FD" w14:textId="77777777" w:rsidTr="002C6041">
        <w:tc>
          <w:tcPr>
            <w:tcW w:w="1970" w:type="pct"/>
          </w:tcPr>
          <w:p w14:paraId="6394566E" w14:textId="77777777" w:rsidR="000C1190" w:rsidRPr="002C6041" w:rsidRDefault="000C1190" w:rsidP="002F33D0">
            <w:pPr>
              <w:ind w:firstLine="0"/>
              <w:rPr>
                <w:szCs w:val="24"/>
              </w:rPr>
            </w:pPr>
            <w:r w:rsidRPr="002C6041">
              <w:rPr>
                <w:szCs w:val="24"/>
              </w:rPr>
              <w:t>Система поощрения за инновации</w:t>
            </w:r>
          </w:p>
        </w:tc>
        <w:tc>
          <w:tcPr>
            <w:tcW w:w="1970" w:type="pct"/>
            <w:hideMark/>
          </w:tcPr>
          <w:p w14:paraId="4CC498BF" w14:textId="77777777" w:rsidR="000C1190" w:rsidRPr="002C6041" w:rsidRDefault="000C1190" w:rsidP="002F33D0">
            <w:pPr>
              <w:ind w:firstLine="0"/>
              <w:jc w:val="both"/>
              <w:rPr>
                <w:szCs w:val="24"/>
              </w:rPr>
            </w:pPr>
            <w:r w:rsidRPr="002C6041">
              <w:rPr>
                <w:szCs w:val="24"/>
              </w:rPr>
              <w:t>hr_incentivesystem</w:t>
            </w:r>
          </w:p>
        </w:tc>
        <w:tc>
          <w:tcPr>
            <w:tcW w:w="463" w:type="pct"/>
            <w:vAlign w:val="center"/>
            <w:hideMark/>
          </w:tcPr>
          <w:p w14:paraId="2D24A89C" w14:textId="3B2E0232" w:rsidR="000C1190" w:rsidRPr="002C6041" w:rsidRDefault="000C1190" w:rsidP="002F33D0">
            <w:pPr>
              <w:ind w:firstLine="0"/>
              <w:jc w:val="center"/>
              <w:rPr>
                <w:rFonts w:eastAsia="Times New Roman"/>
                <w:szCs w:val="24"/>
                <w:lang w:eastAsia="ru-RU"/>
              </w:rPr>
            </w:pPr>
            <w:r w:rsidRPr="002C6041">
              <w:rPr>
                <w:rFonts w:eastAsia="Times New Roman"/>
                <w:szCs w:val="24"/>
                <w:lang w:eastAsia="ru-RU"/>
              </w:rPr>
              <w:t>1</w:t>
            </w:r>
            <w:r w:rsidR="002C6041">
              <w:rPr>
                <w:rFonts w:eastAsia="Times New Roman"/>
                <w:szCs w:val="24"/>
                <w:lang w:val="kk-KZ" w:eastAsia="ru-RU"/>
              </w:rPr>
              <w:t>,</w:t>
            </w:r>
            <w:r w:rsidRPr="002C6041">
              <w:rPr>
                <w:rFonts w:eastAsia="Times New Roman"/>
                <w:szCs w:val="24"/>
                <w:lang w:eastAsia="ru-RU"/>
              </w:rPr>
              <w:t>252</w:t>
            </w:r>
          </w:p>
        </w:tc>
        <w:tc>
          <w:tcPr>
            <w:tcW w:w="597" w:type="pct"/>
            <w:vAlign w:val="center"/>
            <w:hideMark/>
          </w:tcPr>
          <w:p w14:paraId="72653E9D" w14:textId="7E2F0459" w:rsidR="000C1190" w:rsidRPr="002C6041" w:rsidRDefault="000C1190" w:rsidP="002F33D0">
            <w:pPr>
              <w:ind w:firstLine="0"/>
              <w:jc w:val="center"/>
              <w:rPr>
                <w:rFonts w:eastAsia="Times New Roman"/>
                <w:szCs w:val="24"/>
                <w:lang w:eastAsia="ru-RU"/>
              </w:rPr>
            </w:pPr>
            <w:r w:rsidRPr="002C6041">
              <w:rPr>
                <w:rFonts w:eastAsia="Times New Roman"/>
                <w:szCs w:val="24"/>
                <w:lang w:eastAsia="ru-RU"/>
              </w:rPr>
              <w:t>0</w:t>
            </w:r>
            <w:r w:rsidR="002C6041">
              <w:rPr>
                <w:rFonts w:eastAsia="Times New Roman"/>
                <w:szCs w:val="24"/>
                <w:lang w:val="kk-KZ" w:eastAsia="ru-RU"/>
              </w:rPr>
              <w:t>,</w:t>
            </w:r>
            <w:r w:rsidRPr="002C6041">
              <w:rPr>
                <w:rFonts w:eastAsia="Times New Roman"/>
                <w:szCs w:val="24"/>
                <w:lang w:eastAsia="ru-RU"/>
              </w:rPr>
              <w:t>290</w:t>
            </w:r>
          </w:p>
        </w:tc>
      </w:tr>
      <w:tr w:rsidR="000C1190" w:rsidRPr="000C1190" w14:paraId="1CDD7D9E" w14:textId="77777777" w:rsidTr="002C6041">
        <w:tc>
          <w:tcPr>
            <w:tcW w:w="1970" w:type="pct"/>
          </w:tcPr>
          <w:p w14:paraId="31DFFA91" w14:textId="77777777" w:rsidR="000C1190" w:rsidRPr="002C6041" w:rsidRDefault="000C1190" w:rsidP="002F33D0">
            <w:pPr>
              <w:ind w:firstLine="0"/>
              <w:rPr>
                <w:szCs w:val="24"/>
              </w:rPr>
            </w:pPr>
            <w:r w:rsidRPr="002C6041">
              <w:rPr>
                <w:szCs w:val="24"/>
              </w:rPr>
              <w:t>Сбор инновационных идей от персонала</w:t>
            </w:r>
          </w:p>
        </w:tc>
        <w:tc>
          <w:tcPr>
            <w:tcW w:w="1970" w:type="pct"/>
            <w:hideMark/>
          </w:tcPr>
          <w:p w14:paraId="789C555A" w14:textId="77777777" w:rsidR="000C1190" w:rsidRPr="002C6041" w:rsidRDefault="000C1190" w:rsidP="002F33D0">
            <w:pPr>
              <w:ind w:firstLine="0"/>
              <w:jc w:val="both"/>
              <w:rPr>
                <w:szCs w:val="24"/>
              </w:rPr>
            </w:pPr>
            <w:r w:rsidRPr="002C6041">
              <w:rPr>
                <w:szCs w:val="24"/>
              </w:rPr>
              <w:t>hr_ideacollection</w:t>
            </w:r>
          </w:p>
        </w:tc>
        <w:tc>
          <w:tcPr>
            <w:tcW w:w="463" w:type="pct"/>
            <w:vAlign w:val="center"/>
            <w:hideMark/>
          </w:tcPr>
          <w:p w14:paraId="2083653E" w14:textId="4652559E" w:rsidR="000C1190" w:rsidRPr="002C6041" w:rsidRDefault="000C1190" w:rsidP="002F33D0">
            <w:pPr>
              <w:ind w:firstLine="0"/>
              <w:jc w:val="center"/>
              <w:rPr>
                <w:rFonts w:eastAsia="Times New Roman"/>
                <w:szCs w:val="24"/>
                <w:lang w:eastAsia="ru-RU"/>
              </w:rPr>
            </w:pPr>
            <w:r w:rsidRPr="002C6041">
              <w:rPr>
                <w:rFonts w:eastAsia="Times New Roman"/>
                <w:szCs w:val="24"/>
                <w:lang w:eastAsia="ru-RU"/>
              </w:rPr>
              <w:t>1</w:t>
            </w:r>
            <w:r w:rsidR="002C6041">
              <w:rPr>
                <w:rFonts w:eastAsia="Times New Roman"/>
                <w:szCs w:val="24"/>
                <w:lang w:val="kk-KZ" w:eastAsia="ru-RU"/>
              </w:rPr>
              <w:t>,</w:t>
            </w:r>
            <w:r w:rsidRPr="002C6041">
              <w:rPr>
                <w:rFonts w:eastAsia="Times New Roman"/>
                <w:szCs w:val="24"/>
                <w:lang w:eastAsia="ru-RU"/>
              </w:rPr>
              <w:t>522</w:t>
            </w:r>
          </w:p>
        </w:tc>
        <w:tc>
          <w:tcPr>
            <w:tcW w:w="597" w:type="pct"/>
            <w:vAlign w:val="center"/>
            <w:hideMark/>
          </w:tcPr>
          <w:p w14:paraId="6BCFC5A0" w14:textId="20068ED5" w:rsidR="000C1190" w:rsidRPr="002C6041" w:rsidRDefault="000C1190" w:rsidP="002F33D0">
            <w:pPr>
              <w:ind w:firstLine="0"/>
              <w:jc w:val="center"/>
              <w:rPr>
                <w:rFonts w:eastAsia="Times New Roman"/>
                <w:szCs w:val="24"/>
                <w:lang w:eastAsia="ru-RU"/>
              </w:rPr>
            </w:pPr>
            <w:r w:rsidRPr="002C6041">
              <w:rPr>
                <w:rFonts w:eastAsia="Times New Roman"/>
                <w:szCs w:val="24"/>
                <w:lang w:eastAsia="ru-RU"/>
              </w:rPr>
              <w:t>0</w:t>
            </w:r>
            <w:r w:rsidR="002C6041">
              <w:rPr>
                <w:rFonts w:eastAsia="Times New Roman"/>
                <w:szCs w:val="24"/>
                <w:lang w:val="kk-KZ" w:eastAsia="ru-RU"/>
              </w:rPr>
              <w:t>,</w:t>
            </w:r>
            <w:r w:rsidRPr="002C6041">
              <w:rPr>
                <w:rFonts w:eastAsia="Times New Roman"/>
                <w:szCs w:val="24"/>
                <w:lang w:eastAsia="ru-RU"/>
              </w:rPr>
              <w:t>223</w:t>
            </w:r>
          </w:p>
        </w:tc>
      </w:tr>
      <w:tr w:rsidR="000C1190" w:rsidRPr="000C1190" w14:paraId="6B52A1AC" w14:textId="77777777" w:rsidTr="002C6041">
        <w:tc>
          <w:tcPr>
            <w:tcW w:w="1970" w:type="pct"/>
          </w:tcPr>
          <w:p w14:paraId="7828DEDA" w14:textId="77777777" w:rsidR="000C1190" w:rsidRPr="002C6041" w:rsidRDefault="000C1190" w:rsidP="002F33D0">
            <w:pPr>
              <w:ind w:firstLine="0"/>
              <w:rPr>
                <w:szCs w:val="24"/>
              </w:rPr>
            </w:pPr>
            <w:r w:rsidRPr="002C6041">
              <w:rPr>
                <w:szCs w:val="24"/>
              </w:rPr>
              <w:t>Анализ кадровых потребностей</w:t>
            </w:r>
          </w:p>
        </w:tc>
        <w:tc>
          <w:tcPr>
            <w:tcW w:w="1970" w:type="pct"/>
            <w:hideMark/>
          </w:tcPr>
          <w:p w14:paraId="52FA43D6" w14:textId="77777777" w:rsidR="000C1190" w:rsidRPr="002C6041" w:rsidRDefault="000C1190" w:rsidP="002F33D0">
            <w:pPr>
              <w:ind w:firstLine="0"/>
              <w:jc w:val="both"/>
              <w:rPr>
                <w:szCs w:val="24"/>
              </w:rPr>
            </w:pPr>
            <w:r w:rsidRPr="002C6041">
              <w:rPr>
                <w:szCs w:val="24"/>
              </w:rPr>
              <w:t>hr_skillsneedsanalysis</w:t>
            </w:r>
          </w:p>
        </w:tc>
        <w:tc>
          <w:tcPr>
            <w:tcW w:w="463" w:type="pct"/>
            <w:vAlign w:val="center"/>
            <w:hideMark/>
          </w:tcPr>
          <w:p w14:paraId="66093F48" w14:textId="1180D14F" w:rsidR="000C1190" w:rsidRPr="002C6041" w:rsidRDefault="000C1190" w:rsidP="002F33D0">
            <w:pPr>
              <w:ind w:firstLine="0"/>
              <w:jc w:val="center"/>
              <w:rPr>
                <w:rFonts w:eastAsia="Times New Roman"/>
                <w:szCs w:val="24"/>
                <w:lang w:eastAsia="ru-RU"/>
              </w:rPr>
            </w:pPr>
            <w:r w:rsidRPr="002C6041">
              <w:rPr>
                <w:rFonts w:eastAsia="Times New Roman"/>
                <w:szCs w:val="24"/>
                <w:lang w:eastAsia="ru-RU"/>
              </w:rPr>
              <w:t>0</w:t>
            </w:r>
            <w:r w:rsidR="002C6041">
              <w:rPr>
                <w:rFonts w:eastAsia="Times New Roman"/>
                <w:szCs w:val="24"/>
                <w:lang w:val="kk-KZ" w:eastAsia="ru-RU"/>
              </w:rPr>
              <w:t>,</w:t>
            </w:r>
            <w:r w:rsidRPr="002C6041">
              <w:rPr>
                <w:rFonts w:eastAsia="Times New Roman"/>
                <w:szCs w:val="24"/>
                <w:lang w:eastAsia="ru-RU"/>
              </w:rPr>
              <w:t>829</w:t>
            </w:r>
          </w:p>
        </w:tc>
        <w:tc>
          <w:tcPr>
            <w:tcW w:w="597" w:type="pct"/>
            <w:vAlign w:val="center"/>
            <w:hideMark/>
          </w:tcPr>
          <w:p w14:paraId="0BCDA57F" w14:textId="010FEBB9" w:rsidR="000C1190" w:rsidRPr="002C6041" w:rsidRDefault="000C1190" w:rsidP="002F33D0">
            <w:pPr>
              <w:ind w:firstLine="0"/>
              <w:jc w:val="center"/>
              <w:rPr>
                <w:rFonts w:eastAsia="Times New Roman"/>
                <w:szCs w:val="24"/>
                <w:lang w:eastAsia="ru-RU"/>
              </w:rPr>
            </w:pPr>
            <w:r w:rsidRPr="002C6041">
              <w:rPr>
                <w:rFonts w:eastAsia="Times New Roman"/>
                <w:szCs w:val="24"/>
                <w:lang w:eastAsia="ru-RU"/>
              </w:rPr>
              <w:t>0</w:t>
            </w:r>
            <w:r w:rsidR="002C6041">
              <w:rPr>
                <w:rFonts w:eastAsia="Times New Roman"/>
                <w:szCs w:val="24"/>
                <w:lang w:val="kk-KZ" w:eastAsia="ru-RU"/>
              </w:rPr>
              <w:t>,</w:t>
            </w:r>
            <w:r w:rsidRPr="002C6041">
              <w:rPr>
                <w:rFonts w:eastAsia="Times New Roman"/>
                <w:szCs w:val="24"/>
                <w:lang w:eastAsia="ru-RU"/>
              </w:rPr>
              <w:t>439</w:t>
            </w:r>
          </w:p>
        </w:tc>
      </w:tr>
      <w:tr w:rsidR="002C6041" w:rsidRPr="000C1190" w14:paraId="010B492C" w14:textId="77777777" w:rsidTr="002C6041">
        <w:tc>
          <w:tcPr>
            <w:tcW w:w="5000" w:type="pct"/>
            <w:gridSpan w:val="4"/>
          </w:tcPr>
          <w:p w14:paraId="6F64973F" w14:textId="72A4D955" w:rsidR="002C6041" w:rsidRPr="00EE311D" w:rsidRDefault="002C6041" w:rsidP="000F3C80">
            <w:pPr>
              <w:ind w:firstLine="459"/>
              <w:jc w:val="both"/>
              <w:rPr>
                <w:rFonts w:eastAsia="Times New Roman"/>
                <w:szCs w:val="24"/>
                <w:lang w:val="kk-KZ" w:eastAsia="ru-RU"/>
              </w:rPr>
            </w:pPr>
            <w:r w:rsidRPr="00EE311D">
              <w:rPr>
                <w:rFonts w:eastAsia="Times New Roman"/>
                <w:szCs w:val="24"/>
                <w:lang w:val="kk-KZ" w:eastAsia="ru-RU"/>
              </w:rPr>
              <w:t xml:space="preserve">Примечание – </w:t>
            </w:r>
            <w:r w:rsidR="000F3C80" w:rsidRPr="00EE311D">
              <w:rPr>
                <w:rFonts w:eastAsia="Times New Roman"/>
                <w:szCs w:val="24"/>
                <w:lang w:val="kk-KZ" w:eastAsia="ru-RU"/>
              </w:rPr>
              <w:t>С</w:t>
            </w:r>
            <w:r w:rsidRPr="00EE311D">
              <w:rPr>
                <w:rFonts w:eastAsia="Times New Roman"/>
                <w:szCs w:val="24"/>
                <w:lang w:val="kk-KZ" w:eastAsia="ru-RU"/>
              </w:rPr>
              <w:t>оставлено автором</w:t>
            </w:r>
          </w:p>
        </w:tc>
      </w:tr>
    </w:tbl>
    <w:p w14:paraId="5C112796" w14:textId="77777777" w:rsidR="000C1190" w:rsidRPr="000C1190" w:rsidRDefault="000C1190" w:rsidP="002F33D0">
      <w:pPr>
        <w:spacing w:after="0" w:line="240" w:lineRule="auto"/>
        <w:ind w:firstLine="567"/>
        <w:jc w:val="both"/>
        <w:rPr>
          <w:rFonts w:ascii="Times New Roman" w:hAnsi="Times New Roman" w:cs="Times New Roman"/>
          <w:sz w:val="28"/>
          <w:szCs w:val="28"/>
        </w:rPr>
      </w:pPr>
    </w:p>
    <w:p w14:paraId="1928991C"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Таким образом, кадровые практики на данном этапе не выполняют функции активного драйвера инновационного развития. Их ограниченная распространённость и институциональная однородность указывают на преимущественно формальный характер внедрения, а не на наличие целостной системы стратегического управления человеческим капиталом, ориентированной на стимулирование инноваций.</w:t>
      </w:r>
    </w:p>
    <w:p w14:paraId="45868510"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Результаты анализа подтвердили ключевую роль индивидуальных компетенций сотрудников в формировании инновационного потенциала предпринимательских структур. При этом выявлена выраженная специфика влияния различных типов навыков в зависимости от масштаба предприятия:</w:t>
      </w:r>
    </w:p>
    <w:p w14:paraId="54AB9200" w14:textId="77777777" w:rsidR="000C1190" w:rsidRPr="000C1190" w:rsidRDefault="000C1190" w:rsidP="007F5E68">
      <w:pPr>
        <w:pStyle w:val="a3"/>
        <w:numPr>
          <w:ilvl w:val="0"/>
          <w:numId w:val="19"/>
        </w:numPr>
        <w:tabs>
          <w:tab w:val="left" w:pos="851"/>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для крупных предприятий доминируют технологические hard-компетенции, отражающие ориентацию на цифровизацию и автоматизацию производственных процессов;</w:t>
      </w:r>
    </w:p>
    <w:p w14:paraId="550CE603" w14:textId="77777777" w:rsidR="000C1190" w:rsidRPr="000C1190" w:rsidRDefault="000C1190" w:rsidP="007F5E68">
      <w:pPr>
        <w:pStyle w:val="a3"/>
        <w:numPr>
          <w:ilvl w:val="0"/>
          <w:numId w:val="19"/>
        </w:numPr>
        <w:tabs>
          <w:tab w:val="left" w:pos="851"/>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lastRenderedPageBreak/>
        <w:t>для средних предприятий характерна сбалансированная комбинация soft- и hard-компетенций, обеспечивающая гибкость и способность к адаптации в инновационной среде;</w:t>
      </w:r>
    </w:p>
    <w:p w14:paraId="6AE0DD06" w14:textId="77777777" w:rsidR="000C1190" w:rsidRPr="000C1190" w:rsidRDefault="000C1190" w:rsidP="007F5E68">
      <w:pPr>
        <w:pStyle w:val="a3"/>
        <w:numPr>
          <w:ilvl w:val="0"/>
          <w:numId w:val="19"/>
        </w:numPr>
        <w:tabs>
          <w:tab w:val="left" w:pos="851"/>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для малых предприятий человеческий капитал выступает компенсаторным ресурсом, который восполняет дефицит организационных и финансовых возможностей, обеспечивая базовую устойчивость и инновационную восприимчивость.</w:t>
      </w:r>
    </w:p>
    <w:p w14:paraId="4F8C2A83"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В то же время HR-практики, несмотря на их теоретически ожидаемое значение, не продемонстрировали статистически значимого влияния на инновационный потенциал, что обусловлено их слабой институциональной представленностью и отсутствием дифференциации по типу предприятий.</w:t>
      </w:r>
    </w:p>
    <w:p w14:paraId="4F47BCD4" w14:textId="3B1281F3"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Полученные результаты указывают на необходимость не только развития компетенций, но и проектирования эффективных механизмов управления человеческим капиталом как ключевого элемента инновационной трансформации предпринимательских структур. </w:t>
      </w:r>
    </w:p>
    <w:p w14:paraId="026A5169" w14:textId="77777777" w:rsidR="00122E31" w:rsidRDefault="000C1190" w:rsidP="002F33D0">
      <w:pPr>
        <w:spacing w:after="0" w:line="240" w:lineRule="auto"/>
        <w:ind w:firstLine="567"/>
        <w:jc w:val="both"/>
        <w:rPr>
          <w:rFonts w:ascii="Times New Roman" w:hAnsi="Times New Roman" w:cs="Times New Roman"/>
          <w:b/>
          <w:sz w:val="28"/>
          <w:szCs w:val="28"/>
        </w:rPr>
      </w:pPr>
      <w:r w:rsidRPr="000C1190">
        <w:rPr>
          <w:rFonts w:ascii="Times New Roman" w:hAnsi="Times New Roman" w:cs="Times New Roman"/>
          <w:b/>
          <w:sz w:val="28"/>
          <w:szCs w:val="28"/>
        </w:rPr>
        <w:t xml:space="preserve">2.1.3 Анализ инновационной культуры: оценка институционализации практик и выделение поведенческих паттернов </w:t>
      </w:r>
    </w:p>
    <w:p w14:paraId="1DD95D21" w14:textId="710C2EAF"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Инновационная культура представляет собой важнейший компонент внутренней среды предприятия, формирующий установку на восприятие изменений, поддержку новых идей и устойчивую ориентацию на обновление бизнес-моделей и процессов. В научной литературе подчёркивается её роль как скрытого, но значимого драйвера инновационной активности, особенно в условиях цифровой трансформации, когда предприятиям необходимо адаптироваться к ускоряющимся темпам технологических изменений и формировать внутренние механизмы креативности и открытости</w:t>
      </w:r>
      <w:r w:rsidR="002C6041">
        <w:rPr>
          <w:rFonts w:ascii="Times New Roman" w:hAnsi="Times New Roman" w:cs="Times New Roman"/>
          <w:sz w:val="28"/>
          <w:szCs w:val="28"/>
          <w:lang w:val="kk-KZ"/>
        </w:rPr>
        <w:t xml:space="preserve"> </w:t>
      </w:r>
      <w:r w:rsidR="002C6041">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{"citationID":"aqnp82rpk8","properties":{"formattedCitation":"[194\\uc0\\u8211{}196]","plainCitation":"[194–196]","noteIndex":0},"citationItems":[{"id":255,"uris":["http://zotero.org/users/16887523/items/NUL2LJCI"],"itemData":{"id":255,"type":"article","abstract":"Based on a literature review, a framework for digital organizational culture with a focus on innovation is proposed. This digital organizational culture becomes relevant today since digital transformation requires an appetite for risk and a willingness to undertake, aspects that are strengthened by an environment and atmosphere that motivate individuals to generate new ideas.  The proposal begins with a diagnosis of the existing organizational culture, which allows identifying the differences between the components of the current organizational culture and the innovation-oriented digital organizational culture. Through this diagnosis, the gaps that need to be addressed to achieve a digital organizational culture with innovative characteristics are identified. In addition, specific recommendations are proposed to carry out this transformation.  In the process, the assumptions underlying the current typology of the company's organizational culture are highlighted. The importance of integrating creativity, risk readiness, and entrepreneurial willingness into the digital organizational culture aimed at innovation is emphasized. These elements are essential to create an environment","DOI":"10.20944/preprints202309.0763.v1","license":"http://creativecommons.org/licenses/by/4.0","publisher":"Business, Economics and Management","source":"DOI.org (Crossref)","title":"Framework for Designing an Organizational Digital Culture for Innovation","URL":"https://www.preprints.org/manuscript/202309.0763/v1","author":[{"family":"Felizzola","given":"Yadira"}],"accessed":{"date-parts":[["2025",11,24]]},"issued":{"date-parts":[["2023",9,12]]}}},{"id":257,"uris":["http://zotero.org/users/16887523/items/2FNZ523S"],"itemData":{"id":257,"type":"article-journal","abstract":"The advancement of digital technology has significantly influenced various aspects of organizational operations in today’s digitalization era. Digital transformation and innovation have emerged as critical concepts in fostering an organizational culture that is adaptive, innovative, and responsive to change. This study adopts a qualitative approach through a case study method and literature review as its theoretical foundation, aiming to explore the influence of digital transformation and innovation on organizational culture in depth. The findings reveal that digital transformation has a notable impact on organizational culture, with both positive and negative implications. On the positive side, it enhances performance through automation, accelerated data processing, and changes in work processes, thereby improving productivity and work quality key indicators of a strong organizational culture. Moreover, the integration of digital communication and collaboration tools enables employees to actively share ideas, collaborate in teams, and engage in virtual work environments. However, the study also identifies several challenges, including technological and infrastructure limitations, constrained resources, inadequate policy support, entrenched corporate culture, and resistance to change. Effective change management in digital transformation and cultural innovation requires strong leadership, targeted education and training, transparent communication, the mitigation of fear and resistance, as well as ongoing measurement and evaluation. Successful digital transformation depends on the synergy between technology, people, and a continuously evolving organizational culture.","container-title":"RIGGS: Journal of Artificial Intelligence and Digital Business","DOI":"10.31004/riggs.v4i2.1840","ISSN":"2963-914X, 2963-9298","issue":"2","journalAbbreviation":"RIGGS","license":"https://creativecommons.org/licenses/by/4.0","page":"7327-7332","source":"DOI.org (Crossref)","title":"Digital Transformation And Innovation In The Digitalization Era To Improve Organizational Culture","URL":"https://journal.ilmudata.co.id/index.php/RIGGS/article/view/1840","volume":"4","author":[{"family":"Fatchurrohman","given":"Mochamad"},{"family":"Supriadi","given":"Iman"},{"family":"Alfiyatussholichah","given":"Alfiyatussholichah"},{"family":"Wardhani","given":"Parwita Setya"}],"accessed":{"date-parts":[["2025",11,24]]},"issued":{"date-parts":[["2025",7,28]]}}},{"id":258,"uris":["http://zotero.org/users/16887523/items/V4IPIEPQ"],"itemData":{"id":258,"type":"chapter","container-title":"Innovation Through Information Systems","DOI":"10.1007/978-3-030-86800-0_22","ISBN":"978-3-030-86799-7","language":"en","note":"collection-title: Lecture Notes in Information Systems and Organisation","page":"305-320","publisher":"Springer International Publishing","publisher-place":"Cham","source":"DOI.org (Crossref)","title":"Digital Innovation Culture: A Systematic Literature Review","title-short":"Digital Innovation Culture","URL":"https://link.springer.com/10.1007/978-3-030-86800-0_22","volume":"48","editor":[{"family":"Ahlemann","given":"Frederik"},{"family":"Schütte","given":"Reinhard"},{"family":"Stieglitz","given":"Stefan"}],"author":[{"family":"Kiefer","given":"Daniel"},{"family":"Van Dinther","given":"Clemens"},{"family":"Spitzmüller","given":"Julian"}],"accessed":{"date-parts":[["2025",11,24]]},"issued":{"date-parts":[["2021"]]}}}],"schema":"https://github.com/citation-style-language/schema/raw/master/csl-citation.json"} </w:instrText>
      </w:r>
      <w:r w:rsidR="002C6041">
        <w:rPr>
          <w:rFonts w:ascii="Times New Roman" w:hAnsi="Times New Roman" w:cs="Times New Roman"/>
          <w:sz w:val="28"/>
          <w:szCs w:val="28"/>
          <w:lang w:val="kk-KZ"/>
        </w:rPr>
        <w:fldChar w:fldCharType="separate"/>
      </w:r>
      <w:r w:rsidR="00AE44BA" w:rsidRPr="00AE44BA">
        <w:rPr>
          <w:rFonts w:ascii="Times New Roman" w:hAnsi="Times New Roman" w:cs="Times New Roman"/>
          <w:sz w:val="28"/>
          <w:szCs w:val="24"/>
        </w:rPr>
        <w:t>[194–196]</w:t>
      </w:r>
      <w:r w:rsidR="002C6041">
        <w:rPr>
          <w:rFonts w:ascii="Times New Roman" w:hAnsi="Times New Roman" w:cs="Times New Roman"/>
          <w:sz w:val="28"/>
          <w:szCs w:val="28"/>
          <w:lang w:val="kk-KZ"/>
        </w:rPr>
        <w:fldChar w:fldCharType="end"/>
      </w:r>
      <w:r w:rsidRPr="000C1190">
        <w:rPr>
          <w:rFonts w:ascii="Times New Roman" w:hAnsi="Times New Roman" w:cs="Times New Roman"/>
          <w:sz w:val="28"/>
          <w:szCs w:val="28"/>
        </w:rPr>
        <w:t>.</w:t>
      </w:r>
    </w:p>
    <w:p w14:paraId="36D67C8D"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В контексте казахстанского предпринимательства данный компонент нередко остаётся недооценённым, что требует эмпирической оценки степени его институционализации и выявления особенностей поведения предприятий с различным уровнем инновационной культуры.</w:t>
      </w:r>
    </w:p>
    <w:p w14:paraId="5D750496"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Целью данного раздела является оценка уровня распространённости элементов инновационной культуры в предпринимательских структурах Казахстана, а также идентификация поведенческих паттернов, связанных с практиками поддержки инноваций. Анализ направлен на определение вклада культурных установок и управленческих практик в формирование инновационного потенциала (IP), а также на выявление латентных групп предприятий с различными типами инновационной культуры.</w:t>
      </w:r>
    </w:p>
    <w:p w14:paraId="6D3DE6C0"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Исследование реализовано в три этапа, соответствующих логике эмпирического анализа внутренней среды:</w:t>
      </w:r>
    </w:p>
    <w:p w14:paraId="7ACA420B" w14:textId="1AAA88E9" w:rsidR="000C1190" w:rsidRPr="000C1190" w:rsidRDefault="00122E31" w:rsidP="007F5E68">
      <w:pPr>
        <w:pStyle w:val="a3"/>
        <w:numPr>
          <w:ilvl w:val="0"/>
          <w:numId w:val="20"/>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kk-KZ"/>
        </w:rPr>
        <w:t>о</w:t>
      </w:r>
      <w:r w:rsidR="000C1190" w:rsidRPr="000C1190">
        <w:rPr>
          <w:rFonts w:ascii="Times New Roman" w:hAnsi="Times New Roman" w:cs="Times New Roman"/>
          <w:sz w:val="28"/>
          <w:szCs w:val="28"/>
        </w:rPr>
        <w:t xml:space="preserve">писательная статистика </w:t>
      </w:r>
      <w:r w:rsidR="009D20AE">
        <w:rPr>
          <w:rFonts w:ascii="Times New Roman" w:hAnsi="Times New Roman" w:cs="Times New Roman"/>
          <w:sz w:val="28"/>
          <w:szCs w:val="28"/>
        </w:rPr>
        <w:t>–</w:t>
      </w:r>
      <w:r w:rsidR="000C1190" w:rsidRPr="000C1190">
        <w:rPr>
          <w:rFonts w:ascii="Times New Roman" w:hAnsi="Times New Roman" w:cs="Times New Roman"/>
          <w:sz w:val="28"/>
          <w:szCs w:val="28"/>
        </w:rPr>
        <w:t xml:space="preserve"> отражает уровень распространённости и вариативность элементов инновационной культуры;</w:t>
      </w:r>
    </w:p>
    <w:p w14:paraId="3C548839" w14:textId="5F456D59" w:rsidR="000C1190" w:rsidRPr="000C1190" w:rsidRDefault="00E15251" w:rsidP="007F5E68">
      <w:pPr>
        <w:pStyle w:val="a3"/>
        <w:numPr>
          <w:ilvl w:val="0"/>
          <w:numId w:val="20"/>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р</w:t>
      </w:r>
      <w:r w:rsidR="000C1190" w:rsidRPr="000C1190">
        <w:rPr>
          <w:rFonts w:ascii="Times New Roman" w:hAnsi="Times New Roman" w:cs="Times New Roman"/>
          <w:sz w:val="28"/>
          <w:szCs w:val="28"/>
        </w:rPr>
        <w:t xml:space="preserve">егрессионный анализ </w:t>
      </w:r>
      <w:r w:rsidR="009D20AE">
        <w:rPr>
          <w:rFonts w:ascii="Times New Roman" w:hAnsi="Times New Roman" w:cs="Times New Roman"/>
          <w:sz w:val="28"/>
          <w:szCs w:val="28"/>
        </w:rPr>
        <w:t>–</w:t>
      </w:r>
      <w:r w:rsidR="000C1190" w:rsidRPr="000C1190">
        <w:rPr>
          <w:rFonts w:ascii="Times New Roman" w:hAnsi="Times New Roman" w:cs="Times New Roman"/>
          <w:sz w:val="28"/>
          <w:szCs w:val="28"/>
        </w:rPr>
        <w:t xml:space="preserve"> позволяет количественно оценить влияние отдельных культурных элементов на субъективную оценку инновационного потенциала (IP_selfrate);</w:t>
      </w:r>
    </w:p>
    <w:p w14:paraId="11FABFA9" w14:textId="3336C51B" w:rsidR="000C1190" w:rsidRPr="000C1190" w:rsidRDefault="00122E31" w:rsidP="007F5E68">
      <w:pPr>
        <w:pStyle w:val="a3"/>
        <w:numPr>
          <w:ilvl w:val="0"/>
          <w:numId w:val="20"/>
        </w:numPr>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kk-KZ"/>
        </w:rPr>
        <w:lastRenderedPageBreak/>
        <w:t>л</w:t>
      </w:r>
      <w:r w:rsidR="000C1190" w:rsidRPr="000C1190">
        <w:rPr>
          <w:rFonts w:ascii="Times New Roman" w:hAnsi="Times New Roman" w:cs="Times New Roman"/>
          <w:sz w:val="28"/>
          <w:szCs w:val="28"/>
        </w:rPr>
        <w:t xml:space="preserve">атентный кластерный анализ (Latent Class Analysis, LCA) </w:t>
      </w:r>
      <w:r w:rsidR="009D20AE">
        <w:rPr>
          <w:rFonts w:ascii="Times New Roman" w:hAnsi="Times New Roman" w:cs="Times New Roman"/>
          <w:sz w:val="28"/>
          <w:szCs w:val="28"/>
        </w:rPr>
        <w:t>–</w:t>
      </w:r>
      <w:r w:rsidR="000C1190" w:rsidRPr="000C1190">
        <w:rPr>
          <w:rFonts w:ascii="Times New Roman" w:hAnsi="Times New Roman" w:cs="Times New Roman"/>
          <w:sz w:val="28"/>
          <w:szCs w:val="28"/>
        </w:rPr>
        <w:t xml:space="preserve"> направлен на выделение устойчивых поведенческих паттернов, не поддающихся линейной интерпретации, и типологизацию предприятий по уровню институционализации инновационной культуры.</w:t>
      </w:r>
    </w:p>
    <w:p w14:paraId="5B977EC6"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Такой подход обеспечивает сочетание количественной и типологической оценки, позволяя проследить, как организационные ценности и практики управления знаниями формируют институциональный ландшафт инновационной активности.</w:t>
      </w:r>
    </w:p>
    <w:p w14:paraId="5DE75D9A" w14:textId="05265AAB"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На первом этапе была проведена описательная статистика по ключевым элементам инновационной культуры, представленным в виде бинарных переменных (0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отсутствие практики, 1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наличие). Для наглядности данные агрегированы по трём группам предприятий в зависимости от их размера: крупные, средние и малые.</w:t>
      </w:r>
    </w:p>
    <w:p w14:paraId="3C23E53A" w14:textId="1616B4DE" w:rsidR="00122E31" w:rsidRPr="000C1190" w:rsidRDefault="00122E31" w:rsidP="00122E31">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Как видно из таблицы </w:t>
      </w:r>
      <w:r>
        <w:rPr>
          <w:rFonts w:ascii="Times New Roman" w:hAnsi="Times New Roman" w:cs="Times New Roman"/>
          <w:sz w:val="28"/>
          <w:szCs w:val="28"/>
          <w:lang w:val="kk-KZ"/>
        </w:rPr>
        <w:t>16</w:t>
      </w:r>
      <w:r w:rsidRPr="000C1190">
        <w:rPr>
          <w:rFonts w:ascii="Times New Roman" w:hAnsi="Times New Roman" w:cs="Times New Roman"/>
          <w:sz w:val="28"/>
          <w:szCs w:val="28"/>
        </w:rPr>
        <w:t xml:space="preserve">, наибольшая концентрация элементов инновационной культуры наблюдается в крупных предпринимательских структурах </w:t>
      </w:r>
      <w:r>
        <w:rPr>
          <w:rFonts w:ascii="Times New Roman" w:hAnsi="Times New Roman" w:cs="Times New Roman"/>
          <w:sz w:val="28"/>
          <w:szCs w:val="28"/>
        </w:rPr>
        <w:t>–</w:t>
      </w:r>
      <w:r w:rsidRPr="000C1190">
        <w:rPr>
          <w:rFonts w:ascii="Times New Roman" w:hAnsi="Times New Roman" w:cs="Times New Roman"/>
          <w:sz w:val="28"/>
          <w:szCs w:val="28"/>
        </w:rPr>
        <w:t xml:space="preserve"> по таким позициям, как наличие внутренних лабораторий (0</w:t>
      </w:r>
      <w:r>
        <w:rPr>
          <w:rFonts w:ascii="Times New Roman" w:hAnsi="Times New Roman" w:cs="Times New Roman"/>
          <w:sz w:val="28"/>
          <w:szCs w:val="28"/>
          <w:lang w:val="kk-KZ"/>
        </w:rPr>
        <w:t>,</w:t>
      </w:r>
      <w:r w:rsidRPr="000C1190">
        <w:rPr>
          <w:rFonts w:ascii="Times New Roman" w:hAnsi="Times New Roman" w:cs="Times New Roman"/>
          <w:sz w:val="28"/>
          <w:szCs w:val="28"/>
        </w:rPr>
        <w:t>84), доступ к современным технологиям (0</w:t>
      </w:r>
      <w:r>
        <w:rPr>
          <w:rFonts w:ascii="Times New Roman" w:hAnsi="Times New Roman" w:cs="Times New Roman"/>
          <w:sz w:val="28"/>
          <w:szCs w:val="28"/>
          <w:lang w:val="kk-KZ"/>
        </w:rPr>
        <w:t>,</w:t>
      </w:r>
      <w:r w:rsidRPr="000C1190">
        <w:rPr>
          <w:rFonts w:ascii="Times New Roman" w:hAnsi="Times New Roman" w:cs="Times New Roman"/>
          <w:sz w:val="28"/>
          <w:szCs w:val="28"/>
        </w:rPr>
        <w:t>84) и внешнее сотрудничество в сфере инноваций (0</w:t>
      </w:r>
      <w:r>
        <w:rPr>
          <w:rFonts w:ascii="Times New Roman" w:hAnsi="Times New Roman" w:cs="Times New Roman"/>
          <w:sz w:val="28"/>
          <w:szCs w:val="28"/>
          <w:lang w:val="kk-KZ"/>
        </w:rPr>
        <w:t>,</w:t>
      </w:r>
      <w:r w:rsidRPr="000C1190">
        <w:rPr>
          <w:rFonts w:ascii="Times New Roman" w:hAnsi="Times New Roman" w:cs="Times New Roman"/>
          <w:sz w:val="28"/>
          <w:szCs w:val="28"/>
        </w:rPr>
        <w:t>81).</w:t>
      </w:r>
    </w:p>
    <w:p w14:paraId="16834E63" w14:textId="77777777" w:rsidR="00122E31" w:rsidRDefault="00122E31" w:rsidP="002F33D0">
      <w:pPr>
        <w:spacing w:after="0" w:line="240" w:lineRule="auto"/>
        <w:jc w:val="both"/>
        <w:rPr>
          <w:rFonts w:ascii="Times New Roman" w:hAnsi="Times New Roman" w:cs="Times New Roman"/>
          <w:sz w:val="28"/>
          <w:szCs w:val="28"/>
        </w:rPr>
      </w:pPr>
    </w:p>
    <w:p w14:paraId="39D0ED87" w14:textId="114E7324" w:rsidR="000C1190" w:rsidRDefault="00122E31" w:rsidP="002F33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w:t>
      </w:r>
      <w:r>
        <w:rPr>
          <w:rFonts w:ascii="Times New Roman" w:hAnsi="Times New Roman" w:cs="Times New Roman"/>
          <w:sz w:val="28"/>
          <w:szCs w:val="28"/>
          <w:lang w:val="kk-KZ"/>
        </w:rPr>
        <w:t>1</w:t>
      </w:r>
      <w:r w:rsidR="000C1190" w:rsidRPr="000C1190">
        <w:rPr>
          <w:rFonts w:ascii="Times New Roman" w:hAnsi="Times New Roman" w:cs="Times New Roman"/>
          <w:sz w:val="28"/>
          <w:szCs w:val="28"/>
        </w:rPr>
        <w:t>6 – Распространённость элементов инновационной культуры в предпринимательских</w:t>
      </w:r>
      <w:r>
        <w:rPr>
          <w:rFonts w:ascii="Times New Roman" w:hAnsi="Times New Roman" w:cs="Times New Roman"/>
          <w:sz w:val="28"/>
          <w:szCs w:val="28"/>
        </w:rPr>
        <w:t xml:space="preserve"> структурах Казахстана (в долях</w:t>
      </w:r>
      <w:r w:rsidR="000C1190" w:rsidRPr="000C1190">
        <w:rPr>
          <w:rFonts w:ascii="Times New Roman" w:hAnsi="Times New Roman" w:cs="Times New Roman"/>
          <w:sz w:val="28"/>
          <w:szCs w:val="28"/>
        </w:rPr>
        <w:t>)</w:t>
      </w:r>
    </w:p>
    <w:p w14:paraId="7DF5E3AA" w14:textId="77777777" w:rsidR="0083769A" w:rsidRPr="00122E31" w:rsidRDefault="0083769A" w:rsidP="002F33D0">
      <w:pPr>
        <w:spacing w:after="0" w:line="240" w:lineRule="auto"/>
        <w:jc w:val="both"/>
        <w:rPr>
          <w:rFonts w:ascii="Times New Roman" w:hAnsi="Times New Roman" w:cs="Times New Roman"/>
          <w:sz w:val="20"/>
          <w:szCs w:val="20"/>
          <w:lang w:val="kk-KZ"/>
        </w:rPr>
      </w:pPr>
    </w:p>
    <w:tbl>
      <w:tblPr>
        <w:tblStyle w:val="a5"/>
        <w:tblW w:w="0" w:type="auto"/>
        <w:tblLayout w:type="fixed"/>
        <w:tblLook w:val="04A0" w:firstRow="1" w:lastRow="0" w:firstColumn="1" w:lastColumn="0" w:noHBand="0" w:noVBand="1"/>
      </w:tblPr>
      <w:tblGrid>
        <w:gridCol w:w="2405"/>
        <w:gridCol w:w="2270"/>
        <w:gridCol w:w="770"/>
        <w:gridCol w:w="881"/>
        <w:gridCol w:w="770"/>
        <w:gridCol w:w="881"/>
        <w:gridCol w:w="770"/>
        <w:gridCol w:w="881"/>
      </w:tblGrid>
      <w:tr w:rsidR="000C1190" w:rsidRPr="000C1190" w14:paraId="7D4D2712" w14:textId="77777777" w:rsidTr="0083769A">
        <w:tc>
          <w:tcPr>
            <w:tcW w:w="2405" w:type="dxa"/>
            <w:vMerge w:val="restart"/>
            <w:vAlign w:val="center"/>
          </w:tcPr>
          <w:p w14:paraId="1F352EB5" w14:textId="77777777" w:rsidR="000C1190" w:rsidRPr="0083769A" w:rsidRDefault="000C1190" w:rsidP="002F33D0">
            <w:pPr>
              <w:ind w:firstLine="0"/>
              <w:jc w:val="center"/>
              <w:rPr>
                <w:rFonts w:eastAsia="Times New Roman"/>
                <w:bCs/>
                <w:color w:val="000000"/>
                <w:szCs w:val="24"/>
                <w:lang w:val="kk-KZ" w:eastAsia="ru-RU"/>
              </w:rPr>
            </w:pPr>
            <w:r w:rsidRPr="0083769A">
              <w:rPr>
                <w:rFonts w:eastAsia="Times New Roman"/>
                <w:bCs/>
                <w:color w:val="000000"/>
                <w:szCs w:val="24"/>
                <w:lang w:val="kk-KZ" w:eastAsia="ru-RU"/>
              </w:rPr>
              <w:t>Название переменной</w:t>
            </w:r>
          </w:p>
        </w:tc>
        <w:tc>
          <w:tcPr>
            <w:tcW w:w="2270" w:type="dxa"/>
            <w:vMerge w:val="restart"/>
            <w:vAlign w:val="center"/>
            <w:hideMark/>
          </w:tcPr>
          <w:p w14:paraId="564DA75A" w14:textId="77777777" w:rsidR="000C1190" w:rsidRPr="0083769A" w:rsidRDefault="000C1190" w:rsidP="002F33D0">
            <w:pPr>
              <w:ind w:firstLine="0"/>
              <w:jc w:val="center"/>
              <w:rPr>
                <w:rFonts w:eastAsia="Times New Roman"/>
                <w:bCs/>
                <w:color w:val="000000"/>
                <w:szCs w:val="24"/>
                <w:lang w:eastAsia="ru-RU"/>
              </w:rPr>
            </w:pPr>
            <w:r w:rsidRPr="0083769A">
              <w:rPr>
                <w:rFonts w:eastAsia="Times New Roman"/>
                <w:bCs/>
                <w:color w:val="000000"/>
                <w:szCs w:val="24"/>
                <w:lang w:eastAsia="ru-RU"/>
              </w:rPr>
              <w:t>Обозначение в анализе</w:t>
            </w:r>
          </w:p>
        </w:tc>
        <w:tc>
          <w:tcPr>
            <w:tcW w:w="1651" w:type="dxa"/>
            <w:gridSpan w:val="2"/>
            <w:vAlign w:val="center"/>
            <w:hideMark/>
          </w:tcPr>
          <w:p w14:paraId="7C19FA1D" w14:textId="48584D3D" w:rsidR="000C1190" w:rsidRPr="0083769A" w:rsidRDefault="000C1190" w:rsidP="002F33D0">
            <w:pPr>
              <w:ind w:firstLine="0"/>
              <w:jc w:val="center"/>
              <w:rPr>
                <w:rFonts w:eastAsia="Times New Roman"/>
                <w:bCs/>
                <w:szCs w:val="24"/>
                <w:lang w:eastAsia="ru-RU"/>
              </w:rPr>
            </w:pPr>
            <w:r w:rsidRPr="0083769A">
              <w:rPr>
                <w:rFonts w:eastAsia="Times New Roman"/>
                <w:bCs/>
                <w:szCs w:val="24"/>
                <w:lang w:eastAsia="ru-RU"/>
              </w:rPr>
              <w:t>Крупные</w:t>
            </w:r>
          </w:p>
        </w:tc>
        <w:tc>
          <w:tcPr>
            <w:tcW w:w="1651" w:type="dxa"/>
            <w:gridSpan w:val="2"/>
            <w:vAlign w:val="center"/>
            <w:hideMark/>
          </w:tcPr>
          <w:p w14:paraId="0B9D2340" w14:textId="7E97E995" w:rsidR="000C1190" w:rsidRPr="0083769A" w:rsidRDefault="000C1190" w:rsidP="002F33D0">
            <w:pPr>
              <w:ind w:firstLine="0"/>
              <w:jc w:val="center"/>
              <w:rPr>
                <w:rFonts w:eastAsia="Times New Roman"/>
                <w:bCs/>
                <w:szCs w:val="24"/>
                <w:lang w:eastAsia="ru-RU"/>
              </w:rPr>
            </w:pPr>
            <w:r w:rsidRPr="0083769A">
              <w:rPr>
                <w:rFonts w:eastAsia="Times New Roman"/>
                <w:bCs/>
                <w:szCs w:val="24"/>
                <w:lang w:eastAsia="ru-RU"/>
              </w:rPr>
              <w:t>Средние</w:t>
            </w:r>
          </w:p>
        </w:tc>
        <w:tc>
          <w:tcPr>
            <w:tcW w:w="1651" w:type="dxa"/>
            <w:gridSpan w:val="2"/>
            <w:vAlign w:val="center"/>
            <w:hideMark/>
          </w:tcPr>
          <w:p w14:paraId="265DF357" w14:textId="24E903D3" w:rsidR="000C1190" w:rsidRPr="0083769A" w:rsidRDefault="000C1190" w:rsidP="002F33D0">
            <w:pPr>
              <w:ind w:firstLine="0"/>
              <w:jc w:val="center"/>
              <w:rPr>
                <w:rFonts w:eastAsia="Times New Roman"/>
                <w:bCs/>
                <w:szCs w:val="24"/>
                <w:lang w:eastAsia="ru-RU"/>
              </w:rPr>
            </w:pPr>
            <w:r w:rsidRPr="0083769A">
              <w:rPr>
                <w:rFonts w:eastAsia="Times New Roman"/>
                <w:bCs/>
                <w:szCs w:val="24"/>
                <w:lang w:eastAsia="ru-RU"/>
              </w:rPr>
              <w:t>Малые</w:t>
            </w:r>
          </w:p>
        </w:tc>
      </w:tr>
      <w:tr w:rsidR="000C1190" w:rsidRPr="000C1190" w14:paraId="3C6B1A47" w14:textId="77777777" w:rsidTr="0083769A">
        <w:tc>
          <w:tcPr>
            <w:tcW w:w="2405" w:type="dxa"/>
            <w:vMerge/>
            <w:vAlign w:val="center"/>
          </w:tcPr>
          <w:p w14:paraId="13E0CEE9" w14:textId="77777777" w:rsidR="000C1190" w:rsidRPr="0083769A" w:rsidRDefault="000C1190" w:rsidP="002F33D0">
            <w:pPr>
              <w:ind w:firstLine="0"/>
              <w:jc w:val="center"/>
              <w:rPr>
                <w:rFonts w:eastAsia="Times New Roman"/>
                <w:bCs/>
                <w:color w:val="000000"/>
                <w:szCs w:val="24"/>
                <w:lang w:val="kk-KZ" w:eastAsia="ru-RU"/>
              </w:rPr>
            </w:pPr>
          </w:p>
        </w:tc>
        <w:tc>
          <w:tcPr>
            <w:tcW w:w="2270" w:type="dxa"/>
            <w:vMerge/>
            <w:vAlign w:val="center"/>
          </w:tcPr>
          <w:p w14:paraId="326E6D61" w14:textId="77777777" w:rsidR="000C1190" w:rsidRPr="0083769A" w:rsidRDefault="000C1190" w:rsidP="002F33D0">
            <w:pPr>
              <w:ind w:firstLine="0"/>
              <w:jc w:val="center"/>
              <w:rPr>
                <w:rFonts w:eastAsia="Times New Roman"/>
                <w:bCs/>
                <w:color w:val="000000"/>
                <w:szCs w:val="24"/>
                <w:lang w:eastAsia="ru-RU"/>
              </w:rPr>
            </w:pPr>
          </w:p>
        </w:tc>
        <w:tc>
          <w:tcPr>
            <w:tcW w:w="770" w:type="dxa"/>
            <w:vAlign w:val="center"/>
          </w:tcPr>
          <w:p w14:paraId="5166E692" w14:textId="77777777" w:rsidR="000C1190" w:rsidRPr="0083769A" w:rsidRDefault="000C1190" w:rsidP="002F33D0">
            <w:pPr>
              <w:ind w:firstLine="0"/>
              <w:jc w:val="center"/>
              <w:rPr>
                <w:rFonts w:eastAsia="Times New Roman"/>
                <w:bCs/>
                <w:sz w:val="23"/>
                <w:szCs w:val="23"/>
                <w:lang w:val="kk-KZ" w:eastAsia="ru-RU"/>
              </w:rPr>
            </w:pPr>
            <w:r w:rsidRPr="0083769A">
              <w:rPr>
                <w:rFonts w:eastAsia="Times New Roman"/>
                <w:bCs/>
                <w:sz w:val="23"/>
                <w:szCs w:val="23"/>
                <w:lang w:eastAsia="ru-RU"/>
              </w:rPr>
              <w:t>Сред</w:t>
            </w:r>
            <w:r w:rsidRPr="0083769A">
              <w:rPr>
                <w:rFonts w:eastAsia="Times New Roman"/>
                <w:bCs/>
                <w:sz w:val="23"/>
                <w:szCs w:val="23"/>
                <w:lang w:val="kk-KZ" w:eastAsia="ru-RU"/>
              </w:rPr>
              <w:t xml:space="preserve">. </w:t>
            </w:r>
            <w:r w:rsidRPr="0083769A">
              <w:rPr>
                <w:rFonts w:eastAsia="Times New Roman"/>
                <w:bCs/>
                <w:sz w:val="23"/>
                <w:szCs w:val="23"/>
                <w:lang w:eastAsia="ru-RU"/>
              </w:rPr>
              <w:t>зн</w:t>
            </w:r>
            <w:r w:rsidRPr="0083769A">
              <w:rPr>
                <w:rFonts w:eastAsia="Times New Roman"/>
                <w:bCs/>
                <w:sz w:val="23"/>
                <w:szCs w:val="23"/>
                <w:lang w:val="kk-KZ" w:eastAsia="ru-RU"/>
              </w:rPr>
              <w:t>.</w:t>
            </w:r>
          </w:p>
        </w:tc>
        <w:tc>
          <w:tcPr>
            <w:tcW w:w="881" w:type="dxa"/>
            <w:vAlign w:val="center"/>
          </w:tcPr>
          <w:p w14:paraId="73A8620D" w14:textId="77777777" w:rsidR="000C1190" w:rsidRPr="0083769A" w:rsidRDefault="000C1190" w:rsidP="002F33D0">
            <w:pPr>
              <w:ind w:firstLine="0"/>
              <w:jc w:val="center"/>
              <w:rPr>
                <w:rFonts w:eastAsia="Times New Roman"/>
                <w:bCs/>
                <w:sz w:val="23"/>
                <w:szCs w:val="23"/>
                <w:lang w:eastAsia="ru-RU"/>
              </w:rPr>
            </w:pPr>
            <w:r w:rsidRPr="0083769A">
              <w:rPr>
                <w:rFonts w:eastAsia="Times New Roman"/>
                <w:bCs/>
                <w:sz w:val="23"/>
                <w:szCs w:val="23"/>
                <w:lang w:eastAsia="ru-RU"/>
              </w:rPr>
              <w:t>Станд</w:t>
            </w:r>
            <w:r w:rsidRPr="0083769A">
              <w:rPr>
                <w:rFonts w:eastAsia="Times New Roman"/>
                <w:bCs/>
                <w:sz w:val="23"/>
                <w:szCs w:val="23"/>
                <w:lang w:val="kk-KZ" w:eastAsia="ru-RU"/>
              </w:rPr>
              <w:t>. о</w:t>
            </w:r>
            <w:r w:rsidRPr="0083769A">
              <w:rPr>
                <w:rFonts w:eastAsia="Times New Roman"/>
                <w:bCs/>
                <w:sz w:val="23"/>
                <w:szCs w:val="23"/>
                <w:lang w:eastAsia="ru-RU"/>
              </w:rPr>
              <w:t>ткл</w:t>
            </w:r>
            <w:r w:rsidRPr="0083769A">
              <w:rPr>
                <w:rFonts w:eastAsia="Times New Roman"/>
                <w:bCs/>
                <w:sz w:val="23"/>
                <w:szCs w:val="23"/>
                <w:lang w:val="kk-KZ" w:eastAsia="ru-RU"/>
              </w:rPr>
              <w:t>.</w:t>
            </w:r>
          </w:p>
        </w:tc>
        <w:tc>
          <w:tcPr>
            <w:tcW w:w="770" w:type="dxa"/>
            <w:vAlign w:val="center"/>
          </w:tcPr>
          <w:p w14:paraId="1DC685F6" w14:textId="77777777" w:rsidR="000C1190" w:rsidRPr="0083769A" w:rsidRDefault="000C1190" w:rsidP="002F33D0">
            <w:pPr>
              <w:ind w:firstLine="0"/>
              <w:jc w:val="center"/>
              <w:rPr>
                <w:rFonts w:eastAsia="Times New Roman"/>
                <w:bCs/>
                <w:sz w:val="23"/>
                <w:szCs w:val="23"/>
                <w:lang w:val="kk-KZ" w:eastAsia="ru-RU"/>
              </w:rPr>
            </w:pPr>
            <w:r w:rsidRPr="0083769A">
              <w:rPr>
                <w:rFonts w:eastAsia="Times New Roman"/>
                <w:bCs/>
                <w:sz w:val="23"/>
                <w:szCs w:val="23"/>
                <w:lang w:eastAsia="ru-RU"/>
              </w:rPr>
              <w:t>Сред</w:t>
            </w:r>
            <w:r w:rsidRPr="0083769A">
              <w:rPr>
                <w:rFonts w:eastAsia="Times New Roman"/>
                <w:bCs/>
                <w:sz w:val="23"/>
                <w:szCs w:val="23"/>
                <w:lang w:val="kk-KZ" w:eastAsia="ru-RU"/>
              </w:rPr>
              <w:t xml:space="preserve">. </w:t>
            </w:r>
            <w:r w:rsidRPr="0083769A">
              <w:rPr>
                <w:rFonts w:eastAsia="Times New Roman"/>
                <w:bCs/>
                <w:sz w:val="23"/>
                <w:szCs w:val="23"/>
                <w:lang w:eastAsia="ru-RU"/>
              </w:rPr>
              <w:t>зн</w:t>
            </w:r>
            <w:r w:rsidRPr="0083769A">
              <w:rPr>
                <w:rFonts w:eastAsia="Times New Roman"/>
                <w:bCs/>
                <w:sz w:val="23"/>
                <w:szCs w:val="23"/>
                <w:lang w:val="kk-KZ" w:eastAsia="ru-RU"/>
              </w:rPr>
              <w:t>.</w:t>
            </w:r>
          </w:p>
        </w:tc>
        <w:tc>
          <w:tcPr>
            <w:tcW w:w="881" w:type="dxa"/>
            <w:vAlign w:val="center"/>
          </w:tcPr>
          <w:p w14:paraId="640DDDF2" w14:textId="77777777" w:rsidR="000C1190" w:rsidRPr="0083769A" w:rsidRDefault="000C1190" w:rsidP="002F33D0">
            <w:pPr>
              <w:ind w:firstLine="0"/>
              <w:jc w:val="center"/>
              <w:rPr>
                <w:rFonts w:eastAsia="Times New Roman"/>
                <w:bCs/>
                <w:sz w:val="23"/>
                <w:szCs w:val="23"/>
                <w:lang w:eastAsia="ru-RU"/>
              </w:rPr>
            </w:pPr>
            <w:r w:rsidRPr="0083769A">
              <w:rPr>
                <w:rFonts w:eastAsia="Times New Roman"/>
                <w:bCs/>
                <w:sz w:val="23"/>
                <w:szCs w:val="23"/>
                <w:lang w:eastAsia="ru-RU"/>
              </w:rPr>
              <w:t>Станд</w:t>
            </w:r>
            <w:r w:rsidRPr="0083769A">
              <w:rPr>
                <w:rFonts w:eastAsia="Times New Roman"/>
                <w:bCs/>
                <w:sz w:val="23"/>
                <w:szCs w:val="23"/>
                <w:lang w:val="kk-KZ" w:eastAsia="ru-RU"/>
              </w:rPr>
              <w:t>. о</w:t>
            </w:r>
            <w:r w:rsidRPr="0083769A">
              <w:rPr>
                <w:rFonts w:eastAsia="Times New Roman"/>
                <w:bCs/>
                <w:sz w:val="23"/>
                <w:szCs w:val="23"/>
                <w:lang w:eastAsia="ru-RU"/>
              </w:rPr>
              <w:t>ткл</w:t>
            </w:r>
            <w:r w:rsidRPr="0083769A">
              <w:rPr>
                <w:rFonts w:eastAsia="Times New Roman"/>
                <w:bCs/>
                <w:sz w:val="23"/>
                <w:szCs w:val="23"/>
                <w:lang w:val="kk-KZ" w:eastAsia="ru-RU"/>
              </w:rPr>
              <w:t>.</w:t>
            </w:r>
          </w:p>
        </w:tc>
        <w:tc>
          <w:tcPr>
            <w:tcW w:w="770" w:type="dxa"/>
            <w:vAlign w:val="center"/>
          </w:tcPr>
          <w:p w14:paraId="030873DF" w14:textId="77777777" w:rsidR="000C1190" w:rsidRPr="0083769A" w:rsidRDefault="000C1190" w:rsidP="002F33D0">
            <w:pPr>
              <w:ind w:firstLine="0"/>
              <w:jc w:val="center"/>
              <w:rPr>
                <w:rFonts w:eastAsia="Times New Roman"/>
                <w:bCs/>
                <w:sz w:val="23"/>
                <w:szCs w:val="23"/>
                <w:lang w:val="kk-KZ" w:eastAsia="ru-RU"/>
              </w:rPr>
            </w:pPr>
            <w:r w:rsidRPr="0083769A">
              <w:rPr>
                <w:rFonts w:eastAsia="Times New Roman"/>
                <w:bCs/>
                <w:sz w:val="23"/>
                <w:szCs w:val="23"/>
                <w:lang w:eastAsia="ru-RU"/>
              </w:rPr>
              <w:t>Сред</w:t>
            </w:r>
            <w:r w:rsidRPr="0083769A">
              <w:rPr>
                <w:rFonts w:eastAsia="Times New Roman"/>
                <w:bCs/>
                <w:sz w:val="23"/>
                <w:szCs w:val="23"/>
                <w:lang w:val="kk-KZ" w:eastAsia="ru-RU"/>
              </w:rPr>
              <w:t xml:space="preserve">. </w:t>
            </w:r>
            <w:r w:rsidRPr="0083769A">
              <w:rPr>
                <w:rFonts w:eastAsia="Times New Roman"/>
                <w:bCs/>
                <w:sz w:val="23"/>
                <w:szCs w:val="23"/>
                <w:lang w:eastAsia="ru-RU"/>
              </w:rPr>
              <w:t>зн</w:t>
            </w:r>
            <w:r w:rsidRPr="0083769A">
              <w:rPr>
                <w:rFonts w:eastAsia="Times New Roman"/>
                <w:bCs/>
                <w:sz w:val="23"/>
                <w:szCs w:val="23"/>
                <w:lang w:val="kk-KZ" w:eastAsia="ru-RU"/>
              </w:rPr>
              <w:t>.</w:t>
            </w:r>
          </w:p>
        </w:tc>
        <w:tc>
          <w:tcPr>
            <w:tcW w:w="881" w:type="dxa"/>
            <w:vAlign w:val="center"/>
          </w:tcPr>
          <w:p w14:paraId="7651D526" w14:textId="77777777" w:rsidR="000C1190" w:rsidRPr="0083769A" w:rsidRDefault="000C1190" w:rsidP="002F33D0">
            <w:pPr>
              <w:ind w:firstLine="0"/>
              <w:jc w:val="center"/>
              <w:rPr>
                <w:rFonts w:eastAsia="Times New Roman"/>
                <w:bCs/>
                <w:sz w:val="23"/>
                <w:szCs w:val="23"/>
                <w:lang w:eastAsia="ru-RU"/>
              </w:rPr>
            </w:pPr>
            <w:r w:rsidRPr="0083769A">
              <w:rPr>
                <w:rFonts w:eastAsia="Times New Roman"/>
                <w:bCs/>
                <w:sz w:val="23"/>
                <w:szCs w:val="23"/>
                <w:lang w:eastAsia="ru-RU"/>
              </w:rPr>
              <w:t>Станд</w:t>
            </w:r>
            <w:r w:rsidRPr="0083769A">
              <w:rPr>
                <w:rFonts w:eastAsia="Times New Roman"/>
                <w:bCs/>
                <w:sz w:val="23"/>
                <w:szCs w:val="23"/>
                <w:lang w:val="kk-KZ" w:eastAsia="ru-RU"/>
              </w:rPr>
              <w:t>. о</w:t>
            </w:r>
            <w:r w:rsidRPr="0083769A">
              <w:rPr>
                <w:rFonts w:eastAsia="Times New Roman"/>
                <w:bCs/>
                <w:sz w:val="23"/>
                <w:szCs w:val="23"/>
                <w:lang w:eastAsia="ru-RU"/>
              </w:rPr>
              <w:t>ткл</w:t>
            </w:r>
            <w:r w:rsidRPr="0083769A">
              <w:rPr>
                <w:rFonts w:eastAsia="Times New Roman"/>
                <w:bCs/>
                <w:sz w:val="23"/>
                <w:szCs w:val="23"/>
                <w:lang w:val="kk-KZ" w:eastAsia="ru-RU"/>
              </w:rPr>
              <w:t>.</w:t>
            </w:r>
          </w:p>
        </w:tc>
      </w:tr>
      <w:tr w:rsidR="000C1190" w:rsidRPr="000C1190" w14:paraId="227C40CF" w14:textId="77777777" w:rsidTr="0083769A">
        <w:tc>
          <w:tcPr>
            <w:tcW w:w="2405" w:type="dxa"/>
          </w:tcPr>
          <w:p w14:paraId="73DBEFEE" w14:textId="77777777" w:rsidR="000C1190" w:rsidRPr="00EE311D" w:rsidRDefault="000C1190" w:rsidP="002F33D0">
            <w:pPr>
              <w:ind w:firstLine="0"/>
              <w:jc w:val="both"/>
              <w:rPr>
                <w:rFonts w:eastAsia="Times New Roman"/>
                <w:sz w:val="22"/>
                <w:lang w:eastAsia="ru-RU"/>
              </w:rPr>
            </w:pPr>
            <w:r w:rsidRPr="00EE311D">
              <w:rPr>
                <w:rFonts w:eastAsia="Times New Roman"/>
                <w:sz w:val="22"/>
                <w:lang w:eastAsia="ru-RU"/>
              </w:rPr>
              <w:t>Система вознаграждений за инновации</w:t>
            </w:r>
          </w:p>
        </w:tc>
        <w:tc>
          <w:tcPr>
            <w:tcW w:w="2270" w:type="dxa"/>
            <w:hideMark/>
          </w:tcPr>
          <w:p w14:paraId="57906B01" w14:textId="77777777" w:rsidR="000C1190" w:rsidRPr="0083769A" w:rsidRDefault="000C1190" w:rsidP="002F33D0">
            <w:pPr>
              <w:ind w:firstLine="0"/>
              <w:jc w:val="both"/>
              <w:rPr>
                <w:rFonts w:eastAsia="Times New Roman"/>
                <w:szCs w:val="24"/>
                <w:lang w:eastAsia="ru-RU"/>
              </w:rPr>
            </w:pPr>
            <w:r w:rsidRPr="0083769A">
              <w:rPr>
                <w:rFonts w:eastAsia="Times New Roman"/>
                <w:szCs w:val="24"/>
                <w:lang w:eastAsia="ru-RU"/>
              </w:rPr>
              <w:t>inno_culture_incentives</w:t>
            </w:r>
          </w:p>
        </w:tc>
        <w:tc>
          <w:tcPr>
            <w:tcW w:w="770" w:type="dxa"/>
            <w:vAlign w:val="center"/>
          </w:tcPr>
          <w:p w14:paraId="5A65F4C8"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0,76</w:t>
            </w:r>
          </w:p>
        </w:tc>
        <w:tc>
          <w:tcPr>
            <w:tcW w:w="881" w:type="dxa"/>
            <w:vAlign w:val="center"/>
          </w:tcPr>
          <w:p w14:paraId="146C7A52"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0,43</w:t>
            </w:r>
          </w:p>
        </w:tc>
        <w:tc>
          <w:tcPr>
            <w:tcW w:w="770" w:type="dxa"/>
            <w:vAlign w:val="center"/>
          </w:tcPr>
          <w:p w14:paraId="209D5137"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0,97</w:t>
            </w:r>
          </w:p>
        </w:tc>
        <w:tc>
          <w:tcPr>
            <w:tcW w:w="881" w:type="dxa"/>
            <w:vAlign w:val="center"/>
          </w:tcPr>
          <w:p w14:paraId="4E417203"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0,17</w:t>
            </w:r>
          </w:p>
        </w:tc>
        <w:tc>
          <w:tcPr>
            <w:tcW w:w="770" w:type="dxa"/>
            <w:vAlign w:val="center"/>
          </w:tcPr>
          <w:p w14:paraId="3FBFBE6C"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0,49</w:t>
            </w:r>
          </w:p>
        </w:tc>
        <w:tc>
          <w:tcPr>
            <w:tcW w:w="881" w:type="dxa"/>
            <w:vAlign w:val="center"/>
          </w:tcPr>
          <w:p w14:paraId="39F90D33"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0,50</w:t>
            </w:r>
          </w:p>
        </w:tc>
      </w:tr>
      <w:tr w:rsidR="000C1190" w:rsidRPr="000C1190" w14:paraId="415DD17A" w14:textId="77777777" w:rsidTr="0083769A">
        <w:tc>
          <w:tcPr>
            <w:tcW w:w="2405" w:type="dxa"/>
          </w:tcPr>
          <w:p w14:paraId="13CF1287" w14:textId="77777777" w:rsidR="000C1190" w:rsidRPr="00EE311D" w:rsidRDefault="000C1190" w:rsidP="002F33D0">
            <w:pPr>
              <w:ind w:firstLine="0"/>
              <w:jc w:val="both"/>
              <w:rPr>
                <w:rFonts w:eastAsia="Times New Roman"/>
                <w:sz w:val="22"/>
                <w:lang w:eastAsia="ru-RU"/>
              </w:rPr>
            </w:pPr>
            <w:r w:rsidRPr="00EE311D">
              <w:rPr>
                <w:rFonts w:eastAsia="Times New Roman"/>
                <w:sz w:val="22"/>
                <w:lang w:eastAsia="ru-RU"/>
              </w:rPr>
              <w:t>Наличие внутренних лабораторий</w:t>
            </w:r>
          </w:p>
        </w:tc>
        <w:tc>
          <w:tcPr>
            <w:tcW w:w="2270" w:type="dxa"/>
            <w:hideMark/>
          </w:tcPr>
          <w:p w14:paraId="0A0689E8" w14:textId="77777777" w:rsidR="000C1190" w:rsidRPr="0083769A" w:rsidRDefault="000C1190" w:rsidP="002F33D0">
            <w:pPr>
              <w:ind w:firstLine="0"/>
              <w:jc w:val="both"/>
              <w:rPr>
                <w:rFonts w:eastAsia="Times New Roman"/>
                <w:szCs w:val="24"/>
                <w:lang w:eastAsia="ru-RU"/>
              </w:rPr>
            </w:pPr>
            <w:r w:rsidRPr="0083769A">
              <w:rPr>
                <w:rFonts w:eastAsia="Times New Roman"/>
                <w:szCs w:val="24"/>
                <w:lang w:eastAsia="ru-RU"/>
              </w:rPr>
              <w:t>inno_culture_labs</w:t>
            </w:r>
          </w:p>
        </w:tc>
        <w:tc>
          <w:tcPr>
            <w:tcW w:w="770" w:type="dxa"/>
            <w:vAlign w:val="center"/>
          </w:tcPr>
          <w:p w14:paraId="37E539FC"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0,84</w:t>
            </w:r>
          </w:p>
        </w:tc>
        <w:tc>
          <w:tcPr>
            <w:tcW w:w="881" w:type="dxa"/>
            <w:vAlign w:val="center"/>
          </w:tcPr>
          <w:p w14:paraId="6FEE54EE"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0,37</w:t>
            </w:r>
          </w:p>
        </w:tc>
        <w:tc>
          <w:tcPr>
            <w:tcW w:w="770" w:type="dxa"/>
            <w:vAlign w:val="center"/>
          </w:tcPr>
          <w:p w14:paraId="253D2D3E"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0,65</w:t>
            </w:r>
          </w:p>
        </w:tc>
        <w:tc>
          <w:tcPr>
            <w:tcW w:w="881" w:type="dxa"/>
            <w:vAlign w:val="center"/>
          </w:tcPr>
          <w:p w14:paraId="36FD63E3"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0,48</w:t>
            </w:r>
          </w:p>
        </w:tc>
        <w:tc>
          <w:tcPr>
            <w:tcW w:w="770" w:type="dxa"/>
            <w:vAlign w:val="center"/>
          </w:tcPr>
          <w:p w14:paraId="31EDD66E"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0,80</w:t>
            </w:r>
          </w:p>
        </w:tc>
        <w:tc>
          <w:tcPr>
            <w:tcW w:w="881" w:type="dxa"/>
            <w:vAlign w:val="center"/>
          </w:tcPr>
          <w:p w14:paraId="0C480112"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0,40</w:t>
            </w:r>
          </w:p>
        </w:tc>
      </w:tr>
      <w:tr w:rsidR="000C1190" w:rsidRPr="000C1190" w14:paraId="58DE6596" w14:textId="77777777" w:rsidTr="0083769A">
        <w:tc>
          <w:tcPr>
            <w:tcW w:w="2405" w:type="dxa"/>
          </w:tcPr>
          <w:p w14:paraId="473A092A" w14:textId="77777777" w:rsidR="000C1190" w:rsidRPr="00EE311D" w:rsidRDefault="000C1190" w:rsidP="002F33D0">
            <w:pPr>
              <w:ind w:firstLine="0"/>
              <w:jc w:val="both"/>
              <w:rPr>
                <w:rFonts w:eastAsia="Times New Roman"/>
                <w:sz w:val="22"/>
                <w:lang w:eastAsia="ru-RU"/>
              </w:rPr>
            </w:pPr>
            <w:r w:rsidRPr="00EE311D">
              <w:rPr>
                <w:rFonts w:eastAsia="Times New Roman"/>
                <w:sz w:val="22"/>
                <w:lang w:eastAsia="ru-RU"/>
              </w:rPr>
              <w:t>Обмен знаниями между сотрудниками</w:t>
            </w:r>
          </w:p>
        </w:tc>
        <w:tc>
          <w:tcPr>
            <w:tcW w:w="2270" w:type="dxa"/>
            <w:hideMark/>
          </w:tcPr>
          <w:p w14:paraId="187E73EA" w14:textId="77777777" w:rsidR="000C1190" w:rsidRPr="0083769A" w:rsidRDefault="000C1190" w:rsidP="002F33D0">
            <w:pPr>
              <w:ind w:firstLine="0"/>
              <w:jc w:val="both"/>
              <w:rPr>
                <w:rFonts w:eastAsia="Times New Roman"/>
                <w:szCs w:val="24"/>
                <w:lang w:eastAsia="ru-RU"/>
              </w:rPr>
            </w:pPr>
            <w:r w:rsidRPr="0083769A">
              <w:rPr>
                <w:rFonts w:eastAsia="Times New Roman"/>
                <w:szCs w:val="24"/>
                <w:lang w:eastAsia="ru-RU"/>
              </w:rPr>
              <w:t>inno_culture_knowledge</w:t>
            </w:r>
          </w:p>
        </w:tc>
        <w:tc>
          <w:tcPr>
            <w:tcW w:w="770" w:type="dxa"/>
            <w:vAlign w:val="center"/>
          </w:tcPr>
          <w:p w14:paraId="4631A1D0"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0,67</w:t>
            </w:r>
          </w:p>
        </w:tc>
        <w:tc>
          <w:tcPr>
            <w:tcW w:w="881" w:type="dxa"/>
            <w:vAlign w:val="center"/>
          </w:tcPr>
          <w:p w14:paraId="79197F2D"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0,47</w:t>
            </w:r>
          </w:p>
        </w:tc>
        <w:tc>
          <w:tcPr>
            <w:tcW w:w="770" w:type="dxa"/>
            <w:vAlign w:val="center"/>
          </w:tcPr>
          <w:p w14:paraId="6230E0A6"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0,67</w:t>
            </w:r>
          </w:p>
        </w:tc>
        <w:tc>
          <w:tcPr>
            <w:tcW w:w="881" w:type="dxa"/>
            <w:vAlign w:val="center"/>
          </w:tcPr>
          <w:p w14:paraId="08273186"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0,47</w:t>
            </w:r>
          </w:p>
        </w:tc>
        <w:tc>
          <w:tcPr>
            <w:tcW w:w="770" w:type="dxa"/>
            <w:vAlign w:val="center"/>
          </w:tcPr>
          <w:p w14:paraId="62A3A6C3"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0,77</w:t>
            </w:r>
          </w:p>
        </w:tc>
        <w:tc>
          <w:tcPr>
            <w:tcW w:w="881" w:type="dxa"/>
            <w:vAlign w:val="center"/>
          </w:tcPr>
          <w:p w14:paraId="3B4172D0"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0,42</w:t>
            </w:r>
          </w:p>
        </w:tc>
      </w:tr>
      <w:tr w:rsidR="000C1190" w:rsidRPr="000C1190" w14:paraId="11133FB1" w14:textId="77777777" w:rsidTr="0083769A">
        <w:tc>
          <w:tcPr>
            <w:tcW w:w="2405" w:type="dxa"/>
          </w:tcPr>
          <w:p w14:paraId="66EC0508" w14:textId="77777777" w:rsidR="000C1190" w:rsidRPr="00EE311D" w:rsidRDefault="000C1190" w:rsidP="002F33D0">
            <w:pPr>
              <w:ind w:firstLine="0"/>
              <w:jc w:val="both"/>
              <w:rPr>
                <w:rFonts w:eastAsia="Times New Roman"/>
                <w:sz w:val="22"/>
                <w:lang w:eastAsia="ru-RU"/>
              </w:rPr>
            </w:pPr>
            <w:r w:rsidRPr="00EE311D">
              <w:rPr>
                <w:rFonts w:eastAsia="Times New Roman"/>
                <w:sz w:val="22"/>
                <w:lang w:eastAsia="ru-RU"/>
              </w:rPr>
              <w:t>Использование гибких методологий (Agile, Scrum и др.)</w:t>
            </w:r>
          </w:p>
        </w:tc>
        <w:tc>
          <w:tcPr>
            <w:tcW w:w="2270" w:type="dxa"/>
          </w:tcPr>
          <w:p w14:paraId="0789E012" w14:textId="77777777" w:rsidR="000C1190" w:rsidRPr="0083769A" w:rsidRDefault="000C1190" w:rsidP="002F33D0">
            <w:pPr>
              <w:ind w:firstLine="0"/>
              <w:jc w:val="both"/>
              <w:rPr>
                <w:rFonts w:eastAsia="Times New Roman"/>
                <w:szCs w:val="24"/>
                <w:lang w:eastAsia="ru-RU"/>
              </w:rPr>
            </w:pPr>
            <w:r w:rsidRPr="0083769A">
              <w:rPr>
                <w:rFonts w:eastAsia="Times New Roman"/>
                <w:szCs w:val="24"/>
                <w:lang w:eastAsia="ru-RU"/>
              </w:rPr>
              <w:t>inno_culture_flexmethods</w:t>
            </w:r>
          </w:p>
        </w:tc>
        <w:tc>
          <w:tcPr>
            <w:tcW w:w="770" w:type="dxa"/>
            <w:vAlign w:val="center"/>
          </w:tcPr>
          <w:p w14:paraId="4F65D60D"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0,63</w:t>
            </w:r>
          </w:p>
        </w:tc>
        <w:tc>
          <w:tcPr>
            <w:tcW w:w="881" w:type="dxa"/>
            <w:vAlign w:val="center"/>
          </w:tcPr>
          <w:p w14:paraId="10D17D74"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0,49</w:t>
            </w:r>
          </w:p>
        </w:tc>
        <w:tc>
          <w:tcPr>
            <w:tcW w:w="770" w:type="dxa"/>
            <w:vAlign w:val="center"/>
          </w:tcPr>
          <w:p w14:paraId="4FC67E9E"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0,68</w:t>
            </w:r>
          </w:p>
        </w:tc>
        <w:tc>
          <w:tcPr>
            <w:tcW w:w="881" w:type="dxa"/>
            <w:vAlign w:val="center"/>
          </w:tcPr>
          <w:p w14:paraId="0CF44513"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0,47</w:t>
            </w:r>
          </w:p>
        </w:tc>
        <w:tc>
          <w:tcPr>
            <w:tcW w:w="770" w:type="dxa"/>
            <w:vAlign w:val="center"/>
          </w:tcPr>
          <w:p w14:paraId="120A9CEF"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0,79</w:t>
            </w:r>
          </w:p>
        </w:tc>
        <w:tc>
          <w:tcPr>
            <w:tcW w:w="881" w:type="dxa"/>
            <w:vAlign w:val="center"/>
          </w:tcPr>
          <w:p w14:paraId="3C3324B0"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0,41</w:t>
            </w:r>
          </w:p>
        </w:tc>
      </w:tr>
      <w:tr w:rsidR="000C1190" w:rsidRPr="000C1190" w14:paraId="211C4D78" w14:textId="77777777" w:rsidTr="0083769A">
        <w:tc>
          <w:tcPr>
            <w:tcW w:w="2405" w:type="dxa"/>
          </w:tcPr>
          <w:p w14:paraId="2A7F3548" w14:textId="77777777" w:rsidR="000C1190" w:rsidRPr="00EE311D" w:rsidRDefault="000C1190" w:rsidP="002F33D0">
            <w:pPr>
              <w:ind w:firstLine="0"/>
              <w:jc w:val="both"/>
              <w:rPr>
                <w:rFonts w:eastAsia="Times New Roman"/>
                <w:sz w:val="22"/>
                <w:lang w:eastAsia="ru-RU"/>
              </w:rPr>
            </w:pPr>
            <w:r w:rsidRPr="00EE311D">
              <w:rPr>
                <w:rFonts w:eastAsia="Times New Roman"/>
                <w:sz w:val="22"/>
                <w:lang w:eastAsia="ru-RU"/>
              </w:rPr>
              <w:t>Доступ к современным технологиям</w:t>
            </w:r>
          </w:p>
        </w:tc>
        <w:tc>
          <w:tcPr>
            <w:tcW w:w="2270" w:type="dxa"/>
          </w:tcPr>
          <w:p w14:paraId="6D2BC5AC" w14:textId="77777777" w:rsidR="000C1190" w:rsidRPr="0083769A" w:rsidRDefault="000C1190" w:rsidP="002F33D0">
            <w:pPr>
              <w:ind w:firstLine="0"/>
              <w:jc w:val="both"/>
              <w:rPr>
                <w:rFonts w:eastAsia="Times New Roman"/>
                <w:szCs w:val="24"/>
                <w:lang w:eastAsia="ru-RU"/>
              </w:rPr>
            </w:pPr>
            <w:r w:rsidRPr="0083769A">
              <w:rPr>
                <w:rFonts w:eastAsia="Times New Roman"/>
                <w:szCs w:val="24"/>
                <w:lang w:eastAsia="ru-RU"/>
              </w:rPr>
              <w:t>inno_culture_techaccess</w:t>
            </w:r>
          </w:p>
        </w:tc>
        <w:tc>
          <w:tcPr>
            <w:tcW w:w="770" w:type="dxa"/>
            <w:vAlign w:val="center"/>
          </w:tcPr>
          <w:p w14:paraId="434B525E"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0,84</w:t>
            </w:r>
          </w:p>
        </w:tc>
        <w:tc>
          <w:tcPr>
            <w:tcW w:w="881" w:type="dxa"/>
            <w:vAlign w:val="center"/>
          </w:tcPr>
          <w:p w14:paraId="3BA3B5CB"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0,37</w:t>
            </w:r>
          </w:p>
        </w:tc>
        <w:tc>
          <w:tcPr>
            <w:tcW w:w="770" w:type="dxa"/>
            <w:vAlign w:val="center"/>
          </w:tcPr>
          <w:p w14:paraId="1281F7D4"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0,68</w:t>
            </w:r>
          </w:p>
        </w:tc>
        <w:tc>
          <w:tcPr>
            <w:tcW w:w="881" w:type="dxa"/>
            <w:vAlign w:val="center"/>
          </w:tcPr>
          <w:p w14:paraId="1F0D33A5"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0,47</w:t>
            </w:r>
          </w:p>
        </w:tc>
        <w:tc>
          <w:tcPr>
            <w:tcW w:w="770" w:type="dxa"/>
            <w:vAlign w:val="center"/>
          </w:tcPr>
          <w:p w14:paraId="5882FA2F"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0,89</w:t>
            </w:r>
          </w:p>
        </w:tc>
        <w:tc>
          <w:tcPr>
            <w:tcW w:w="881" w:type="dxa"/>
            <w:vAlign w:val="center"/>
          </w:tcPr>
          <w:p w14:paraId="33C4D496"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0,32</w:t>
            </w:r>
          </w:p>
        </w:tc>
      </w:tr>
      <w:tr w:rsidR="000C1190" w:rsidRPr="000C1190" w14:paraId="47E2D757" w14:textId="77777777" w:rsidTr="0083769A">
        <w:tc>
          <w:tcPr>
            <w:tcW w:w="2405" w:type="dxa"/>
          </w:tcPr>
          <w:p w14:paraId="55D4B94D" w14:textId="77777777" w:rsidR="000C1190" w:rsidRPr="00EE311D" w:rsidRDefault="000C1190" w:rsidP="002F33D0">
            <w:pPr>
              <w:ind w:firstLine="0"/>
              <w:jc w:val="both"/>
              <w:rPr>
                <w:rFonts w:eastAsia="Times New Roman"/>
                <w:sz w:val="22"/>
                <w:lang w:eastAsia="ru-RU"/>
              </w:rPr>
            </w:pPr>
            <w:r w:rsidRPr="00EE311D">
              <w:rPr>
                <w:rFonts w:eastAsia="Times New Roman"/>
                <w:sz w:val="22"/>
                <w:lang w:eastAsia="ru-RU"/>
              </w:rPr>
              <w:t>Создание открытой инновационной среды</w:t>
            </w:r>
          </w:p>
        </w:tc>
        <w:tc>
          <w:tcPr>
            <w:tcW w:w="2270" w:type="dxa"/>
          </w:tcPr>
          <w:p w14:paraId="5CD5AE77" w14:textId="77777777" w:rsidR="000C1190" w:rsidRPr="0083769A" w:rsidRDefault="000C1190" w:rsidP="002F33D0">
            <w:pPr>
              <w:ind w:firstLine="0"/>
              <w:jc w:val="both"/>
              <w:rPr>
                <w:rFonts w:eastAsia="Times New Roman"/>
                <w:szCs w:val="24"/>
                <w:lang w:eastAsia="ru-RU"/>
              </w:rPr>
            </w:pPr>
            <w:r w:rsidRPr="0083769A">
              <w:rPr>
                <w:rFonts w:eastAsia="Times New Roman"/>
                <w:szCs w:val="24"/>
                <w:lang w:eastAsia="ru-RU"/>
              </w:rPr>
              <w:t>inno_culture_openenv</w:t>
            </w:r>
          </w:p>
        </w:tc>
        <w:tc>
          <w:tcPr>
            <w:tcW w:w="770" w:type="dxa"/>
            <w:vAlign w:val="center"/>
          </w:tcPr>
          <w:p w14:paraId="0C92EFDD"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0,80</w:t>
            </w:r>
          </w:p>
        </w:tc>
        <w:tc>
          <w:tcPr>
            <w:tcW w:w="881" w:type="dxa"/>
            <w:vAlign w:val="center"/>
          </w:tcPr>
          <w:p w14:paraId="7C08A296"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0,41</w:t>
            </w:r>
          </w:p>
        </w:tc>
        <w:tc>
          <w:tcPr>
            <w:tcW w:w="770" w:type="dxa"/>
            <w:vAlign w:val="center"/>
          </w:tcPr>
          <w:p w14:paraId="72524242"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0,67</w:t>
            </w:r>
          </w:p>
        </w:tc>
        <w:tc>
          <w:tcPr>
            <w:tcW w:w="881" w:type="dxa"/>
            <w:vAlign w:val="center"/>
          </w:tcPr>
          <w:p w14:paraId="58C4E239"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0,47</w:t>
            </w:r>
          </w:p>
        </w:tc>
        <w:tc>
          <w:tcPr>
            <w:tcW w:w="770" w:type="dxa"/>
            <w:vAlign w:val="center"/>
          </w:tcPr>
          <w:p w14:paraId="1427957A" w14:textId="77777777" w:rsidR="000C1190" w:rsidRPr="0083769A" w:rsidRDefault="000C1190" w:rsidP="002F33D0">
            <w:pPr>
              <w:ind w:firstLine="0"/>
              <w:jc w:val="center"/>
              <w:rPr>
                <w:rFonts w:eastAsia="Times New Roman"/>
                <w:szCs w:val="24"/>
                <w:lang w:eastAsia="ru-RU"/>
              </w:rPr>
            </w:pPr>
            <w:r w:rsidRPr="0083769A">
              <w:rPr>
                <w:rFonts w:eastAsia="Times New Roman"/>
                <w:szCs w:val="24"/>
                <w:lang w:val="kk-KZ" w:eastAsia="ru-RU"/>
              </w:rPr>
              <w:t>0,77</w:t>
            </w:r>
          </w:p>
        </w:tc>
        <w:tc>
          <w:tcPr>
            <w:tcW w:w="881" w:type="dxa"/>
            <w:vAlign w:val="center"/>
          </w:tcPr>
          <w:p w14:paraId="4D9E2AF5"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0,42</w:t>
            </w:r>
          </w:p>
        </w:tc>
      </w:tr>
      <w:tr w:rsidR="000C1190" w:rsidRPr="000C1190" w14:paraId="25DB74AC" w14:textId="77777777" w:rsidTr="0083769A">
        <w:tc>
          <w:tcPr>
            <w:tcW w:w="2405" w:type="dxa"/>
          </w:tcPr>
          <w:p w14:paraId="646BF261" w14:textId="77777777" w:rsidR="000C1190" w:rsidRPr="00EE311D" w:rsidRDefault="000C1190" w:rsidP="002F33D0">
            <w:pPr>
              <w:ind w:firstLine="0"/>
              <w:jc w:val="both"/>
              <w:rPr>
                <w:rFonts w:eastAsia="Times New Roman"/>
                <w:sz w:val="22"/>
                <w:lang w:eastAsia="ru-RU"/>
              </w:rPr>
            </w:pPr>
            <w:r w:rsidRPr="00EE311D">
              <w:rPr>
                <w:rFonts w:eastAsia="Times New Roman"/>
                <w:sz w:val="22"/>
                <w:lang w:eastAsia="ru-RU"/>
              </w:rPr>
              <w:t>Проведение инновационных тренингов</w:t>
            </w:r>
          </w:p>
        </w:tc>
        <w:tc>
          <w:tcPr>
            <w:tcW w:w="2270" w:type="dxa"/>
          </w:tcPr>
          <w:p w14:paraId="1C3E61E9" w14:textId="77777777" w:rsidR="000C1190" w:rsidRPr="0083769A" w:rsidRDefault="000C1190" w:rsidP="002F33D0">
            <w:pPr>
              <w:ind w:firstLine="0"/>
              <w:jc w:val="both"/>
              <w:rPr>
                <w:rFonts w:eastAsia="Times New Roman"/>
                <w:szCs w:val="24"/>
                <w:lang w:eastAsia="ru-RU"/>
              </w:rPr>
            </w:pPr>
            <w:r w:rsidRPr="0083769A">
              <w:rPr>
                <w:rFonts w:eastAsia="Times New Roman"/>
                <w:szCs w:val="24"/>
                <w:lang w:eastAsia="ru-RU"/>
              </w:rPr>
              <w:t>inno_culture_training</w:t>
            </w:r>
          </w:p>
        </w:tc>
        <w:tc>
          <w:tcPr>
            <w:tcW w:w="770" w:type="dxa"/>
            <w:vAlign w:val="center"/>
          </w:tcPr>
          <w:p w14:paraId="203EE5FD"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0,69</w:t>
            </w:r>
          </w:p>
        </w:tc>
        <w:tc>
          <w:tcPr>
            <w:tcW w:w="881" w:type="dxa"/>
            <w:vAlign w:val="center"/>
          </w:tcPr>
          <w:p w14:paraId="2809D32F"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0,47</w:t>
            </w:r>
          </w:p>
        </w:tc>
        <w:tc>
          <w:tcPr>
            <w:tcW w:w="770" w:type="dxa"/>
            <w:vAlign w:val="center"/>
          </w:tcPr>
          <w:p w14:paraId="1BF7755D"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0,67</w:t>
            </w:r>
          </w:p>
        </w:tc>
        <w:tc>
          <w:tcPr>
            <w:tcW w:w="881" w:type="dxa"/>
            <w:vAlign w:val="center"/>
          </w:tcPr>
          <w:p w14:paraId="7F5E289A"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0,47</w:t>
            </w:r>
          </w:p>
        </w:tc>
        <w:tc>
          <w:tcPr>
            <w:tcW w:w="770" w:type="dxa"/>
            <w:vAlign w:val="center"/>
          </w:tcPr>
          <w:p w14:paraId="5A48A882"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0,83</w:t>
            </w:r>
          </w:p>
        </w:tc>
        <w:tc>
          <w:tcPr>
            <w:tcW w:w="881" w:type="dxa"/>
            <w:vAlign w:val="center"/>
          </w:tcPr>
          <w:p w14:paraId="30757A24"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0,38</w:t>
            </w:r>
          </w:p>
        </w:tc>
      </w:tr>
      <w:tr w:rsidR="000C1190" w:rsidRPr="000C1190" w14:paraId="3F6EC319" w14:textId="77777777" w:rsidTr="0083769A">
        <w:tc>
          <w:tcPr>
            <w:tcW w:w="2405" w:type="dxa"/>
          </w:tcPr>
          <w:p w14:paraId="6F17A9CC" w14:textId="77777777" w:rsidR="000C1190" w:rsidRPr="00EE311D" w:rsidRDefault="000C1190" w:rsidP="002F33D0">
            <w:pPr>
              <w:ind w:firstLine="0"/>
              <w:jc w:val="both"/>
              <w:rPr>
                <w:rFonts w:eastAsia="Times New Roman"/>
                <w:sz w:val="22"/>
                <w:lang w:eastAsia="ru-RU"/>
              </w:rPr>
            </w:pPr>
            <w:r w:rsidRPr="00EE311D">
              <w:rPr>
                <w:rFonts w:eastAsia="Times New Roman"/>
                <w:sz w:val="22"/>
                <w:lang w:eastAsia="ru-RU"/>
              </w:rPr>
              <w:t>Внешнее сотрудничество в сфере инноваций</w:t>
            </w:r>
          </w:p>
        </w:tc>
        <w:tc>
          <w:tcPr>
            <w:tcW w:w="2270" w:type="dxa"/>
          </w:tcPr>
          <w:p w14:paraId="79D9E39A" w14:textId="77777777" w:rsidR="000C1190" w:rsidRPr="0083769A" w:rsidRDefault="000C1190" w:rsidP="002F33D0">
            <w:pPr>
              <w:ind w:firstLine="0"/>
              <w:jc w:val="both"/>
              <w:rPr>
                <w:rFonts w:eastAsia="Times New Roman"/>
                <w:szCs w:val="24"/>
                <w:lang w:eastAsia="ru-RU"/>
              </w:rPr>
            </w:pPr>
            <w:r w:rsidRPr="0083769A">
              <w:rPr>
                <w:rFonts w:eastAsia="Times New Roman"/>
                <w:szCs w:val="24"/>
                <w:lang w:eastAsia="ru-RU"/>
              </w:rPr>
              <w:t>inno_culture_externalcollab</w:t>
            </w:r>
          </w:p>
        </w:tc>
        <w:tc>
          <w:tcPr>
            <w:tcW w:w="770" w:type="dxa"/>
            <w:vAlign w:val="center"/>
          </w:tcPr>
          <w:p w14:paraId="36FD8BBF"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0,81</w:t>
            </w:r>
          </w:p>
        </w:tc>
        <w:tc>
          <w:tcPr>
            <w:tcW w:w="881" w:type="dxa"/>
            <w:vAlign w:val="center"/>
          </w:tcPr>
          <w:p w14:paraId="37E70185"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0,39</w:t>
            </w:r>
          </w:p>
        </w:tc>
        <w:tc>
          <w:tcPr>
            <w:tcW w:w="770" w:type="dxa"/>
            <w:vAlign w:val="center"/>
          </w:tcPr>
          <w:p w14:paraId="34320AB5"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0,72</w:t>
            </w:r>
          </w:p>
        </w:tc>
        <w:tc>
          <w:tcPr>
            <w:tcW w:w="881" w:type="dxa"/>
            <w:vAlign w:val="center"/>
          </w:tcPr>
          <w:p w14:paraId="7ED18EDA"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0,45</w:t>
            </w:r>
          </w:p>
        </w:tc>
        <w:tc>
          <w:tcPr>
            <w:tcW w:w="770" w:type="dxa"/>
            <w:vAlign w:val="center"/>
          </w:tcPr>
          <w:p w14:paraId="48623DE0"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0,83</w:t>
            </w:r>
          </w:p>
        </w:tc>
        <w:tc>
          <w:tcPr>
            <w:tcW w:w="881" w:type="dxa"/>
            <w:vAlign w:val="center"/>
          </w:tcPr>
          <w:p w14:paraId="7BEC9DCD"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0,37</w:t>
            </w:r>
          </w:p>
        </w:tc>
      </w:tr>
      <w:tr w:rsidR="000C1190" w:rsidRPr="000C1190" w14:paraId="2C7490ED" w14:textId="77777777" w:rsidTr="0083769A">
        <w:tc>
          <w:tcPr>
            <w:tcW w:w="2405" w:type="dxa"/>
          </w:tcPr>
          <w:p w14:paraId="173F7937" w14:textId="77777777" w:rsidR="000C1190" w:rsidRPr="00EE311D" w:rsidRDefault="000C1190" w:rsidP="002F33D0">
            <w:pPr>
              <w:ind w:firstLine="0"/>
              <w:jc w:val="both"/>
              <w:rPr>
                <w:rFonts w:eastAsia="Times New Roman"/>
                <w:sz w:val="22"/>
                <w:lang w:eastAsia="ru-RU"/>
              </w:rPr>
            </w:pPr>
            <w:r w:rsidRPr="00EE311D">
              <w:rPr>
                <w:rFonts w:eastAsia="Times New Roman"/>
                <w:sz w:val="22"/>
                <w:lang w:eastAsia="ru-RU"/>
              </w:rPr>
              <w:t>Наличие обратной связи и участие сотрудников в принятии решений</w:t>
            </w:r>
          </w:p>
        </w:tc>
        <w:tc>
          <w:tcPr>
            <w:tcW w:w="2270" w:type="dxa"/>
          </w:tcPr>
          <w:p w14:paraId="7919F25E" w14:textId="77777777" w:rsidR="000C1190" w:rsidRPr="0083769A" w:rsidRDefault="000C1190" w:rsidP="002F33D0">
            <w:pPr>
              <w:ind w:firstLine="0"/>
              <w:jc w:val="both"/>
              <w:rPr>
                <w:rFonts w:eastAsia="Times New Roman"/>
                <w:szCs w:val="24"/>
                <w:lang w:eastAsia="ru-RU"/>
              </w:rPr>
            </w:pPr>
            <w:r w:rsidRPr="0083769A">
              <w:rPr>
                <w:rFonts w:eastAsia="Times New Roman"/>
                <w:szCs w:val="24"/>
                <w:lang w:eastAsia="ru-RU"/>
              </w:rPr>
              <w:t>inno_culture_feedback</w:t>
            </w:r>
          </w:p>
        </w:tc>
        <w:tc>
          <w:tcPr>
            <w:tcW w:w="770" w:type="dxa"/>
            <w:vAlign w:val="center"/>
          </w:tcPr>
          <w:p w14:paraId="7373F39C"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0,69</w:t>
            </w:r>
          </w:p>
        </w:tc>
        <w:tc>
          <w:tcPr>
            <w:tcW w:w="881" w:type="dxa"/>
            <w:vAlign w:val="center"/>
          </w:tcPr>
          <w:p w14:paraId="4255A46D"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0,47</w:t>
            </w:r>
          </w:p>
        </w:tc>
        <w:tc>
          <w:tcPr>
            <w:tcW w:w="770" w:type="dxa"/>
            <w:vAlign w:val="center"/>
          </w:tcPr>
          <w:p w14:paraId="6A91D412"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0,68</w:t>
            </w:r>
          </w:p>
        </w:tc>
        <w:tc>
          <w:tcPr>
            <w:tcW w:w="881" w:type="dxa"/>
            <w:vAlign w:val="center"/>
          </w:tcPr>
          <w:p w14:paraId="778194A5"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0,47</w:t>
            </w:r>
          </w:p>
        </w:tc>
        <w:tc>
          <w:tcPr>
            <w:tcW w:w="770" w:type="dxa"/>
            <w:vAlign w:val="center"/>
          </w:tcPr>
          <w:p w14:paraId="4130838A"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0,81</w:t>
            </w:r>
          </w:p>
        </w:tc>
        <w:tc>
          <w:tcPr>
            <w:tcW w:w="881" w:type="dxa"/>
            <w:vAlign w:val="center"/>
          </w:tcPr>
          <w:p w14:paraId="7D3319E0" w14:textId="77777777" w:rsidR="000C1190" w:rsidRPr="0083769A" w:rsidRDefault="000C1190" w:rsidP="002F33D0">
            <w:pPr>
              <w:ind w:firstLine="0"/>
              <w:jc w:val="center"/>
              <w:rPr>
                <w:rFonts w:eastAsia="Times New Roman"/>
                <w:szCs w:val="24"/>
                <w:lang w:val="kk-KZ" w:eastAsia="ru-RU"/>
              </w:rPr>
            </w:pPr>
            <w:r w:rsidRPr="0083769A">
              <w:rPr>
                <w:rFonts w:eastAsia="Times New Roman"/>
                <w:szCs w:val="24"/>
                <w:lang w:val="kk-KZ" w:eastAsia="ru-RU"/>
              </w:rPr>
              <w:t>0,40</w:t>
            </w:r>
          </w:p>
        </w:tc>
      </w:tr>
      <w:tr w:rsidR="000C1190" w:rsidRPr="000C1190" w14:paraId="0B5AD06C" w14:textId="77777777" w:rsidTr="0083769A">
        <w:tc>
          <w:tcPr>
            <w:tcW w:w="9628" w:type="dxa"/>
            <w:gridSpan w:val="8"/>
          </w:tcPr>
          <w:p w14:paraId="0EE892F7" w14:textId="402301FD" w:rsidR="000C1190" w:rsidRPr="0083769A" w:rsidRDefault="00122E31" w:rsidP="000F3C80">
            <w:pPr>
              <w:ind w:firstLine="459"/>
              <w:jc w:val="both"/>
              <w:rPr>
                <w:rFonts w:eastAsia="Times New Roman"/>
                <w:szCs w:val="24"/>
                <w:lang w:val="kk-KZ" w:eastAsia="ru-RU"/>
              </w:rPr>
            </w:pPr>
            <w:r w:rsidRPr="003F0E8F">
              <w:rPr>
                <w:rFonts w:eastAsia="Times New Roman"/>
                <w:sz w:val="22"/>
                <w:szCs w:val="24"/>
                <w:lang w:val="kk-KZ" w:eastAsia="ru-RU"/>
              </w:rPr>
              <w:t xml:space="preserve">Примечание – </w:t>
            </w:r>
            <w:r w:rsidR="000F3C80">
              <w:rPr>
                <w:rFonts w:eastAsia="Times New Roman"/>
                <w:sz w:val="22"/>
                <w:szCs w:val="24"/>
                <w:lang w:val="kk-KZ" w:eastAsia="ru-RU"/>
              </w:rPr>
              <w:t>С</w:t>
            </w:r>
            <w:r w:rsidR="000C1190" w:rsidRPr="003F0E8F">
              <w:rPr>
                <w:rFonts w:eastAsia="Times New Roman"/>
                <w:sz w:val="22"/>
                <w:szCs w:val="24"/>
                <w:lang w:val="kk-KZ" w:eastAsia="ru-RU"/>
              </w:rPr>
              <w:t xml:space="preserve">оставлено автором </w:t>
            </w:r>
          </w:p>
        </w:tc>
      </w:tr>
    </w:tbl>
    <w:p w14:paraId="35FA65AC"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p>
    <w:p w14:paraId="4E1702CC"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В то же время у средних и особенно малых предприятий фиксируется более неравномерное распределение показателей: отдельные практики, такие как проведение инновационных тренингов и использование гибких методологий, распространены значительно менее активно.</w:t>
      </w:r>
    </w:p>
    <w:p w14:paraId="63D325DF"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Значения стандартного отклонения демонстрируют умеренное внутригрупповое варьирование, наиболее выраженное в группе крупных предприятий, что указывает на неоднородность даже среди формально устойчивых структур и различия в глубине институционализации инновационной культуры.</w:t>
      </w:r>
    </w:p>
    <w:p w14:paraId="66EF8124" w14:textId="0A46C63B"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Для проверки статистических предпосылок была проведена оценка нормальности распределения переменных с использованием критерия Шапиро–Уилка.</w:t>
      </w:r>
      <w:r w:rsidR="0083769A">
        <w:rPr>
          <w:rFonts w:ascii="Times New Roman" w:hAnsi="Times New Roman" w:cs="Times New Roman"/>
          <w:sz w:val="28"/>
          <w:szCs w:val="28"/>
          <w:lang w:val="kk-KZ"/>
        </w:rPr>
        <w:t xml:space="preserve"> </w:t>
      </w:r>
      <w:r w:rsidRPr="000C1190">
        <w:rPr>
          <w:rFonts w:ascii="Times New Roman" w:hAnsi="Times New Roman" w:cs="Times New Roman"/>
          <w:sz w:val="28"/>
          <w:szCs w:val="28"/>
        </w:rPr>
        <w:t xml:space="preserve">Во всех группах предприятий значения p оказались статистически значимыми (p </w:t>
      </w:r>
      <w:r w:rsidR="0083769A" w:rsidRPr="000C1190">
        <w:rPr>
          <w:rFonts w:ascii="Times New Roman" w:hAnsi="Times New Roman" w:cs="Times New Roman"/>
          <w:sz w:val="28"/>
          <w:szCs w:val="28"/>
        </w:rPr>
        <w:t>&lt;0</w:t>
      </w:r>
      <w:r w:rsidR="0083769A">
        <w:rPr>
          <w:rFonts w:ascii="Times New Roman" w:hAnsi="Times New Roman" w:cs="Times New Roman"/>
          <w:sz w:val="28"/>
          <w:szCs w:val="28"/>
          <w:lang w:val="kk-KZ"/>
        </w:rPr>
        <w:t>,</w:t>
      </w:r>
      <w:r w:rsidR="0083769A" w:rsidRPr="000C1190">
        <w:rPr>
          <w:rFonts w:ascii="Times New Roman" w:hAnsi="Times New Roman" w:cs="Times New Roman"/>
          <w:sz w:val="28"/>
          <w:szCs w:val="28"/>
        </w:rPr>
        <w:t>001</w:t>
      </w:r>
      <w:r w:rsidRPr="000C1190">
        <w:rPr>
          <w:rFonts w:ascii="Times New Roman" w:hAnsi="Times New Roman" w:cs="Times New Roman"/>
          <w:sz w:val="28"/>
          <w:szCs w:val="28"/>
        </w:rPr>
        <w:t>), а коэффициенты W существенно отклонялись от 1, что свидетельствует о ненормальном распределении данных.</w:t>
      </w:r>
      <w:r w:rsidR="0083769A">
        <w:rPr>
          <w:rFonts w:ascii="Times New Roman" w:hAnsi="Times New Roman" w:cs="Times New Roman"/>
          <w:sz w:val="28"/>
          <w:szCs w:val="28"/>
          <w:lang w:val="kk-KZ"/>
        </w:rPr>
        <w:t xml:space="preserve"> </w:t>
      </w:r>
      <w:r w:rsidRPr="000C1190">
        <w:rPr>
          <w:rFonts w:ascii="Times New Roman" w:hAnsi="Times New Roman" w:cs="Times New Roman"/>
          <w:sz w:val="28"/>
          <w:szCs w:val="28"/>
        </w:rPr>
        <w:t>Данный результат объясняется бинарной природой переменных (0/1) и подтверждает корректность выбора непараметрических методов анализа на последующих этапах, включая регрессионные и кластерные процедуры.</w:t>
      </w:r>
    </w:p>
    <w:p w14:paraId="0D3A37B8" w14:textId="340F2E6D"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Для проверки гипотезы о наличии взаимосвязи между институционализированными элементами инновационной культуры и уровнем инновационного потенциала был проведён множественный линейный регрессионный анализ по трём группам предприятий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крупным, средним и малым.</w:t>
      </w:r>
    </w:p>
    <w:p w14:paraId="0D784811" w14:textId="2F9B967C"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В качестве зависимой переменной использовалась субъективная оценка инновационного потенциала (IP_selfrate), а в качестве независимых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девять бинарных индикаторов, отражающих наличие элементов инновационной культуры.</w:t>
      </w:r>
    </w:p>
    <w:p w14:paraId="5FC26D10" w14:textId="005AF840" w:rsidR="00122E31" w:rsidRPr="000C1190" w:rsidRDefault="00122E31" w:rsidP="00122E31">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В таблице </w:t>
      </w:r>
      <w:r>
        <w:rPr>
          <w:rFonts w:ascii="Times New Roman" w:hAnsi="Times New Roman" w:cs="Times New Roman"/>
          <w:sz w:val="28"/>
          <w:szCs w:val="28"/>
          <w:lang w:val="kk-KZ"/>
        </w:rPr>
        <w:t>1</w:t>
      </w:r>
      <w:r w:rsidRPr="000C1190">
        <w:rPr>
          <w:rFonts w:ascii="Times New Roman" w:hAnsi="Times New Roman" w:cs="Times New Roman"/>
          <w:sz w:val="28"/>
          <w:szCs w:val="28"/>
        </w:rPr>
        <w:t>7 приведены результаты множественного регрессионного анализа.</w:t>
      </w:r>
      <w:r>
        <w:rPr>
          <w:rFonts w:ascii="Times New Roman" w:hAnsi="Times New Roman" w:cs="Times New Roman"/>
          <w:sz w:val="28"/>
          <w:szCs w:val="28"/>
          <w:lang w:val="kk-KZ"/>
        </w:rPr>
        <w:t xml:space="preserve"> </w:t>
      </w:r>
      <w:r w:rsidRPr="000C1190">
        <w:rPr>
          <w:rFonts w:ascii="Times New Roman" w:hAnsi="Times New Roman" w:cs="Times New Roman"/>
          <w:sz w:val="28"/>
          <w:szCs w:val="28"/>
        </w:rPr>
        <w:t>Показатель R</w:t>
      </w:r>
      <w:r w:rsidRPr="00122E31">
        <w:rPr>
          <w:rFonts w:ascii="Times New Roman" w:hAnsi="Times New Roman" w:cs="Times New Roman"/>
          <w:sz w:val="28"/>
          <w:szCs w:val="28"/>
          <w:vertAlign w:val="superscript"/>
          <w:lang w:val="kk-KZ"/>
        </w:rPr>
        <w:t>2</w:t>
      </w:r>
      <w:r w:rsidRPr="000C1190">
        <w:rPr>
          <w:rFonts w:ascii="Times New Roman" w:hAnsi="Times New Roman" w:cs="Times New Roman"/>
          <w:sz w:val="28"/>
          <w:szCs w:val="28"/>
        </w:rPr>
        <w:t xml:space="preserve"> отражает долю дисперсии зависимой переменной, объясняемую моделью, а скорректированный R</w:t>
      </w:r>
      <w:r w:rsidRPr="00122E31">
        <w:rPr>
          <w:rFonts w:ascii="Times New Roman" w:hAnsi="Times New Roman" w:cs="Times New Roman"/>
          <w:sz w:val="28"/>
          <w:szCs w:val="28"/>
          <w:vertAlign w:val="superscript"/>
          <w:lang w:val="kk-KZ"/>
        </w:rPr>
        <w:t>2</w:t>
      </w:r>
      <w:r w:rsidRPr="000C1190">
        <w:rPr>
          <w:rFonts w:ascii="Times New Roman" w:hAnsi="Times New Roman" w:cs="Times New Roman"/>
          <w:sz w:val="28"/>
          <w:szCs w:val="28"/>
        </w:rPr>
        <w:t xml:space="preserve"> учитывает количество предикторов, обеспечивая более точную оценку объяснительной способности модели.</w:t>
      </w:r>
    </w:p>
    <w:p w14:paraId="5A716CD2" w14:textId="77777777" w:rsidR="000C1190" w:rsidRPr="000C1190" w:rsidRDefault="000C1190" w:rsidP="002F33D0">
      <w:pPr>
        <w:spacing w:after="0" w:line="240" w:lineRule="auto"/>
        <w:ind w:firstLine="567"/>
        <w:jc w:val="both"/>
        <w:rPr>
          <w:rFonts w:ascii="Times New Roman" w:hAnsi="Times New Roman" w:cs="Times New Roman"/>
          <w:sz w:val="28"/>
          <w:szCs w:val="28"/>
        </w:rPr>
      </w:pPr>
    </w:p>
    <w:p w14:paraId="4C689A6A" w14:textId="6A85BA82" w:rsidR="000C1190" w:rsidRDefault="00122E31" w:rsidP="002F33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w:t>
      </w:r>
      <w:r>
        <w:rPr>
          <w:rFonts w:ascii="Times New Roman" w:hAnsi="Times New Roman" w:cs="Times New Roman"/>
          <w:sz w:val="28"/>
          <w:szCs w:val="28"/>
          <w:lang w:val="kk-KZ"/>
        </w:rPr>
        <w:t>1</w:t>
      </w:r>
      <w:r w:rsidR="000C1190" w:rsidRPr="000C1190">
        <w:rPr>
          <w:rFonts w:ascii="Times New Roman" w:hAnsi="Times New Roman" w:cs="Times New Roman"/>
          <w:sz w:val="28"/>
          <w:szCs w:val="28"/>
        </w:rPr>
        <w:t>7 – Результаты множественной линейной регрессии по группам предприятий</w:t>
      </w:r>
    </w:p>
    <w:p w14:paraId="762B0714" w14:textId="77777777" w:rsidR="0083769A" w:rsidRPr="00122E31" w:rsidRDefault="0083769A" w:rsidP="002F33D0">
      <w:pPr>
        <w:spacing w:after="0" w:line="240" w:lineRule="auto"/>
        <w:jc w:val="both"/>
        <w:rPr>
          <w:rFonts w:ascii="Times New Roman" w:hAnsi="Times New Roman" w:cs="Times New Roman"/>
          <w:sz w:val="20"/>
          <w:szCs w:val="20"/>
        </w:rPr>
      </w:pPr>
    </w:p>
    <w:tbl>
      <w:tblPr>
        <w:tblStyle w:val="a5"/>
        <w:tblW w:w="0" w:type="auto"/>
        <w:tblLook w:val="04A0" w:firstRow="1" w:lastRow="0" w:firstColumn="1" w:lastColumn="0" w:noHBand="0" w:noVBand="1"/>
      </w:tblPr>
      <w:tblGrid>
        <w:gridCol w:w="1958"/>
        <w:gridCol w:w="756"/>
        <w:gridCol w:w="1006"/>
        <w:gridCol w:w="636"/>
        <w:gridCol w:w="756"/>
        <w:gridCol w:w="4233"/>
      </w:tblGrid>
      <w:tr w:rsidR="000C1190" w:rsidRPr="0083769A" w14:paraId="51EACC80" w14:textId="77777777" w:rsidTr="0083769A">
        <w:tc>
          <w:tcPr>
            <w:tcW w:w="0" w:type="auto"/>
            <w:vAlign w:val="center"/>
            <w:hideMark/>
          </w:tcPr>
          <w:p w14:paraId="63F8C473" w14:textId="77777777" w:rsidR="000C1190" w:rsidRPr="0083769A" w:rsidRDefault="000C1190" w:rsidP="002F33D0">
            <w:pPr>
              <w:ind w:firstLine="0"/>
              <w:jc w:val="center"/>
              <w:rPr>
                <w:rFonts w:eastAsia="Times New Roman"/>
                <w:bCs/>
                <w:szCs w:val="24"/>
                <w:lang w:eastAsia="ru-RU"/>
              </w:rPr>
            </w:pPr>
            <w:r w:rsidRPr="0083769A">
              <w:rPr>
                <w:rFonts w:eastAsia="Times New Roman"/>
                <w:bCs/>
                <w:szCs w:val="24"/>
                <w:lang w:eastAsia="ru-RU"/>
              </w:rPr>
              <w:t>Группа предприятий</w:t>
            </w:r>
          </w:p>
        </w:tc>
        <w:tc>
          <w:tcPr>
            <w:tcW w:w="0" w:type="auto"/>
            <w:vAlign w:val="center"/>
            <w:hideMark/>
          </w:tcPr>
          <w:p w14:paraId="599557DA" w14:textId="77777777" w:rsidR="000C1190" w:rsidRPr="0083769A" w:rsidRDefault="000C1190" w:rsidP="002F33D0">
            <w:pPr>
              <w:ind w:firstLine="0"/>
              <w:jc w:val="center"/>
              <w:rPr>
                <w:rFonts w:eastAsia="Times New Roman"/>
                <w:bCs/>
                <w:szCs w:val="24"/>
                <w:lang w:eastAsia="ru-RU"/>
              </w:rPr>
            </w:pPr>
            <w:r w:rsidRPr="0083769A">
              <w:rPr>
                <w:rFonts w:eastAsia="Times New Roman"/>
                <w:bCs/>
                <w:szCs w:val="24"/>
                <w:lang w:eastAsia="ru-RU"/>
              </w:rPr>
              <w:t>R²</w:t>
            </w:r>
          </w:p>
        </w:tc>
        <w:tc>
          <w:tcPr>
            <w:tcW w:w="0" w:type="auto"/>
            <w:vAlign w:val="center"/>
            <w:hideMark/>
          </w:tcPr>
          <w:p w14:paraId="51582B7F" w14:textId="77777777" w:rsidR="000C1190" w:rsidRPr="0083769A" w:rsidRDefault="000C1190" w:rsidP="002F33D0">
            <w:pPr>
              <w:ind w:firstLine="0"/>
              <w:jc w:val="center"/>
              <w:rPr>
                <w:rFonts w:eastAsia="Times New Roman"/>
                <w:bCs/>
                <w:szCs w:val="24"/>
                <w:lang w:eastAsia="ru-RU"/>
              </w:rPr>
            </w:pPr>
            <w:r w:rsidRPr="0083769A">
              <w:rPr>
                <w:rFonts w:eastAsia="Times New Roman"/>
                <w:bCs/>
                <w:szCs w:val="24"/>
                <w:lang w:eastAsia="ru-RU"/>
              </w:rPr>
              <w:t>Adj. R²</w:t>
            </w:r>
          </w:p>
        </w:tc>
        <w:tc>
          <w:tcPr>
            <w:tcW w:w="0" w:type="auto"/>
            <w:vAlign w:val="center"/>
            <w:hideMark/>
          </w:tcPr>
          <w:p w14:paraId="3E899728" w14:textId="77777777" w:rsidR="000C1190" w:rsidRPr="0083769A" w:rsidRDefault="000C1190" w:rsidP="002F33D0">
            <w:pPr>
              <w:ind w:firstLine="0"/>
              <w:jc w:val="center"/>
              <w:rPr>
                <w:rFonts w:eastAsia="Times New Roman"/>
                <w:bCs/>
                <w:szCs w:val="24"/>
                <w:lang w:eastAsia="ru-RU"/>
              </w:rPr>
            </w:pPr>
            <w:r w:rsidRPr="0083769A">
              <w:rPr>
                <w:rFonts w:eastAsia="Times New Roman"/>
                <w:bCs/>
                <w:szCs w:val="24"/>
                <w:lang w:eastAsia="ru-RU"/>
              </w:rPr>
              <w:t>F</w:t>
            </w:r>
          </w:p>
        </w:tc>
        <w:tc>
          <w:tcPr>
            <w:tcW w:w="0" w:type="auto"/>
            <w:vAlign w:val="center"/>
            <w:hideMark/>
          </w:tcPr>
          <w:p w14:paraId="3F78A236" w14:textId="77777777" w:rsidR="000C1190" w:rsidRPr="0083769A" w:rsidRDefault="000C1190" w:rsidP="002F33D0">
            <w:pPr>
              <w:ind w:firstLine="0"/>
              <w:jc w:val="center"/>
              <w:rPr>
                <w:rFonts w:eastAsia="Times New Roman"/>
                <w:bCs/>
                <w:szCs w:val="24"/>
                <w:lang w:eastAsia="ru-RU"/>
              </w:rPr>
            </w:pPr>
            <w:r w:rsidRPr="0083769A">
              <w:rPr>
                <w:rFonts w:eastAsia="Times New Roman"/>
                <w:bCs/>
                <w:szCs w:val="24"/>
                <w:lang w:eastAsia="ru-RU"/>
              </w:rPr>
              <w:t>p</w:t>
            </w:r>
          </w:p>
        </w:tc>
        <w:tc>
          <w:tcPr>
            <w:tcW w:w="0" w:type="auto"/>
            <w:vAlign w:val="center"/>
            <w:hideMark/>
          </w:tcPr>
          <w:p w14:paraId="11F3D2CD" w14:textId="77777777" w:rsidR="000C1190" w:rsidRPr="0083769A" w:rsidRDefault="000C1190" w:rsidP="002F33D0">
            <w:pPr>
              <w:ind w:firstLine="0"/>
              <w:jc w:val="center"/>
              <w:rPr>
                <w:rFonts w:eastAsia="Times New Roman"/>
                <w:bCs/>
                <w:szCs w:val="24"/>
                <w:lang w:eastAsia="ru-RU"/>
              </w:rPr>
            </w:pPr>
            <w:r w:rsidRPr="0083769A">
              <w:rPr>
                <w:rFonts w:eastAsia="Times New Roman"/>
                <w:bCs/>
                <w:szCs w:val="24"/>
                <w:lang w:eastAsia="ru-RU"/>
              </w:rPr>
              <w:t>Значимые переменные (p &lt; 0.05)</w:t>
            </w:r>
          </w:p>
        </w:tc>
      </w:tr>
      <w:tr w:rsidR="000C1190" w:rsidRPr="0083769A" w14:paraId="26456932" w14:textId="77777777" w:rsidTr="0083769A">
        <w:tc>
          <w:tcPr>
            <w:tcW w:w="0" w:type="auto"/>
            <w:hideMark/>
          </w:tcPr>
          <w:p w14:paraId="37B43606" w14:textId="77777777" w:rsidR="000C1190" w:rsidRPr="0083769A" w:rsidRDefault="000C1190" w:rsidP="002F33D0">
            <w:pPr>
              <w:ind w:firstLine="0"/>
              <w:jc w:val="both"/>
              <w:rPr>
                <w:rFonts w:eastAsia="Times New Roman"/>
                <w:szCs w:val="24"/>
                <w:lang w:eastAsia="ru-RU"/>
              </w:rPr>
            </w:pPr>
            <w:r w:rsidRPr="0083769A">
              <w:rPr>
                <w:rFonts w:eastAsia="Times New Roman"/>
                <w:szCs w:val="24"/>
                <w:lang w:eastAsia="ru-RU"/>
              </w:rPr>
              <w:t xml:space="preserve">Крупные </w:t>
            </w:r>
          </w:p>
        </w:tc>
        <w:tc>
          <w:tcPr>
            <w:tcW w:w="0" w:type="auto"/>
            <w:vAlign w:val="center"/>
            <w:hideMark/>
          </w:tcPr>
          <w:p w14:paraId="178950C2" w14:textId="12E71DEC"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0</w:t>
            </w:r>
            <w:r w:rsidR="0083769A">
              <w:rPr>
                <w:rFonts w:eastAsia="Times New Roman"/>
                <w:szCs w:val="24"/>
                <w:lang w:val="kk-KZ" w:eastAsia="ru-RU"/>
              </w:rPr>
              <w:t>,</w:t>
            </w:r>
            <w:r w:rsidRPr="0083769A">
              <w:rPr>
                <w:rFonts w:eastAsia="Times New Roman"/>
                <w:szCs w:val="24"/>
                <w:lang w:eastAsia="ru-RU"/>
              </w:rPr>
              <w:t>301</w:t>
            </w:r>
          </w:p>
        </w:tc>
        <w:tc>
          <w:tcPr>
            <w:tcW w:w="0" w:type="auto"/>
            <w:vAlign w:val="center"/>
            <w:hideMark/>
          </w:tcPr>
          <w:p w14:paraId="09EBEE62" w14:textId="62D61666"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0</w:t>
            </w:r>
            <w:r w:rsidR="0083769A">
              <w:rPr>
                <w:rFonts w:eastAsia="Times New Roman"/>
                <w:szCs w:val="24"/>
                <w:lang w:val="kk-KZ" w:eastAsia="ru-RU"/>
              </w:rPr>
              <w:t>,</w:t>
            </w:r>
            <w:r w:rsidRPr="0083769A">
              <w:rPr>
                <w:rFonts w:eastAsia="Times New Roman"/>
                <w:szCs w:val="24"/>
                <w:lang w:eastAsia="ru-RU"/>
              </w:rPr>
              <w:t>139</w:t>
            </w:r>
          </w:p>
        </w:tc>
        <w:tc>
          <w:tcPr>
            <w:tcW w:w="0" w:type="auto"/>
            <w:vAlign w:val="center"/>
            <w:hideMark/>
          </w:tcPr>
          <w:p w14:paraId="3B24D927" w14:textId="24770F79"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1</w:t>
            </w:r>
            <w:r w:rsidR="0083769A">
              <w:rPr>
                <w:rFonts w:eastAsia="Times New Roman"/>
                <w:szCs w:val="24"/>
                <w:lang w:val="kk-KZ" w:eastAsia="ru-RU"/>
              </w:rPr>
              <w:t>,</w:t>
            </w:r>
            <w:r w:rsidRPr="0083769A">
              <w:rPr>
                <w:rFonts w:eastAsia="Times New Roman"/>
                <w:szCs w:val="24"/>
                <w:lang w:eastAsia="ru-RU"/>
              </w:rPr>
              <w:t>86</w:t>
            </w:r>
          </w:p>
        </w:tc>
        <w:tc>
          <w:tcPr>
            <w:tcW w:w="0" w:type="auto"/>
            <w:vAlign w:val="center"/>
            <w:hideMark/>
          </w:tcPr>
          <w:p w14:paraId="0FAB85D0" w14:textId="4BDDA076"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0</w:t>
            </w:r>
            <w:r w:rsidR="0083769A">
              <w:rPr>
                <w:rFonts w:eastAsia="Times New Roman"/>
                <w:szCs w:val="24"/>
                <w:lang w:val="kk-KZ" w:eastAsia="ru-RU"/>
              </w:rPr>
              <w:t>,</w:t>
            </w:r>
            <w:r w:rsidRPr="0083769A">
              <w:rPr>
                <w:rFonts w:eastAsia="Times New Roman"/>
                <w:szCs w:val="24"/>
                <w:lang w:eastAsia="ru-RU"/>
              </w:rPr>
              <w:t>088</w:t>
            </w:r>
          </w:p>
        </w:tc>
        <w:tc>
          <w:tcPr>
            <w:tcW w:w="0" w:type="auto"/>
            <w:hideMark/>
          </w:tcPr>
          <w:p w14:paraId="42392B78" w14:textId="537AC7A2" w:rsidR="000C1190" w:rsidRPr="0083769A" w:rsidRDefault="000C1190" w:rsidP="002F33D0">
            <w:pPr>
              <w:ind w:firstLine="0"/>
              <w:jc w:val="both"/>
              <w:rPr>
                <w:rFonts w:eastAsia="Times New Roman"/>
                <w:szCs w:val="24"/>
                <w:lang w:eastAsia="ru-RU"/>
              </w:rPr>
            </w:pPr>
            <w:r w:rsidRPr="0083769A">
              <w:rPr>
                <w:rFonts w:eastAsia="Times New Roman"/>
                <w:szCs w:val="24"/>
                <w:lang w:eastAsia="ru-RU"/>
              </w:rPr>
              <w:t>Внутренние лаборатории (p = 0</w:t>
            </w:r>
            <w:r w:rsidR="0083769A">
              <w:rPr>
                <w:rFonts w:eastAsia="Times New Roman"/>
                <w:szCs w:val="24"/>
                <w:lang w:val="kk-KZ" w:eastAsia="ru-RU"/>
              </w:rPr>
              <w:t>,</w:t>
            </w:r>
            <w:r w:rsidRPr="0083769A">
              <w:rPr>
                <w:rFonts w:eastAsia="Times New Roman"/>
                <w:szCs w:val="24"/>
                <w:lang w:eastAsia="ru-RU"/>
              </w:rPr>
              <w:t>031)</w:t>
            </w:r>
            <w:r w:rsidRPr="0083769A">
              <w:rPr>
                <w:rFonts w:eastAsia="Times New Roman"/>
                <w:szCs w:val="24"/>
                <w:lang w:val="kk-KZ" w:eastAsia="ru-RU"/>
              </w:rPr>
              <w:t xml:space="preserve">; </w:t>
            </w:r>
            <w:r w:rsidRPr="0083769A">
              <w:rPr>
                <w:rFonts w:eastAsia="Times New Roman"/>
                <w:szCs w:val="24"/>
                <w:lang w:eastAsia="ru-RU"/>
              </w:rPr>
              <w:t>Обратная связь (p = 0</w:t>
            </w:r>
            <w:r w:rsidR="0083769A">
              <w:rPr>
                <w:rFonts w:eastAsia="Times New Roman"/>
                <w:szCs w:val="24"/>
                <w:lang w:val="kk-KZ" w:eastAsia="ru-RU"/>
              </w:rPr>
              <w:t>,</w:t>
            </w:r>
            <w:r w:rsidRPr="0083769A">
              <w:rPr>
                <w:rFonts w:eastAsia="Times New Roman"/>
                <w:szCs w:val="24"/>
                <w:lang w:eastAsia="ru-RU"/>
              </w:rPr>
              <w:t>019)</w:t>
            </w:r>
          </w:p>
        </w:tc>
      </w:tr>
      <w:tr w:rsidR="000C1190" w:rsidRPr="0083769A" w14:paraId="6FE1A90B" w14:textId="77777777" w:rsidTr="0083769A">
        <w:tc>
          <w:tcPr>
            <w:tcW w:w="0" w:type="auto"/>
            <w:hideMark/>
          </w:tcPr>
          <w:p w14:paraId="4FE16B65" w14:textId="77777777" w:rsidR="000C1190" w:rsidRPr="0083769A" w:rsidRDefault="000C1190" w:rsidP="002F33D0">
            <w:pPr>
              <w:ind w:firstLine="0"/>
              <w:jc w:val="both"/>
              <w:rPr>
                <w:rFonts w:eastAsia="Times New Roman"/>
                <w:szCs w:val="24"/>
                <w:lang w:eastAsia="ru-RU"/>
              </w:rPr>
            </w:pPr>
            <w:r w:rsidRPr="0083769A">
              <w:rPr>
                <w:rFonts w:eastAsia="Times New Roman"/>
                <w:szCs w:val="24"/>
                <w:lang w:eastAsia="ru-RU"/>
              </w:rPr>
              <w:t xml:space="preserve">Средние </w:t>
            </w:r>
          </w:p>
        </w:tc>
        <w:tc>
          <w:tcPr>
            <w:tcW w:w="0" w:type="auto"/>
            <w:vAlign w:val="center"/>
            <w:hideMark/>
          </w:tcPr>
          <w:p w14:paraId="15E1DF6E" w14:textId="6EE827B6"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0</w:t>
            </w:r>
            <w:r w:rsidR="0083769A">
              <w:rPr>
                <w:rFonts w:eastAsia="Times New Roman"/>
                <w:szCs w:val="24"/>
                <w:lang w:val="kk-KZ" w:eastAsia="ru-RU"/>
              </w:rPr>
              <w:t>,</w:t>
            </w:r>
            <w:r w:rsidRPr="0083769A">
              <w:rPr>
                <w:rFonts w:eastAsia="Times New Roman"/>
                <w:szCs w:val="24"/>
                <w:lang w:eastAsia="ru-RU"/>
              </w:rPr>
              <w:t>076</w:t>
            </w:r>
          </w:p>
        </w:tc>
        <w:tc>
          <w:tcPr>
            <w:tcW w:w="0" w:type="auto"/>
            <w:vAlign w:val="center"/>
            <w:hideMark/>
          </w:tcPr>
          <w:p w14:paraId="15453B5B" w14:textId="43E16DE5" w:rsidR="000C1190" w:rsidRPr="0083769A" w:rsidRDefault="00486569" w:rsidP="002F33D0">
            <w:pPr>
              <w:ind w:firstLine="0"/>
              <w:jc w:val="center"/>
              <w:rPr>
                <w:rFonts w:eastAsia="Times New Roman"/>
                <w:szCs w:val="24"/>
                <w:lang w:eastAsia="ru-RU"/>
              </w:rPr>
            </w:pPr>
            <w:r>
              <w:rPr>
                <w:rFonts w:eastAsia="Times New Roman"/>
                <w:szCs w:val="24"/>
                <w:lang w:val="kk-KZ" w:eastAsia="ru-RU"/>
              </w:rPr>
              <w:t>-</w:t>
            </w:r>
            <w:r w:rsidR="000C1190" w:rsidRPr="0083769A">
              <w:rPr>
                <w:rFonts w:eastAsia="Times New Roman"/>
                <w:szCs w:val="24"/>
                <w:lang w:eastAsia="ru-RU"/>
              </w:rPr>
              <w:t>0</w:t>
            </w:r>
            <w:r w:rsidR="0083769A">
              <w:rPr>
                <w:rFonts w:eastAsia="Times New Roman"/>
                <w:szCs w:val="24"/>
                <w:lang w:val="kk-KZ" w:eastAsia="ru-RU"/>
              </w:rPr>
              <w:t>,</w:t>
            </w:r>
            <w:r w:rsidR="000C1190" w:rsidRPr="0083769A">
              <w:rPr>
                <w:rFonts w:eastAsia="Times New Roman"/>
                <w:szCs w:val="24"/>
                <w:lang w:eastAsia="ru-RU"/>
              </w:rPr>
              <w:t>016</w:t>
            </w:r>
          </w:p>
        </w:tc>
        <w:tc>
          <w:tcPr>
            <w:tcW w:w="0" w:type="auto"/>
            <w:vAlign w:val="center"/>
            <w:hideMark/>
          </w:tcPr>
          <w:p w14:paraId="1C02D4F9" w14:textId="6273194D"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0</w:t>
            </w:r>
            <w:r w:rsidR="0083769A">
              <w:rPr>
                <w:rFonts w:eastAsia="Times New Roman"/>
                <w:szCs w:val="24"/>
                <w:lang w:val="kk-KZ" w:eastAsia="ru-RU"/>
              </w:rPr>
              <w:t>,</w:t>
            </w:r>
            <w:r w:rsidRPr="0083769A">
              <w:rPr>
                <w:rFonts w:eastAsia="Times New Roman"/>
                <w:szCs w:val="24"/>
                <w:lang w:eastAsia="ru-RU"/>
              </w:rPr>
              <w:t>82</w:t>
            </w:r>
          </w:p>
        </w:tc>
        <w:tc>
          <w:tcPr>
            <w:tcW w:w="0" w:type="auto"/>
            <w:vAlign w:val="center"/>
            <w:hideMark/>
          </w:tcPr>
          <w:p w14:paraId="33B10FCD" w14:textId="000CECB2"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0</w:t>
            </w:r>
            <w:r w:rsidR="0083769A">
              <w:rPr>
                <w:rFonts w:eastAsia="Times New Roman"/>
                <w:szCs w:val="24"/>
                <w:lang w:val="kk-KZ" w:eastAsia="ru-RU"/>
              </w:rPr>
              <w:t>,</w:t>
            </w:r>
            <w:r w:rsidRPr="0083769A">
              <w:rPr>
                <w:rFonts w:eastAsia="Times New Roman"/>
                <w:szCs w:val="24"/>
                <w:lang w:eastAsia="ru-RU"/>
              </w:rPr>
              <w:t>595</w:t>
            </w:r>
          </w:p>
        </w:tc>
        <w:tc>
          <w:tcPr>
            <w:tcW w:w="0" w:type="auto"/>
            <w:hideMark/>
          </w:tcPr>
          <w:p w14:paraId="2AB7FFEB" w14:textId="4462455A" w:rsidR="000C1190" w:rsidRPr="0083769A" w:rsidRDefault="009D20AE" w:rsidP="002F33D0">
            <w:pPr>
              <w:ind w:firstLine="0"/>
              <w:jc w:val="both"/>
              <w:rPr>
                <w:rFonts w:eastAsia="Times New Roman"/>
                <w:szCs w:val="24"/>
                <w:lang w:eastAsia="ru-RU"/>
              </w:rPr>
            </w:pPr>
            <w:r>
              <w:rPr>
                <w:rFonts w:eastAsia="Times New Roman"/>
                <w:szCs w:val="24"/>
                <w:lang w:eastAsia="ru-RU"/>
              </w:rPr>
              <w:t>–</w:t>
            </w:r>
          </w:p>
        </w:tc>
      </w:tr>
      <w:tr w:rsidR="000C1190" w:rsidRPr="0083769A" w14:paraId="759DA716" w14:textId="77777777" w:rsidTr="0083769A">
        <w:tc>
          <w:tcPr>
            <w:tcW w:w="0" w:type="auto"/>
            <w:hideMark/>
          </w:tcPr>
          <w:p w14:paraId="3F1F008F" w14:textId="77777777" w:rsidR="000C1190" w:rsidRPr="0083769A" w:rsidRDefault="000C1190" w:rsidP="002F33D0">
            <w:pPr>
              <w:ind w:firstLine="0"/>
              <w:jc w:val="both"/>
              <w:rPr>
                <w:rFonts w:eastAsia="Times New Roman"/>
                <w:szCs w:val="24"/>
                <w:lang w:eastAsia="ru-RU"/>
              </w:rPr>
            </w:pPr>
            <w:r w:rsidRPr="0083769A">
              <w:rPr>
                <w:rFonts w:eastAsia="Times New Roman"/>
                <w:szCs w:val="24"/>
                <w:lang w:eastAsia="ru-RU"/>
              </w:rPr>
              <w:t xml:space="preserve">Малые предприятия </w:t>
            </w:r>
          </w:p>
        </w:tc>
        <w:tc>
          <w:tcPr>
            <w:tcW w:w="0" w:type="auto"/>
            <w:vAlign w:val="center"/>
            <w:hideMark/>
          </w:tcPr>
          <w:p w14:paraId="236547A4" w14:textId="6F422255"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0</w:t>
            </w:r>
            <w:r w:rsidR="0083769A">
              <w:rPr>
                <w:rFonts w:eastAsia="Times New Roman"/>
                <w:szCs w:val="24"/>
                <w:lang w:val="kk-KZ" w:eastAsia="ru-RU"/>
              </w:rPr>
              <w:t>,</w:t>
            </w:r>
            <w:r w:rsidRPr="0083769A">
              <w:rPr>
                <w:rFonts w:eastAsia="Times New Roman"/>
                <w:szCs w:val="24"/>
                <w:lang w:eastAsia="ru-RU"/>
              </w:rPr>
              <w:t>027</w:t>
            </w:r>
          </w:p>
        </w:tc>
        <w:tc>
          <w:tcPr>
            <w:tcW w:w="0" w:type="auto"/>
            <w:vAlign w:val="center"/>
            <w:hideMark/>
          </w:tcPr>
          <w:p w14:paraId="7F7A224F" w14:textId="713EF4FD"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~0</w:t>
            </w:r>
            <w:r w:rsidR="0083769A">
              <w:rPr>
                <w:rFonts w:eastAsia="Times New Roman"/>
                <w:szCs w:val="24"/>
                <w:lang w:val="kk-KZ" w:eastAsia="ru-RU"/>
              </w:rPr>
              <w:t>,</w:t>
            </w:r>
            <w:r w:rsidRPr="0083769A">
              <w:rPr>
                <w:rFonts w:eastAsia="Times New Roman"/>
                <w:szCs w:val="24"/>
                <w:lang w:eastAsia="ru-RU"/>
              </w:rPr>
              <w:t>0008</w:t>
            </w:r>
          </w:p>
        </w:tc>
        <w:tc>
          <w:tcPr>
            <w:tcW w:w="0" w:type="auto"/>
            <w:vAlign w:val="center"/>
            <w:hideMark/>
          </w:tcPr>
          <w:p w14:paraId="0B8338B3" w14:textId="21C25502"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1</w:t>
            </w:r>
            <w:r w:rsidR="0083769A">
              <w:rPr>
                <w:rFonts w:eastAsia="Times New Roman"/>
                <w:szCs w:val="24"/>
                <w:lang w:val="kk-KZ" w:eastAsia="ru-RU"/>
              </w:rPr>
              <w:t>,</w:t>
            </w:r>
            <w:r w:rsidRPr="0083769A">
              <w:rPr>
                <w:rFonts w:eastAsia="Times New Roman"/>
                <w:szCs w:val="24"/>
                <w:lang w:eastAsia="ru-RU"/>
              </w:rPr>
              <w:t>03</w:t>
            </w:r>
          </w:p>
        </w:tc>
        <w:tc>
          <w:tcPr>
            <w:tcW w:w="0" w:type="auto"/>
            <w:vAlign w:val="center"/>
            <w:hideMark/>
          </w:tcPr>
          <w:p w14:paraId="4422D237" w14:textId="157B22AF"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0</w:t>
            </w:r>
            <w:r w:rsidR="0083769A">
              <w:rPr>
                <w:rFonts w:eastAsia="Times New Roman"/>
                <w:szCs w:val="24"/>
                <w:lang w:val="kk-KZ" w:eastAsia="ru-RU"/>
              </w:rPr>
              <w:t>,</w:t>
            </w:r>
            <w:r w:rsidRPr="0083769A">
              <w:rPr>
                <w:rFonts w:eastAsia="Times New Roman"/>
                <w:szCs w:val="24"/>
                <w:lang w:eastAsia="ru-RU"/>
              </w:rPr>
              <w:t>416</w:t>
            </w:r>
          </w:p>
        </w:tc>
        <w:tc>
          <w:tcPr>
            <w:tcW w:w="0" w:type="auto"/>
            <w:hideMark/>
          </w:tcPr>
          <w:p w14:paraId="06E761C0" w14:textId="12DDE37C" w:rsidR="000C1190" w:rsidRPr="0083769A" w:rsidRDefault="009D20AE" w:rsidP="002F33D0">
            <w:pPr>
              <w:ind w:firstLine="0"/>
              <w:jc w:val="both"/>
              <w:rPr>
                <w:rFonts w:eastAsia="Times New Roman"/>
                <w:szCs w:val="24"/>
                <w:lang w:eastAsia="ru-RU"/>
              </w:rPr>
            </w:pPr>
            <w:r>
              <w:rPr>
                <w:rFonts w:eastAsia="Times New Roman"/>
                <w:szCs w:val="24"/>
                <w:lang w:eastAsia="ru-RU"/>
              </w:rPr>
              <w:t>–</w:t>
            </w:r>
          </w:p>
        </w:tc>
      </w:tr>
      <w:tr w:rsidR="00122E31" w:rsidRPr="0083769A" w14:paraId="4E8F9AF8" w14:textId="77777777" w:rsidTr="00122E31">
        <w:tc>
          <w:tcPr>
            <w:tcW w:w="0" w:type="auto"/>
            <w:gridSpan w:val="6"/>
          </w:tcPr>
          <w:p w14:paraId="5CC6B80C" w14:textId="0761A2CE" w:rsidR="00122E31" w:rsidRPr="00EE311D" w:rsidRDefault="00122E31" w:rsidP="000F3C80">
            <w:pPr>
              <w:ind w:firstLine="459"/>
              <w:jc w:val="both"/>
              <w:rPr>
                <w:rFonts w:eastAsia="Times New Roman"/>
                <w:szCs w:val="24"/>
                <w:lang w:val="kk-KZ" w:eastAsia="ru-RU"/>
              </w:rPr>
            </w:pPr>
            <w:r w:rsidRPr="00EE311D">
              <w:rPr>
                <w:rFonts w:eastAsia="Times New Roman"/>
                <w:szCs w:val="24"/>
                <w:lang w:val="kk-KZ" w:eastAsia="ru-RU"/>
              </w:rPr>
              <w:t xml:space="preserve">Примечание – </w:t>
            </w:r>
            <w:r w:rsidR="000F3C80" w:rsidRPr="00EE311D">
              <w:rPr>
                <w:rFonts w:eastAsia="Times New Roman"/>
                <w:szCs w:val="24"/>
                <w:lang w:val="kk-KZ" w:eastAsia="ru-RU"/>
              </w:rPr>
              <w:t>С</w:t>
            </w:r>
            <w:r w:rsidRPr="00EE311D">
              <w:rPr>
                <w:rFonts w:eastAsia="Times New Roman"/>
                <w:szCs w:val="24"/>
                <w:lang w:val="kk-KZ" w:eastAsia="ru-RU"/>
              </w:rPr>
              <w:t>оставлено автором</w:t>
            </w:r>
          </w:p>
        </w:tc>
      </w:tr>
    </w:tbl>
    <w:p w14:paraId="3C1FFADE" w14:textId="77777777" w:rsidR="000C1190" w:rsidRPr="000C1190" w:rsidRDefault="000C1190" w:rsidP="002F33D0">
      <w:pPr>
        <w:spacing w:after="0" w:line="240" w:lineRule="auto"/>
        <w:ind w:firstLine="567"/>
        <w:jc w:val="both"/>
        <w:rPr>
          <w:rFonts w:ascii="Times New Roman" w:hAnsi="Times New Roman" w:cs="Times New Roman"/>
          <w:sz w:val="28"/>
          <w:szCs w:val="28"/>
        </w:rPr>
      </w:pPr>
    </w:p>
    <w:p w14:paraId="33BD7983" w14:textId="22B08B81"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lastRenderedPageBreak/>
        <w:t>Несмотря на сравнительно низкие значения R</w:t>
      </w:r>
      <w:r w:rsidR="00122E31" w:rsidRPr="00122E31">
        <w:rPr>
          <w:rFonts w:ascii="Times New Roman" w:hAnsi="Times New Roman" w:cs="Times New Roman"/>
          <w:sz w:val="28"/>
          <w:szCs w:val="28"/>
          <w:vertAlign w:val="superscript"/>
          <w:lang w:val="kk-KZ"/>
        </w:rPr>
        <w:t>2</w:t>
      </w:r>
      <w:r w:rsidRPr="000C1190">
        <w:rPr>
          <w:rFonts w:ascii="Times New Roman" w:hAnsi="Times New Roman" w:cs="Times New Roman"/>
          <w:sz w:val="28"/>
          <w:szCs w:val="28"/>
        </w:rPr>
        <w:t xml:space="preserve"> для средних и малых предприятий, для крупных структур (R</w:t>
      </w:r>
      <w:r w:rsidR="00122E31" w:rsidRPr="00122E31">
        <w:rPr>
          <w:rFonts w:ascii="Times New Roman" w:hAnsi="Times New Roman" w:cs="Times New Roman"/>
          <w:sz w:val="28"/>
          <w:szCs w:val="28"/>
          <w:vertAlign w:val="superscript"/>
          <w:lang w:val="kk-KZ"/>
        </w:rPr>
        <w:t>2</w:t>
      </w:r>
      <w:r w:rsidRPr="000C1190">
        <w:rPr>
          <w:rFonts w:ascii="Times New Roman" w:hAnsi="Times New Roman" w:cs="Times New Roman"/>
          <w:sz w:val="28"/>
          <w:szCs w:val="28"/>
        </w:rPr>
        <w:t xml:space="preserve"> = 0</w:t>
      </w:r>
      <w:r w:rsidR="0083769A">
        <w:rPr>
          <w:rFonts w:ascii="Times New Roman" w:hAnsi="Times New Roman" w:cs="Times New Roman"/>
          <w:sz w:val="28"/>
          <w:szCs w:val="28"/>
          <w:lang w:val="kk-KZ"/>
        </w:rPr>
        <w:t>,</w:t>
      </w:r>
      <w:r w:rsidRPr="000C1190">
        <w:rPr>
          <w:rFonts w:ascii="Times New Roman" w:hAnsi="Times New Roman" w:cs="Times New Roman"/>
          <w:sz w:val="28"/>
          <w:szCs w:val="28"/>
        </w:rPr>
        <w:t>301) зафиксирован умеренный уровень предсказательной силы модели.</w:t>
      </w:r>
    </w:p>
    <w:p w14:paraId="06EB759A"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Для крупных предприятий статистически значимыми оказались переменные, отражающие наличие внутренних лабораторий и механизмов обратной связи, что подчёркивает роль организационно-поведенческих факторов как основы инновационной культуры.</w:t>
      </w:r>
    </w:p>
    <w:p w14:paraId="120B54B6"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Для средних предприятий ни одна из переменных не показала статистической значимости, что может свидетельствовать о неустойчивой институциональной среде и промежуточной стадии формирования инновационной культуры.</w:t>
      </w:r>
    </w:p>
    <w:p w14:paraId="57BD93B2"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В малых предприятиях модель оказалась статистически незначимой, а объясняющая способность практически нулевой, что подтверждает фрагментарный и формальный характер культурных практик, не оказывающих ощутимого влияния на восприятие инновационного потенциала.</w:t>
      </w:r>
    </w:p>
    <w:p w14:paraId="1ED7FBBE" w14:textId="2D7D6BA8" w:rsid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Таким образом, результаты регрессионного анализа показали, что инновационная культура не проявляет линейного эффекта в отношении инновационного потенциала, особенно в сегменте малых и средних предприятий.</w:t>
      </w:r>
    </w:p>
    <w:p w14:paraId="3F97CBA5" w14:textId="53D35244" w:rsidR="0082235C" w:rsidRPr="003F0E8F" w:rsidRDefault="0082235C" w:rsidP="002F33D0">
      <w:pPr>
        <w:spacing w:after="0" w:line="240" w:lineRule="auto"/>
        <w:ind w:firstLine="567"/>
        <w:jc w:val="both"/>
        <w:rPr>
          <w:rFonts w:ascii="Times New Roman" w:hAnsi="Times New Roman" w:cs="Times New Roman"/>
          <w:sz w:val="28"/>
          <w:szCs w:val="28"/>
          <w:lang w:val="kk-KZ"/>
        </w:rPr>
      </w:pPr>
      <w:r w:rsidRPr="003F0E8F">
        <w:rPr>
          <w:rFonts w:ascii="Times New Roman" w:hAnsi="Times New Roman" w:cs="Times New Roman"/>
          <w:sz w:val="28"/>
          <w:szCs w:val="28"/>
        </w:rPr>
        <w:t>Рост глобального внимания к устойчивому развитию требует, чтобы инновационная культура включала «зелёное трансформационное лидерство»</w:t>
      </w:r>
      <w:r w:rsidRPr="003F0E8F">
        <w:rPr>
          <w:rFonts w:ascii="Times New Roman" w:hAnsi="Times New Roman" w:cs="Times New Roman"/>
          <w:sz w:val="28"/>
          <w:szCs w:val="28"/>
          <w:lang w:val="kk-KZ"/>
        </w:rPr>
        <w:t xml:space="preserve"> </w:t>
      </w:r>
      <w:r w:rsidRPr="003F0E8F">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{"citationID":"a1fss07hv2q","properties":{"formattedCitation":"[197]","plainCitation":"[197]","noteIndex":0},"citationItems":[{"id":369,"uris":["http://zotero.org/users/16887523/items/L44XD398"],"itemData":{"id":369,"type":"article-journal","container-title":"Environmental Development","DOI":"10.1016/j.envdev.2025.101148","ISSN":"22114645","journalAbbreviation":"Environmental Development","language":"en","page":"101148","source":"DOI.org (Crossref)","title":"Green leaders and global change: Uncovering the drivers of corporate environmental sustainability","title-short":"Green leaders and global change","URL":"https://linkinghub.elsevier.com/retrieve/pii/S2211464525000144","volume":"54","author":[{"family":"Suieubayeva","given":"Saltanat"},{"family":"Sánchez-García","given":"Eduardo"},{"family":"Martínez-Falcó","given":"Javier"},{"family":"Marco-Lajara","given":"Bartolomé"},{"family":"Sadenova","given":"Assel"},{"family":"Montalvo-Falcón","given":"Johnny Vicente"}],"accessed":{"date-parts":[["2025",12,13]]},"issued":{"date-parts":[["2025",6]]}}}],"schema":"https://github.com/citation-style-language/schema/raw/master/csl-citation.json"} </w:instrText>
      </w:r>
      <w:r w:rsidRPr="003F0E8F">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[197]</w:t>
      </w:r>
      <w:r w:rsidRPr="003F0E8F">
        <w:rPr>
          <w:rFonts w:ascii="Times New Roman" w:hAnsi="Times New Roman" w:cs="Times New Roman"/>
          <w:sz w:val="28"/>
          <w:szCs w:val="28"/>
          <w:lang w:val="kk-KZ"/>
        </w:rPr>
        <w:fldChar w:fldCharType="end"/>
      </w:r>
      <w:r w:rsidRPr="003F0E8F">
        <w:rPr>
          <w:rFonts w:ascii="Times New Roman" w:hAnsi="Times New Roman" w:cs="Times New Roman"/>
          <w:sz w:val="28"/>
          <w:szCs w:val="28"/>
        </w:rPr>
        <w:t>, которое интегрирует экологические принципы в стратегию и мотивирует сотрудников к экологической эффективности. Это подтверждает, что инновационная культура является не просто фактором креативности, но и ключевым механизмом достижения социально-экологической устойчивости</w:t>
      </w:r>
      <w:r w:rsidRPr="003F0E8F">
        <w:rPr>
          <w:rFonts w:ascii="Times New Roman" w:hAnsi="Times New Roman" w:cs="Times New Roman"/>
          <w:sz w:val="28"/>
          <w:szCs w:val="28"/>
          <w:lang w:val="kk-KZ"/>
        </w:rPr>
        <w:t>.</w:t>
      </w:r>
    </w:p>
    <w:p w14:paraId="5EE166F6"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Это позволяет предположить, что влияние культуры реализуется не через прямую аддитивную зависимость отдельных элементов, а через нелинейные взаимодействия и латентные структурные сочетания практик.</w:t>
      </w:r>
    </w:p>
    <w:p w14:paraId="684139A7" w14:textId="5099B543"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В связи с этим на следующем этапе проведён кластерный анализ (Latent Class Analysis, LCA), направленный на выявление скрытых поведенческих паттернов и типологизацию предприятий по уровню институционализации инновационной культуры</w:t>
      </w:r>
      <w:r w:rsidR="00E96BD3">
        <w:rPr>
          <w:rFonts w:ascii="Times New Roman" w:hAnsi="Times New Roman" w:cs="Times New Roman"/>
          <w:sz w:val="28"/>
          <w:szCs w:val="28"/>
          <w:lang w:val="kk-KZ"/>
        </w:rPr>
        <w:t xml:space="preserve"> (Приложение </w:t>
      </w:r>
      <w:r w:rsidR="00AA67DC">
        <w:rPr>
          <w:rFonts w:ascii="Times New Roman" w:hAnsi="Times New Roman" w:cs="Times New Roman"/>
          <w:sz w:val="28"/>
          <w:szCs w:val="28"/>
          <w:lang w:val="kk-KZ"/>
        </w:rPr>
        <w:t>Л</w:t>
      </w:r>
      <w:r w:rsidR="00E96BD3">
        <w:rPr>
          <w:rFonts w:ascii="Times New Roman" w:hAnsi="Times New Roman" w:cs="Times New Roman"/>
          <w:sz w:val="28"/>
          <w:szCs w:val="28"/>
          <w:lang w:val="kk-KZ"/>
        </w:rPr>
        <w:t>).</w:t>
      </w:r>
      <w:r w:rsidR="0083769A">
        <w:rPr>
          <w:rFonts w:ascii="Times New Roman" w:hAnsi="Times New Roman" w:cs="Times New Roman"/>
          <w:sz w:val="28"/>
          <w:szCs w:val="28"/>
          <w:lang w:val="kk-KZ"/>
        </w:rPr>
        <w:t xml:space="preserve"> </w:t>
      </w:r>
      <w:r w:rsidRPr="000C1190">
        <w:rPr>
          <w:rFonts w:ascii="Times New Roman" w:hAnsi="Times New Roman" w:cs="Times New Roman"/>
          <w:sz w:val="28"/>
          <w:szCs w:val="28"/>
        </w:rPr>
        <w:t>Он позволяет классифицировать предприятия по латентным стратегиям поведения, основанным на внутренних комбинациях реализуемых практик, и выявить устойчивые типы организационных моделей инновационной культуры.</w:t>
      </w:r>
      <w:r w:rsidR="0083769A">
        <w:rPr>
          <w:rFonts w:ascii="Times New Roman" w:hAnsi="Times New Roman" w:cs="Times New Roman"/>
          <w:sz w:val="28"/>
          <w:szCs w:val="28"/>
          <w:lang w:val="kk-KZ"/>
        </w:rPr>
        <w:t xml:space="preserve"> </w:t>
      </w:r>
      <w:r w:rsidRPr="000C1190">
        <w:rPr>
          <w:rFonts w:ascii="Times New Roman" w:hAnsi="Times New Roman" w:cs="Times New Roman"/>
          <w:sz w:val="28"/>
          <w:szCs w:val="28"/>
        </w:rPr>
        <w:t>Для выбора оптимальной структуры модели были протестированы варианты с различным количеством латентных классов.</w:t>
      </w:r>
    </w:p>
    <w:p w14:paraId="2313CF61" w14:textId="2432B774"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Оптимальное число классов определялось с использованием информационных критериев AIC (Akaike Information Criterion) и BIC (Bayesian Information Criterion), обеспечивающих баланс между точностью аппроксимации и сложностью модели.</w:t>
      </w:r>
      <w:r w:rsidR="0083769A">
        <w:rPr>
          <w:rFonts w:ascii="Times New Roman" w:hAnsi="Times New Roman" w:cs="Times New Roman"/>
          <w:sz w:val="28"/>
          <w:szCs w:val="28"/>
          <w:lang w:val="kk-KZ"/>
        </w:rPr>
        <w:t xml:space="preserve"> </w:t>
      </w:r>
      <w:r w:rsidRPr="000C1190">
        <w:rPr>
          <w:rFonts w:ascii="Times New Roman" w:hAnsi="Times New Roman" w:cs="Times New Roman"/>
          <w:sz w:val="28"/>
          <w:szCs w:val="28"/>
        </w:rPr>
        <w:t>Чем ниже значения этих показателей, тем выше качество модели.</w:t>
      </w:r>
    </w:p>
    <w:p w14:paraId="4A078824" w14:textId="16A9189D"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lastRenderedPageBreak/>
        <w:t>Показатель энтропии характеризует качество классификации наблюдений: значение 0</w:t>
      </w:r>
      <w:r w:rsidR="0083769A">
        <w:rPr>
          <w:rFonts w:ascii="Times New Roman" w:hAnsi="Times New Roman" w:cs="Times New Roman"/>
          <w:sz w:val="28"/>
          <w:szCs w:val="28"/>
          <w:lang w:val="kk-KZ"/>
        </w:rPr>
        <w:t>,</w:t>
      </w:r>
      <w:r w:rsidRPr="000C1190">
        <w:rPr>
          <w:rFonts w:ascii="Times New Roman" w:hAnsi="Times New Roman" w:cs="Times New Roman"/>
          <w:sz w:val="28"/>
          <w:szCs w:val="28"/>
        </w:rPr>
        <w:t xml:space="preserve">682 указывает на умеренную степень различимости латентных классов (где 1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идеальное разделение).</w:t>
      </w:r>
    </w:p>
    <w:p w14:paraId="1DFEA6FF" w14:textId="59F195B5"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На основании совокупности статистических метрик и содержательной интерпретируемости наилучшей признана модель с тремя латентными классами</w:t>
      </w:r>
      <w:r w:rsidRPr="000C1190">
        <w:rPr>
          <w:rFonts w:ascii="Times New Roman" w:hAnsi="Times New Roman" w:cs="Times New Roman"/>
          <w:sz w:val="28"/>
          <w:szCs w:val="28"/>
          <w:lang w:val="kk-KZ"/>
        </w:rPr>
        <w:t xml:space="preserve"> (таблица </w:t>
      </w:r>
      <w:r w:rsidR="00122E31">
        <w:rPr>
          <w:rFonts w:ascii="Times New Roman" w:hAnsi="Times New Roman" w:cs="Times New Roman"/>
          <w:sz w:val="28"/>
          <w:szCs w:val="28"/>
          <w:lang w:val="kk-KZ"/>
        </w:rPr>
        <w:t>18</w:t>
      </w:r>
      <w:r w:rsidRPr="000C1190">
        <w:rPr>
          <w:rFonts w:ascii="Times New Roman" w:hAnsi="Times New Roman" w:cs="Times New Roman"/>
          <w:sz w:val="28"/>
          <w:szCs w:val="28"/>
          <w:lang w:val="kk-KZ"/>
        </w:rPr>
        <w:t>)</w:t>
      </w:r>
      <w:r w:rsidRPr="000C1190">
        <w:rPr>
          <w:rFonts w:ascii="Times New Roman" w:hAnsi="Times New Roman" w:cs="Times New Roman"/>
          <w:sz w:val="28"/>
          <w:szCs w:val="28"/>
        </w:rPr>
        <w:t>.</w:t>
      </w:r>
    </w:p>
    <w:p w14:paraId="4D5936EA" w14:textId="77777777" w:rsidR="000C1190" w:rsidRPr="000C1190" w:rsidRDefault="000C1190" w:rsidP="002F33D0">
      <w:pPr>
        <w:spacing w:after="0" w:line="240" w:lineRule="auto"/>
        <w:ind w:firstLine="567"/>
        <w:jc w:val="both"/>
        <w:rPr>
          <w:rFonts w:ascii="Times New Roman" w:hAnsi="Times New Roman" w:cs="Times New Roman"/>
          <w:sz w:val="28"/>
          <w:szCs w:val="28"/>
        </w:rPr>
      </w:pPr>
    </w:p>
    <w:p w14:paraId="729C8446" w14:textId="74066C02" w:rsidR="000C1190" w:rsidRDefault="000C1190" w:rsidP="002F33D0">
      <w:pPr>
        <w:spacing w:after="0" w:line="240" w:lineRule="auto"/>
        <w:jc w:val="both"/>
        <w:rPr>
          <w:rFonts w:ascii="Times New Roman" w:hAnsi="Times New Roman" w:cs="Times New Roman"/>
          <w:sz w:val="28"/>
          <w:szCs w:val="28"/>
        </w:rPr>
      </w:pPr>
      <w:r w:rsidRPr="000C1190">
        <w:rPr>
          <w:rFonts w:ascii="Times New Roman" w:hAnsi="Times New Roman" w:cs="Times New Roman"/>
          <w:sz w:val="28"/>
          <w:szCs w:val="28"/>
        </w:rPr>
        <w:t xml:space="preserve">Таблица </w:t>
      </w:r>
      <w:r w:rsidR="00122E31">
        <w:rPr>
          <w:rFonts w:ascii="Times New Roman" w:hAnsi="Times New Roman" w:cs="Times New Roman"/>
          <w:sz w:val="28"/>
          <w:szCs w:val="28"/>
          <w:lang w:val="kk-KZ"/>
        </w:rPr>
        <w:t>18</w:t>
      </w:r>
      <w:r w:rsidRPr="000C1190">
        <w:rPr>
          <w:rFonts w:ascii="Times New Roman" w:hAnsi="Times New Roman" w:cs="Times New Roman"/>
          <w:sz w:val="28"/>
          <w:szCs w:val="28"/>
          <w:lang w:val="kk-KZ"/>
        </w:rPr>
        <w:t xml:space="preserve"> – </w:t>
      </w:r>
      <w:r w:rsidRPr="000C1190">
        <w:rPr>
          <w:rFonts w:ascii="Times New Roman" w:hAnsi="Times New Roman" w:cs="Times New Roman"/>
          <w:sz w:val="28"/>
          <w:szCs w:val="28"/>
        </w:rPr>
        <w:t>Основные характеристики трёхклассовой модели LCA</w:t>
      </w:r>
    </w:p>
    <w:p w14:paraId="3913DA70" w14:textId="77777777" w:rsidR="0083769A" w:rsidRPr="00122E31" w:rsidRDefault="0083769A" w:rsidP="002F33D0">
      <w:pPr>
        <w:spacing w:after="0" w:line="240" w:lineRule="auto"/>
        <w:jc w:val="both"/>
        <w:rPr>
          <w:rFonts w:ascii="Times New Roman" w:hAnsi="Times New Roman" w:cs="Times New Roman"/>
          <w:sz w:val="20"/>
          <w:szCs w:val="20"/>
        </w:rPr>
      </w:pPr>
    </w:p>
    <w:tbl>
      <w:tblPr>
        <w:tblStyle w:val="a5"/>
        <w:tblW w:w="5000" w:type="pct"/>
        <w:tblLook w:val="04A0" w:firstRow="1" w:lastRow="0" w:firstColumn="1" w:lastColumn="0" w:noHBand="0" w:noVBand="1"/>
      </w:tblPr>
      <w:tblGrid>
        <w:gridCol w:w="3701"/>
        <w:gridCol w:w="5644"/>
      </w:tblGrid>
      <w:tr w:rsidR="000C1190" w:rsidRPr="0083769A" w14:paraId="0BD4336B" w14:textId="77777777" w:rsidTr="000C1190">
        <w:tc>
          <w:tcPr>
            <w:tcW w:w="1980" w:type="pct"/>
            <w:hideMark/>
          </w:tcPr>
          <w:p w14:paraId="798B6664" w14:textId="77777777" w:rsidR="000C1190" w:rsidRPr="0083769A" w:rsidRDefault="000C1190" w:rsidP="002F33D0">
            <w:pPr>
              <w:ind w:firstLine="0"/>
              <w:jc w:val="both"/>
              <w:rPr>
                <w:rFonts w:eastAsia="Times New Roman"/>
                <w:bCs/>
                <w:szCs w:val="24"/>
                <w:lang w:eastAsia="ru-RU"/>
              </w:rPr>
            </w:pPr>
            <w:r w:rsidRPr="0083769A">
              <w:rPr>
                <w:rFonts w:eastAsia="Times New Roman"/>
                <w:bCs/>
                <w:szCs w:val="24"/>
                <w:lang w:eastAsia="ru-RU"/>
              </w:rPr>
              <w:t>Показатель</w:t>
            </w:r>
          </w:p>
        </w:tc>
        <w:tc>
          <w:tcPr>
            <w:tcW w:w="3020" w:type="pct"/>
            <w:hideMark/>
          </w:tcPr>
          <w:p w14:paraId="73E3F8FF" w14:textId="77777777" w:rsidR="000C1190" w:rsidRPr="0083769A" w:rsidRDefault="000C1190" w:rsidP="002F33D0">
            <w:pPr>
              <w:ind w:firstLine="0"/>
              <w:jc w:val="both"/>
              <w:rPr>
                <w:rFonts w:eastAsia="Times New Roman"/>
                <w:bCs/>
                <w:szCs w:val="24"/>
                <w:lang w:eastAsia="ru-RU"/>
              </w:rPr>
            </w:pPr>
            <w:r w:rsidRPr="0083769A">
              <w:rPr>
                <w:rFonts w:eastAsia="Times New Roman"/>
                <w:bCs/>
                <w:szCs w:val="24"/>
                <w:lang w:eastAsia="ru-RU"/>
              </w:rPr>
              <w:t>Значение</w:t>
            </w:r>
          </w:p>
        </w:tc>
      </w:tr>
      <w:tr w:rsidR="000C1190" w:rsidRPr="0083769A" w14:paraId="354B7D7A" w14:textId="77777777" w:rsidTr="000C1190">
        <w:tc>
          <w:tcPr>
            <w:tcW w:w="1980" w:type="pct"/>
            <w:hideMark/>
          </w:tcPr>
          <w:p w14:paraId="66C54F2F" w14:textId="77777777" w:rsidR="000C1190" w:rsidRPr="0083769A" w:rsidRDefault="000C1190" w:rsidP="002F33D0">
            <w:pPr>
              <w:ind w:firstLine="0"/>
              <w:jc w:val="both"/>
              <w:rPr>
                <w:rFonts w:eastAsia="Times New Roman"/>
                <w:szCs w:val="24"/>
                <w:lang w:eastAsia="ru-RU"/>
              </w:rPr>
            </w:pPr>
            <w:r w:rsidRPr="0083769A">
              <w:rPr>
                <w:rFonts w:eastAsia="Times New Roman"/>
                <w:szCs w:val="24"/>
                <w:lang w:eastAsia="ru-RU"/>
              </w:rPr>
              <w:t>Количество наблюдений</w:t>
            </w:r>
          </w:p>
        </w:tc>
        <w:tc>
          <w:tcPr>
            <w:tcW w:w="3020" w:type="pct"/>
            <w:hideMark/>
          </w:tcPr>
          <w:p w14:paraId="3A7BAA92" w14:textId="77777777" w:rsidR="000C1190" w:rsidRPr="0083769A" w:rsidRDefault="000C1190" w:rsidP="002F33D0">
            <w:pPr>
              <w:ind w:firstLine="0"/>
              <w:jc w:val="both"/>
              <w:rPr>
                <w:rFonts w:eastAsia="Times New Roman"/>
                <w:szCs w:val="24"/>
                <w:lang w:eastAsia="ru-RU"/>
              </w:rPr>
            </w:pPr>
            <w:r w:rsidRPr="0083769A">
              <w:rPr>
                <w:rFonts w:eastAsia="Times New Roman"/>
                <w:szCs w:val="24"/>
                <w:lang w:eastAsia="ru-RU"/>
              </w:rPr>
              <w:t>500</w:t>
            </w:r>
          </w:p>
        </w:tc>
      </w:tr>
      <w:tr w:rsidR="000C1190" w:rsidRPr="0083769A" w14:paraId="6E0BF59D" w14:textId="77777777" w:rsidTr="000C1190">
        <w:tc>
          <w:tcPr>
            <w:tcW w:w="1980" w:type="pct"/>
            <w:hideMark/>
          </w:tcPr>
          <w:p w14:paraId="2C199461" w14:textId="77777777" w:rsidR="000C1190" w:rsidRPr="0083769A" w:rsidRDefault="000C1190" w:rsidP="002F33D0">
            <w:pPr>
              <w:ind w:firstLine="0"/>
              <w:jc w:val="both"/>
              <w:rPr>
                <w:rFonts w:eastAsia="Times New Roman"/>
                <w:szCs w:val="24"/>
                <w:lang w:eastAsia="ru-RU"/>
              </w:rPr>
            </w:pPr>
            <w:r w:rsidRPr="0083769A">
              <w:rPr>
                <w:rFonts w:eastAsia="Times New Roman"/>
                <w:szCs w:val="24"/>
                <w:lang w:eastAsia="ru-RU"/>
              </w:rPr>
              <w:t>Количество латентных классов</w:t>
            </w:r>
          </w:p>
        </w:tc>
        <w:tc>
          <w:tcPr>
            <w:tcW w:w="3020" w:type="pct"/>
            <w:hideMark/>
          </w:tcPr>
          <w:p w14:paraId="6C5E05A8" w14:textId="77777777" w:rsidR="000C1190" w:rsidRPr="0083769A" w:rsidRDefault="000C1190" w:rsidP="002F33D0">
            <w:pPr>
              <w:ind w:firstLine="0"/>
              <w:jc w:val="both"/>
              <w:rPr>
                <w:rFonts w:eastAsia="Times New Roman"/>
                <w:szCs w:val="24"/>
                <w:lang w:eastAsia="ru-RU"/>
              </w:rPr>
            </w:pPr>
            <w:r w:rsidRPr="0083769A">
              <w:rPr>
                <w:rFonts w:eastAsia="Times New Roman"/>
                <w:szCs w:val="24"/>
                <w:lang w:eastAsia="ru-RU"/>
              </w:rPr>
              <w:t>3</w:t>
            </w:r>
          </w:p>
        </w:tc>
      </w:tr>
      <w:tr w:rsidR="000C1190" w:rsidRPr="0083769A" w14:paraId="3B36EB53" w14:textId="77777777" w:rsidTr="000C1190">
        <w:tc>
          <w:tcPr>
            <w:tcW w:w="1980" w:type="pct"/>
            <w:hideMark/>
          </w:tcPr>
          <w:p w14:paraId="5BDA8457" w14:textId="77777777" w:rsidR="000C1190" w:rsidRPr="0083769A" w:rsidRDefault="000C1190" w:rsidP="002F33D0">
            <w:pPr>
              <w:ind w:firstLine="0"/>
              <w:jc w:val="both"/>
              <w:rPr>
                <w:rFonts w:eastAsia="Times New Roman"/>
                <w:szCs w:val="24"/>
                <w:lang w:eastAsia="ru-RU"/>
              </w:rPr>
            </w:pPr>
            <w:r w:rsidRPr="0083769A">
              <w:rPr>
                <w:rFonts w:eastAsia="Times New Roman"/>
                <w:szCs w:val="24"/>
                <w:lang w:eastAsia="ru-RU"/>
              </w:rPr>
              <w:t>Энтропия</w:t>
            </w:r>
          </w:p>
        </w:tc>
        <w:tc>
          <w:tcPr>
            <w:tcW w:w="3020" w:type="pct"/>
            <w:hideMark/>
          </w:tcPr>
          <w:p w14:paraId="6913E4A1" w14:textId="725EF58C" w:rsidR="000C1190" w:rsidRPr="0083769A" w:rsidRDefault="000C1190" w:rsidP="002F33D0">
            <w:pPr>
              <w:ind w:firstLine="0"/>
              <w:jc w:val="both"/>
              <w:rPr>
                <w:rFonts w:eastAsia="Times New Roman"/>
                <w:szCs w:val="24"/>
                <w:lang w:eastAsia="ru-RU"/>
              </w:rPr>
            </w:pPr>
            <w:r w:rsidRPr="0083769A">
              <w:rPr>
                <w:rFonts w:eastAsia="Times New Roman"/>
                <w:szCs w:val="24"/>
                <w:lang w:eastAsia="ru-RU"/>
              </w:rPr>
              <w:t>0</w:t>
            </w:r>
            <w:r w:rsidR="0083769A">
              <w:rPr>
                <w:rFonts w:eastAsia="Times New Roman"/>
                <w:szCs w:val="24"/>
                <w:lang w:val="kk-KZ" w:eastAsia="ru-RU"/>
              </w:rPr>
              <w:t>,</w:t>
            </w:r>
            <w:r w:rsidRPr="0083769A">
              <w:rPr>
                <w:rFonts w:eastAsia="Times New Roman"/>
                <w:szCs w:val="24"/>
                <w:lang w:eastAsia="ru-RU"/>
              </w:rPr>
              <w:t>682</w:t>
            </w:r>
          </w:p>
        </w:tc>
      </w:tr>
      <w:tr w:rsidR="000C1190" w:rsidRPr="0083769A" w14:paraId="4B0A21B6" w14:textId="77777777" w:rsidTr="000C1190">
        <w:tc>
          <w:tcPr>
            <w:tcW w:w="1980" w:type="pct"/>
            <w:hideMark/>
          </w:tcPr>
          <w:p w14:paraId="44EEAC23" w14:textId="77777777" w:rsidR="000C1190" w:rsidRPr="0083769A" w:rsidRDefault="000C1190" w:rsidP="002F33D0">
            <w:pPr>
              <w:ind w:firstLine="0"/>
              <w:jc w:val="both"/>
              <w:rPr>
                <w:rFonts w:eastAsia="Times New Roman"/>
                <w:szCs w:val="24"/>
                <w:lang w:eastAsia="ru-RU"/>
              </w:rPr>
            </w:pPr>
            <w:r w:rsidRPr="0083769A">
              <w:rPr>
                <w:rFonts w:eastAsia="Times New Roman"/>
                <w:szCs w:val="24"/>
                <w:lang w:eastAsia="ru-RU"/>
              </w:rPr>
              <w:t>Доли по классам</w:t>
            </w:r>
          </w:p>
        </w:tc>
        <w:tc>
          <w:tcPr>
            <w:tcW w:w="3020" w:type="pct"/>
            <w:hideMark/>
          </w:tcPr>
          <w:p w14:paraId="134EA484" w14:textId="615528F3" w:rsidR="000C1190" w:rsidRPr="0083769A" w:rsidRDefault="000C1190" w:rsidP="002F33D0">
            <w:pPr>
              <w:ind w:firstLine="0"/>
              <w:jc w:val="both"/>
              <w:rPr>
                <w:rFonts w:eastAsia="Times New Roman"/>
                <w:szCs w:val="24"/>
                <w:lang w:eastAsia="ru-RU"/>
              </w:rPr>
            </w:pPr>
            <w:r w:rsidRPr="0083769A">
              <w:rPr>
                <w:rFonts w:eastAsia="Times New Roman"/>
                <w:szCs w:val="24"/>
                <w:lang w:eastAsia="ru-RU"/>
              </w:rPr>
              <w:t xml:space="preserve">Класс 1 </w:t>
            </w:r>
            <w:r w:rsidR="009D20AE">
              <w:rPr>
                <w:rFonts w:eastAsia="Times New Roman"/>
                <w:szCs w:val="24"/>
                <w:lang w:eastAsia="ru-RU"/>
              </w:rPr>
              <w:t>–</w:t>
            </w:r>
            <w:r w:rsidRPr="0083769A">
              <w:rPr>
                <w:rFonts w:eastAsia="Times New Roman"/>
                <w:szCs w:val="24"/>
                <w:lang w:eastAsia="ru-RU"/>
              </w:rPr>
              <w:t xml:space="preserve"> 78%</w:t>
            </w:r>
            <w:r w:rsidRPr="0083769A">
              <w:rPr>
                <w:rFonts w:eastAsia="Times New Roman"/>
                <w:szCs w:val="24"/>
                <w:lang w:val="kk-KZ" w:eastAsia="ru-RU"/>
              </w:rPr>
              <w:t xml:space="preserve">; </w:t>
            </w:r>
            <w:r w:rsidRPr="0083769A">
              <w:rPr>
                <w:rFonts w:eastAsia="Times New Roman"/>
                <w:szCs w:val="24"/>
                <w:lang w:eastAsia="ru-RU"/>
              </w:rPr>
              <w:t xml:space="preserve">Класс 2 </w:t>
            </w:r>
            <w:r w:rsidR="009D20AE">
              <w:rPr>
                <w:rFonts w:eastAsia="Times New Roman"/>
                <w:szCs w:val="24"/>
                <w:lang w:eastAsia="ru-RU"/>
              </w:rPr>
              <w:t>–</w:t>
            </w:r>
            <w:r w:rsidRPr="0083769A">
              <w:rPr>
                <w:rFonts w:eastAsia="Times New Roman"/>
                <w:szCs w:val="24"/>
                <w:lang w:eastAsia="ru-RU"/>
              </w:rPr>
              <w:t xml:space="preserve"> 6</w:t>
            </w:r>
            <w:r w:rsidR="0083769A">
              <w:rPr>
                <w:rFonts w:eastAsia="Times New Roman"/>
                <w:szCs w:val="24"/>
                <w:lang w:val="kk-KZ" w:eastAsia="ru-RU"/>
              </w:rPr>
              <w:t>,</w:t>
            </w:r>
            <w:r w:rsidRPr="0083769A">
              <w:rPr>
                <w:rFonts w:eastAsia="Times New Roman"/>
                <w:szCs w:val="24"/>
                <w:lang w:eastAsia="ru-RU"/>
              </w:rPr>
              <w:t>7%</w:t>
            </w:r>
            <w:r w:rsidRPr="0083769A">
              <w:rPr>
                <w:rFonts w:eastAsia="Times New Roman"/>
                <w:szCs w:val="24"/>
                <w:lang w:val="kk-KZ" w:eastAsia="ru-RU"/>
              </w:rPr>
              <w:t xml:space="preserve">; </w:t>
            </w:r>
            <w:r w:rsidRPr="0083769A">
              <w:rPr>
                <w:rFonts w:eastAsia="Times New Roman"/>
                <w:szCs w:val="24"/>
                <w:lang w:eastAsia="ru-RU"/>
              </w:rPr>
              <w:t xml:space="preserve">Класс 3 </w:t>
            </w:r>
            <w:r w:rsidR="009D20AE">
              <w:rPr>
                <w:rFonts w:eastAsia="Times New Roman"/>
                <w:szCs w:val="24"/>
                <w:lang w:eastAsia="ru-RU"/>
              </w:rPr>
              <w:t>–</w:t>
            </w:r>
            <w:r w:rsidRPr="0083769A">
              <w:rPr>
                <w:rFonts w:eastAsia="Times New Roman"/>
                <w:szCs w:val="24"/>
                <w:lang w:eastAsia="ru-RU"/>
              </w:rPr>
              <w:t xml:space="preserve"> 15</w:t>
            </w:r>
            <w:r w:rsidR="0083769A">
              <w:rPr>
                <w:rFonts w:eastAsia="Times New Roman"/>
                <w:szCs w:val="24"/>
                <w:lang w:val="kk-KZ" w:eastAsia="ru-RU"/>
              </w:rPr>
              <w:t>,</w:t>
            </w:r>
            <w:r w:rsidRPr="0083769A">
              <w:rPr>
                <w:rFonts w:eastAsia="Times New Roman"/>
                <w:szCs w:val="24"/>
                <w:lang w:eastAsia="ru-RU"/>
              </w:rPr>
              <w:t>3%</w:t>
            </w:r>
          </w:p>
        </w:tc>
      </w:tr>
      <w:tr w:rsidR="000C1190" w:rsidRPr="0083769A" w14:paraId="2DD3EA3A" w14:textId="77777777" w:rsidTr="000C1190">
        <w:tc>
          <w:tcPr>
            <w:tcW w:w="1980" w:type="pct"/>
            <w:hideMark/>
          </w:tcPr>
          <w:p w14:paraId="5EBC2113" w14:textId="77777777" w:rsidR="000C1190" w:rsidRPr="0083769A" w:rsidRDefault="000C1190" w:rsidP="002F33D0">
            <w:pPr>
              <w:ind w:firstLine="0"/>
              <w:jc w:val="both"/>
              <w:rPr>
                <w:rFonts w:eastAsia="Times New Roman"/>
                <w:szCs w:val="24"/>
                <w:lang w:eastAsia="ru-RU"/>
              </w:rPr>
            </w:pPr>
            <w:r w:rsidRPr="0083769A">
              <w:rPr>
                <w:rFonts w:eastAsia="Times New Roman"/>
                <w:szCs w:val="24"/>
                <w:lang w:eastAsia="ru-RU"/>
              </w:rPr>
              <w:t>Наилучшие показатели</w:t>
            </w:r>
          </w:p>
        </w:tc>
        <w:tc>
          <w:tcPr>
            <w:tcW w:w="3020" w:type="pct"/>
            <w:hideMark/>
          </w:tcPr>
          <w:p w14:paraId="724DCD8F" w14:textId="77777777" w:rsidR="000C1190" w:rsidRPr="0083769A" w:rsidRDefault="000C1190" w:rsidP="002F33D0">
            <w:pPr>
              <w:ind w:firstLine="0"/>
              <w:jc w:val="both"/>
              <w:rPr>
                <w:rFonts w:eastAsia="Times New Roman"/>
                <w:szCs w:val="24"/>
                <w:lang w:eastAsia="ru-RU"/>
              </w:rPr>
            </w:pPr>
            <w:r w:rsidRPr="0083769A">
              <w:rPr>
                <w:rFonts w:eastAsia="Times New Roman"/>
                <w:szCs w:val="24"/>
                <w:lang w:eastAsia="ru-RU"/>
              </w:rPr>
              <w:t>AIC = 6027, BIC = 6199</w:t>
            </w:r>
          </w:p>
        </w:tc>
      </w:tr>
      <w:tr w:rsidR="00122E31" w:rsidRPr="0083769A" w14:paraId="5FA40EFE" w14:textId="77777777" w:rsidTr="00122E31">
        <w:tc>
          <w:tcPr>
            <w:tcW w:w="5000" w:type="pct"/>
            <w:gridSpan w:val="2"/>
          </w:tcPr>
          <w:p w14:paraId="63B98805" w14:textId="2FA727D0" w:rsidR="00122E31" w:rsidRPr="00EE311D" w:rsidRDefault="00122E31" w:rsidP="000F3C80">
            <w:pPr>
              <w:ind w:firstLine="459"/>
              <w:jc w:val="both"/>
              <w:rPr>
                <w:rFonts w:eastAsia="Times New Roman"/>
                <w:szCs w:val="24"/>
                <w:lang w:eastAsia="ru-RU"/>
              </w:rPr>
            </w:pPr>
            <w:r w:rsidRPr="00EE311D">
              <w:rPr>
                <w:rFonts w:eastAsia="Times New Roman"/>
                <w:szCs w:val="24"/>
                <w:lang w:val="kk-KZ" w:eastAsia="ru-RU"/>
              </w:rPr>
              <w:t xml:space="preserve">Примечание – </w:t>
            </w:r>
            <w:r w:rsidR="000F3C80" w:rsidRPr="00EE311D">
              <w:rPr>
                <w:rFonts w:eastAsia="Times New Roman"/>
                <w:szCs w:val="24"/>
                <w:lang w:val="kk-KZ" w:eastAsia="ru-RU"/>
              </w:rPr>
              <w:t>С</w:t>
            </w:r>
            <w:r w:rsidRPr="00EE311D">
              <w:rPr>
                <w:rFonts w:eastAsia="Times New Roman"/>
                <w:szCs w:val="24"/>
                <w:lang w:val="kk-KZ" w:eastAsia="ru-RU"/>
              </w:rPr>
              <w:t>оставлено автором</w:t>
            </w:r>
          </w:p>
        </w:tc>
      </w:tr>
    </w:tbl>
    <w:p w14:paraId="35CD6F8A" w14:textId="77777777" w:rsidR="000C1190" w:rsidRPr="000C1190" w:rsidRDefault="000C1190" w:rsidP="002F33D0">
      <w:pPr>
        <w:spacing w:after="0" w:line="240" w:lineRule="auto"/>
        <w:ind w:firstLine="567"/>
        <w:jc w:val="both"/>
        <w:rPr>
          <w:rFonts w:ascii="Times New Roman" w:hAnsi="Times New Roman" w:cs="Times New Roman"/>
          <w:sz w:val="28"/>
          <w:szCs w:val="28"/>
        </w:rPr>
      </w:pPr>
    </w:p>
    <w:p w14:paraId="253CCB04"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Полученные результаты латентного анализа показывают, что высокий уровень инновационного потенциала достигается не за счёт формального присутствия всех культурных практик, а благодаря гибкому, адаптивному их сочетанию, характерному для предприятий третьего кластера.</w:t>
      </w:r>
      <w:r w:rsidRPr="000C1190">
        <w:rPr>
          <w:rFonts w:ascii="Times New Roman" w:hAnsi="Times New Roman" w:cs="Times New Roman"/>
          <w:sz w:val="28"/>
          <w:szCs w:val="28"/>
          <w:lang w:val="kk-KZ"/>
        </w:rPr>
        <w:t xml:space="preserve"> </w:t>
      </w:r>
      <w:r w:rsidRPr="000C1190">
        <w:rPr>
          <w:rFonts w:ascii="Times New Roman" w:hAnsi="Times New Roman" w:cs="Times New Roman"/>
          <w:sz w:val="28"/>
          <w:szCs w:val="28"/>
        </w:rPr>
        <w:t>Это подчёркивает, что источником конкурентного преимущества выступает не столько институциональная полнота, сколько внутренняя гибкость инновационной культуры в условиях цифровой трансформации.</w:t>
      </w:r>
    </w:p>
    <w:p w14:paraId="28450FAD" w14:textId="72F418B5" w:rsidR="000C1190" w:rsidRPr="000C1190" w:rsidRDefault="000C1190" w:rsidP="007F5E68">
      <w:pPr>
        <w:pStyle w:val="a3"/>
        <w:numPr>
          <w:ilvl w:val="0"/>
          <w:numId w:val="9"/>
        </w:numPr>
        <w:tabs>
          <w:tab w:val="left" w:pos="851"/>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Класс 1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«Формальные структуры» (78%)</w:t>
      </w:r>
    </w:p>
    <w:p w14:paraId="7C7734AA"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Характеризуется низкой вероятностью наличия любых практик.</w:t>
      </w:r>
    </w:p>
    <w:p w14:paraId="042C4F47"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Представляет собой типовую модель декларативной культуры, не закреплённой институционально.</w:t>
      </w:r>
    </w:p>
    <w:p w14:paraId="32EA1177" w14:textId="4C3C49A5" w:rsidR="000C1190" w:rsidRPr="000C1190" w:rsidRDefault="000C1190" w:rsidP="007F5E68">
      <w:pPr>
        <w:pStyle w:val="a3"/>
        <w:numPr>
          <w:ilvl w:val="0"/>
          <w:numId w:val="9"/>
        </w:numPr>
        <w:tabs>
          <w:tab w:val="left" w:pos="851"/>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Класс 2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«Институционально зрелые» (6</w:t>
      </w:r>
      <w:r w:rsidR="0083769A">
        <w:rPr>
          <w:rFonts w:ascii="Times New Roman" w:hAnsi="Times New Roman" w:cs="Times New Roman"/>
          <w:sz w:val="28"/>
          <w:szCs w:val="28"/>
          <w:lang w:val="kk-KZ"/>
        </w:rPr>
        <w:t>,</w:t>
      </w:r>
      <w:r w:rsidRPr="000C1190">
        <w:rPr>
          <w:rFonts w:ascii="Times New Roman" w:hAnsi="Times New Roman" w:cs="Times New Roman"/>
          <w:sz w:val="28"/>
          <w:szCs w:val="28"/>
        </w:rPr>
        <w:t>7%)</w:t>
      </w:r>
    </w:p>
    <w:p w14:paraId="58ACBE52"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Высокие значения по большинству показателей.</w:t>
      </w:r>
    </w:p>
    <w:p w14:paraId="760E438D"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Наиболее последовательно реализуют инновационную культуру, однако субъективная оценка потенциала остается на среднем уровне.</w:t>
      </w:r>
    </w:p>
    <w:p w14:paraId="1C426A6A" w14:textId="60EE960A" w:rsidR="000C1190" w:rsidRPr="000C1190" w:rsidRDefault="000C1190" w:rsidP="007F5E68">
      <w:pPr>
        <w:pStyle w:val="a3"/>
        <w:numPr>
          <w:ilvl w:val="0"/>
          <w:numId w:val="9"/>
        </w:numPr>
        <w:tabs>
          <w:tab w:val="left" w:pos="851"/>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Класс 3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«Ситуативно активные» (15</w:t>
      </w:r>
      <w:r w:rsidR="0083769A">
        <w:rPr>
          <w:rFonts w:ascii="Times New Roman" w:hAnsi="Times New Roman" w:cs="Times New Roman"/>
          <w:sz w:val="28"/>
          <w:szCs w:val="28"/>
          <w:lang w:val="kk-KZ"/>
        </w:rPr>
        <w:t>,</w:t>
      </w:r>
      <w:r w:rsidRPr="000C1190">
        <w:rPr>
          <w:rFonts w:ascii="Times New Roman" w:hAnsi="Times New Roman" w:cs="Times New Roman"/>
          <w:sz w:val="28"/>
          <w:szCs w:val="28"/>
        </w:rPr>
        <w:t>3%)</w:t>
      </w:r>
    </w:p>
    <w:p w14:paraId="05D139E8" w14:textId="568AC831" w:rsidR="000C1190" w:rsidRPr="00122E31"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rPr>
        <w:t>Средние значения по ключевым индикаторам.</w:t>
      </w:r>
      <w:r w:rsidR="0083769A">
        <w:rPr>
          <w:rFonts w:ascii="Times New Roman" w:hAnsi="Times New Roman" w:cs="Times New Roman"/>
          <w:sz w:val="28"/>
          <w:szCs w:val="28"/>
          <w:lang w:val="kk-KZ"/>
        </w:rPr>
        <w:t xml:space="preserve"> </w:t>
      </w:r>
      <w:r w:rsidRPr="000C1190">
        <w:rPr>
          <w:rFonts w:ascii="Times New Roman" w:hAnsi="Times New Roman" w:cs="Times New Roman"/>
          <w:sz w:val="28"/>
          <w:szCs w:val="28"/>
        </w:rPr>
        <w:t xml:space="preserve">Демонстрируют наивысшую вероятность оценки потенциала как </w:t>
      </w:r>
      <w:r w:rsidR="0083769A">
        <w:rPr>
          <w:rFonts w:ascii="Times New Roman" w:hAnsi="Times New Roman" w:cs="Times New Roman"/>
          <w:sz w:val="28"/>
          <w:szCs w:val="28"/>
          <w:lang w:val="kk-KZ"/>
        </w:rPr>
        <w:t>«</w:t>
      </w:r>
      <w:r w:rsidRPr="000C1190">
        <w:rPr>
          <w:rFonts w:ascii="Times New Roman" w:hAnsi="Times New Roman" w:cs="Times New Roman"/>
          <w:sz w:val="28"/>
          <w:szCs w:val="28"/>
        </w:rPr>
        <w:t>очень высокий</w:t>
      </w:r>
      <w:r w:rsidR="0083769A">
        <w:rPr>
          <w:rFonts w:ascii="Times New Roman" w:hAnsi="Times New Roman" w:cs="Times New Roman"/>
          <w:sz w:val="28"/>
          <w:szCs w:val="28"/>
          <w:lang w:val="kk-KZ"/>
        </w:rPr>
        <w:t>»</w:t>
      </w:r>
      <w:r w:rsidRPr="000C1190">
        <w:rPr>
          <w:rFonts w:ascii="Times New Roman" w:hAnsi="Times New Roman" w:cs="Times New Roman"/>
          <w:sz w:val="28"/>
          <w:szCs w:val="28"/>
        </w:rPr>
        <w:t xml:space="preserve"> (15</w:t>
      </w:r>
      <w:r w:rsidR="0083769A">
        <w:rPr>
          <w:rFonts w:ascii="Times New Roman" w:hAnsi="Times New Roman" w:cs="Times New Roman"/>
          <w:sz w:val="28"/>
          <w:szCs w:val="28"/>
          <w:lang w:val="kk-KZ"/>
        </w:rPr>
        <w:t>,</w:t>
      </w:r>
      <w:r w:rsidRPr="000C1190">
        <w:rPr>
          <w:rFonts w:ascii="Times New Roman" w:hAnsi="Times New Roman" w:cs="Times New Roman"/>
          <w:sz w:val="28"/>
          <w:szCs w:val="28"/>
        </w:rPr>
        <w:t>4%), несмотря на неполное внедрение всех практик.</w:t>
      </w:r>
      <w:r w:rsidR="00122E31">
        <w:rPr>
          <w:rFonts w:ascii="Times New Roman" w:hAnsi="Times New Roman" w:cs="Times New Roman"/>
          <w:sz w:val="28"/>
          <w:szCs w:val="28"/>
          <w:lang w:val="kk-KZ"/>
        </w:rPr>
        <w:t xml:space="preserve"> </w:t>
      </w:r>
      <w:r w:rsidR="00122E31" w:rsidRPr="000C1190">
        <w:rPr>
          <w:rFonts w:ascii="Times New Roman" w:hAnsi="Times New Roman" w:cs="Times New Roman"/>
          <w:sz w:val="28"/>
          <w:szCs w:val="28"/>
        </w:rPr>
        <w:t>Распределение оценок инновационного потенциала по кластерам</w:t>
      </w:r>
      <w:r w:rsidR="00122E31">
        <w:rPr>
          <w:rFonts w:ascii="Times New Roman" w:hAnsi="Times New Roman" w:cs="Times New Roman"/>
          <w:sz w:val="28"/>
          <w:szCs w:val="28"/>
          <w:lang w:val="kk-KZ"/>
        </w:rPr>
        <w:t xml:space="preserve"> представлены в таблице 19.</w:t>
      </w:r>
    </w:p>
    <w:p w14:paraId="7BB89E68" w14:textId="167C7D2C" w:rsidR="000C1190" w:rsidRDefault="003F0E8F"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Для оценки различий в восприятии инновационного потенциала между кластерами была построена кросс-таблица, отражающая распределение оценок (от 1 до 5) внутри каждого латентного класса. Важно отметить, что приведённые в таблице значения отражают долю респондентов с определённой оценкой потенциала в рамках конкретного кластера, а не долю самих кластеров от общей выборки.</w:t>
      </w:r>
      <w:r>
        <w:rPr>
          <w:rFonts w:ascii="Times New Roman" w:hAnsi="Times New Roman" w:cs="Times New Roman"/>
          <w:sz w:val="28"/>
          <w:szCs w:val="28"/>
          <w:lang w:val="kk-KZ"/>
        </w:rPr>
        <w:t xml:space="preserve"> </w:t>
      </w:r>
      <w:r w:rsidRPr="000C1190">
        <w:rPr>
          <w:rFonts w:ascii="Times New Roman" w:hAnsi="Times New Roman" w:cs="Times New Roman"/>
          <w:sz w:val="28"/>
          <w:szCs w:val="28"/>
        </w:rPr>
        <w:t>Сами доли кластеров (78%, 6</w:t>
      </w:r>
      <w:r>
        <w:rPr>
          <w:rFonts w:ascii="Times New Roman" w:hAnsi="Times New Roman" w:cs="Times New Roman"/>
          <w:sz w:val="28"/>
          <w:szCs w:val="28"/>
          <w:lang w:val="kk-KZ"/>
        </w:rPr>
        <w:t>,</w:t>
      </w:r>
      <w:r w:rsidRPr="000C1190">
        <w:rPr>
          <w:rFonts w:ascii="Times New Roman" w:hAnsi="Times New Roman" w:cs="Times New Roman"/>
          <w:sz w:val="28"/>
          <w:szCs w:val="28"/>
        </w:rPr>
        <w:t>7%, 15</w:t>
      </w:r>
      <w:r>
        <w:rPr>
          <w:rFonts w:ascii="Times New Roman" w:hAnsi="Times New Roman" w:cs="Times New Roman"/>
          <w:sz w:val="28"/>
          <w:szCs w:val="28"/>
          <w:lang w:val="kk-KZ"/>
        </w:rPr>
        <w:t>,</w:t>
      </w:r>
      <w:r w:rsidRPr="000C1190">
        <w:rPr>
          <w:rFonts w:ascii="Times New Roman" w:hAnsi="Times New Roman" w:cs="Times New Roman"/>
          <w:sz w:val="28"/>
          <w:szCs w:val="28"/>
        </w:rPr>
        <w:t>3%) были получены по результатам латентного кластерного моделирования и отражают структуру выборки.</w:t>
      </w:r>
    </w:p>
    <w:p w14:paraId="40DAABFE" w14:textId="77777777" w:rsidR="003F0E8F" w:rsidRPr="000C1190" w:rsidRDefault="003F0E8F" w:rsidP="002F33D0">
      <w:pPr>
        <w:tabs>
          <w:tab w:val="left" w:pos="851"/>
        </w:tabs>
        <w:spacing w:after="0" w:line="240" w:lineRule="auto"/>
        <w:ind w:firstLine="567"/>
        <w:jc w:val="both"/>
        <w:rPr>
          <w:rFonts w:ascii="Times New Roman" w:hAnsi="Times New Roman" w:cs="Times New Roman"/>
          <w:sz w:val="28"/>
          <w:szCs w:val="28"/>
        </w:rPr>
      </w:pPr>
    </w:p>
    <w:p w14:paraId="74A1FE01" w14:textId="2863441A" w:rsidR="000C1190" w:rsidRDefault="000C1190" w:rsidP="002F33D0">
      <w:pPr>
        <w:tabs>
          <w:tab w:val="left" w:pos="851"/>
        </w:tabs>
        <w:spacing w:after="0" w:line="240" w:lineRule="auto"/>
        <w:jc w:val="both"/>
        <w:rPr>
          <w:rFonts w:ascii="Times New Roman" w:hAnsi="Times New Roman" w:cs="Times New Roman"/>
          <w:sz w:val="28"/>
          <w:szCs w:val="28"/>
        </w:rPr>
      </w:pPr>
      <w:r w:rsidRPr="000C1190">
        <w:rPr>
          <w:rFonts w:ascii="Times New Roman" w:hAnsi="Times New Roman" w:cs="Times New Roman"/>
          <w:sz w:val="28"/>
          <w:szCs w:val="28"/>
        </w:rPr>
        <w:t xml:space="preserve">Таблица </w:t>
      </w:r>
      <w:r w:rsidR="00122E31">
        <w:rPr>
          <w:rFonts w:ascii="Times New Roman" w:hAnsi="Times New Roman" w:cs="Times New Roman"/>
          <w:sz w:val="28"/>
          <w:szCs w:val="28"/>
          <w:lang w:val="kk-KZ"/>
        </w:rPr>
        <w:t>19</w:t>
      </w:r>
      <w:r w:rsidRPr="000C1190">
        <w:rPr>
          <w:rFonts w:ascii="Times New Roman" w:hAnsi="Times New Roman" w:cs="Times New Roman"/>
          <w:sz w:val="28"/>
          <w:szCs w:val="28"/>
          <w:lang w:val="kk-KZ"/>
        </w:rPr>
        <w:t xml:space="preserve"> – </w:t>
      </w:r>
      <w:r w:rsidRPr="000C1190">
        <w:rPr>
          <w:rFonts w:ascii="Times New Roman" w:hAnsi="Times New Roman" w:cs="Times New Roman"/>
          <w:sz w:val="28"/>
          <w:szCs w:val="28"/>
        </w:rPr>
        <w:t>Распределение оценок инновационного потенциала по кластерам</w:t>
      </w:r>
    </w:p>
    <w:p w14:paraId="5526F654" w14:textId="77777777" w:rsidR="0083769A" w:rsidRPr="00122E31" w:rsidRDefault="0083769A" w:rsidP="002F33D0">
      <w:pPr>
        <w:tabs>
          <w:tab w:val="left" w:pos="851"/>
        </w:tabs>
        <w:spacing w:after="0" w:line="240" w:lineRule="auto"/>
        <w:jc w:val="both"/>
        <w:rPr>
          <w:rFonts w:ascii="Times New Roman" w:hAnsi="Times New Roman" w:cs="Times New Roman"/>
          <w:sz w:val="20"/>
          <w:szCs w:val="20"/>
        </w:rPr>
      </w:pPr>
    </w:p>
    <w:tbl>
      <w:tblPr>
        <w:tblStyle w:val="a5"/>
        <w:tblW w:w="5000" w:type="pct"/>
        <w:tblLook w:val="04A0" w:firstRow="1" w:lastRow="0" w:firstColumn="1" w:lastColumn="0" w:noHBand="0" w:noVBand="1"/>
      </w:tblPr>
      <w:tblGrid>
        <w:gridCol w:w="4047"/>
        <w:gridCol w:w="1766"/>
        <w:gridCol w:w="1766"/>
        <w:gridCol w:w="1766"/>
      </w:tblGrid>
      <w:tr w:rsidR="000C1190" w:rsidRPr="0083769A" w14:paraId="40FE5AB7" w14:textId="77777777" w:rsidTr="000C1190">
        <w:tc>
          <w:tcPr>
            <w:tcW w:w="2165" w:type="pct"/>
            <w:hideMark/>
          </w:tcPr>
          <w:p w14:paraId="059A60E1" w14:textId="77777777" w:rsidR="000C1190" w:rsidRPr="0083769A" w:rsidRDefault="000C1190" w:rsidP="002F33D0">
            <w:pPr>
              <w:ind w:firstLine="0"/>
              <w:jc w:val="center"/>
              <w:rPr>
                <w:rFonts w:eastAsia="Times New Roman"/>
                <w:bCs/>
                <w:szCs w:val="24"/>
                <w:lang w:eastAsia="ru-RU"/>
              </w:rPr>
            </w:pPr>
            <w:r w:rsidRPr="0083769A">
              <w:rPr>
                <w:rFonts w:eastAsia="Times New Roman"/>
                <w:bCs/>
                <w:szCs w:val="24"/>
                <w:lang w:eastAsia="ru-RU"/>
              </w:rPr>
              <w:t>Оценка потенциала</w:t>
            </w:r>
          </w:p>
        </w:tc>
        <w:tc>
          <w:tcPr>
            <w:tcW w:w="945" w:type="pct"/>
            <w:hideMark/>
          </w:tcPr>
          <w:p w14:paraId="0E835C9A" w14:textId="77777777" w:rsidR="000C1190" w:rsidRPr="0083769A" w:rsidRDefault="000C1190" w:rsidP="002F33D0">
            <w:pPr>
              <w:ind w:firstLine="0"/>
              <w:jc w:val="center"/>
              <w:rPr>
                <w:rFonts w:eastAsia="Times New Roman"/>
                <w:bCs/>
                <w:szCs w:val="24"/>
                <w:lang w:eastAsia="ru-RU"/>
              </w:rPr>
            </w:pPr>
            <w:r w:rsidRPr="0083769A">
              <w:rPr>
                <w:rFonts w:eastAsia="Times New Roman"/>
                <w:bCs/>
                <w:szCs w:val="24"/>
                <w:lang w:eastAsia="ru-RU"/>
              </w:rPr>
              <w:t>Класс 1</w:t>
            </w:r>
          </w:p>
        </w:tc>
        <w:tc>
          <w:tcPr>
            <w:tcW w:w="945" w:type="pct"/>
            <w:hideMark/>
          </w:tcPr>
          <w:p w14:paraId="608430A6" w14:textId="77777777" w:rsidR="000C1190" w:rsidRPr="0083769A" w:rsidRDefault="000C1190" w:rsidP="002F33D0">
            <w:pPr>
              <w:ind w:firstLine="0"/>
              <w:jc w:val="center"/>
              <w:rPr>
                <w:rFonts w:eastAsia="Times New Roman"/>
                <w:bCs/>
                <w:szCs w:val="24"/>
                <w:lang w:eastAsia="ru-RU"/>
              </w:rPr>
            </w:pPr>
            <w:r w:rsidRPr="0083769A">
              <w:rPr>
                <w:rFonts w:eastAsia="Times New Roman"/>
                <w:bCs/>
                <w:szCs w:val="24"/>
                <w:lang w:eastAsia="ru-RU"/>
              </w:rPr>
              <w:t>Класс 2</w:t>
            </w:r>
          </w:p>
        </w:tc>
        <w:tc>
          <w:tcPr>
            <w:tcW w:w="945" w:type="pct"/>
            <w:hideMark/>
          </w:tcPr>
          <w:p w14:paraId="4A4B2CB1" w14:textId="77777777" w:rsidR="000C1190" w:rsidRPr="0083769A" w:rsidRDefault="000C1190" w:rsidP="002F33D0">
            <w:pPr>
              <w:ind w:firstLine="0"/>
              <w:jc w:val="center"/>
              <w:rPr>
                <w:rFonts w:eastAsia="Times New Roman"/>
                <w:bCs/>
                <w:szCs w:val="24"/>
                <w:lang w:eastAsia="ru-RU"/>
              </w:rPr>
            </w:pPr>
            <w:r w:rsidRPr="0083769A">
              <w:rPr>
                <w:rFonts w:eastAsia="Times New Roman"/>
                <w:bCs/>
                <w:szCs w:val="24"/>
                <w:lang w:eastAsia="ru-RU"/>
              </w:rPr>
              <w:t>Класс 3</w:t>
            </w:r>
          </w:p>
        </w:tc>
      </w:tr>
      <w:tr w:rsidR="000C1190" w:rsidRPr="0083769A" w14:paraId="15F26EC4" w14:textId="77777777" w:rsidTr="000C1190">
        <w:tc>
          <w:tcPr>
            <w:tcW w:w="2165" w:type="pct"/>
            <w:hideMark/>
          </w:tcPr>
          <w:p w14:paraId="78EB0534" w14:textId="77777777"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1 (очень низкий)</w:t>
            </w:r>
          </w:p>
        </w:tc>
        <w:tc>
          <w:tcPr>
            <w:tcW w:w="945" w:type="pct"/>
            <w:hideMark/>
          </w:tcPr>
          <w:p w14:paraId="6B339D37" w14:textId="7E3513D6"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0</w:t>
            </w:r>
            <w:r w:rsidR="0083769A">
              <w:rPr>
                <w:rFonts w:eastAsia="Times New Roman"/>
                <w:szCs w:val="24"/>
                <w:lang w:val="kk-KZ" w:eastAsia="ru-RU"/>
              </w:rPr>
              <w:t>,</w:t>
            </w:r>
            <w:r w:rsidRPr="0083769A">
              <w:rPr>
                <w:rFonts w:eastAsia="Times New Roman"/>
                <w:szCs w:val="24"/>
                <w:lang w:eastAsia="ru-RU"/>
              </w:rPr>
              <w:t>0%</w:t>
            </w:r>
          </w:p>
        </w:tc>
        <w:tc>
          <w:tcPr>
            <w:tcW w:w="945" w:type="pct"/>
            <w:hideMark/>
          </w:tcPr>
          <w:p w14:paraId="3623349A" w14:textId="5D02D251"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3</w:t>
            </w:r>
            <w:r w:rsidR="0083769A">
              <w:rPr>
                <w:rFonts w:eastAsia="Times New Roman"/>
                <w:szCs w:val="24"/>
                <w:lang w:val="kk-KZ" w:eastAsia="ru-RU"/>
              </w:rPr>
              <w:t>,</w:t>
            </w:r>
            <w:r w:rsidRPr="0083769A">
              <w:rPr>
                <w:rFonts w:eastAsia="Times New Roman"/>
                <w:szCs w:val="24"/>
                <w:lang w:eastAsia="ru-RU"/>
              </w:rPr>
              <w:t>2%</w:t>
            </w:r>
          </w:p>
        </w:tc>
        <w:tc>
          <w:tcPr>
            <w:tcW w:w="945" w:type="pct"/>
            <w:hideMark/>
          </w:tcPr>
          <w:p w14:paraId="7FA5C7E4" w14:textId="6ACA6497"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1</w:t>
            </w:r>
            <w:r w:rsidR="0083769A">
              <w:rPr>
                <w:rFonts w:eastAsia="Times New Roman"/>
                <w:szCs w:val="24"/>
                <w:lang w:val="kk-KZ" w:eastAsia="ru-RU"/>
              </w:rPr>
              <w:t>,</w:t>
            </w:r>
            <w:r w:rsidRPr="0083769A">
              <w:rPr>
                <w:rFonts w:eastAsia="Times New Roman"/>
                <w:szCs w:val="24"/>
                <w:lang w:eastAsia="ru-RU"/>
              </w:rPr>
              <w:t>2%</w:t>
            </w:r>
          </w:p>
        </w:tc>
      </w:tr>
      <w:tr w:rsidR="000C1190" w:rsidRPr="0083769A" w14:paraId="1D737AC4" w14:textId="77777777" w:rsidTr="000C1190">
        <w:tc>
          <w:tcPr>
            <w:tcW w:w="2165" w:type="pct"/>
            <w:hideMark/>
          </w:tcPr>
          <w:p w14:paraId="10900F47" w14:textId="77777777"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2</w:t>
            </w:r>
          </w:p>
        </w:tc>
        <w:tc>
          <w:tcPr>
            <w:tcW w:w="945" w:type="pct"/>
            <w:hideMark/>
          </w:tcPr>
          <w:p w14:paraId="01A6C182" w14:textId="30DC073A"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4</w:t>
            </w:r>
            <w:r w:rsidR="0083769A">
              <w:rPr>
                <w:rFonts w:eastAsia="Times New Roman"/>
                <w:szCs w:val="24"/>
                <w:lang w:val="kk-KZ" w:eastAsia="ru-RU"/>
              </w:rPr>
              <w:t>,</w:t>
            </w:r>
            <w:r w:rsidRPr="0083769A">
              <w:rPr>
                <w:rFonts w:eastAsia="Times New Roman"/>
                <w:szCs w:val="24"/>
                <w:lang w:eastAsia="ru-RU"/>
              </w:rPr>
              <w:t>9%</w:t>
            </w:r>
          </w:p>
        </w:tc>
        <w:tc>
          <w:tcPr>
            <w:tcW w:w="945" w:type="pct"/>
            <w:hideMark/>
          </w:tcPr>
          <w:p w14:paraId="755A39DE" w14:textId="47B75514"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15</w:t>
            </w:r>
            <w:r w:rsidR="0083769A">
              <w:rPr>
                <w:rFonts w:eastAsia="Times New Roman"/>
                <w:szCs w:val="24"/>
                <w:lang w:val="kk-KZ" w:eastAsia="ru-RU"/>
              </w:rPr>
              <w:t>,</w:t>
            </w:r>
            <w:r w:rsidRPr="0083769A">
              <w:rPr>
                <w:rFonts w:eastAsia="Times New Roman"/>
                <w:szCs w:val="24"/>
                <w:lang w:eastAsia="ru-RU"/>
              </w:rPr>
              <w:t>1%</w:t>
            </w:r>
          </w:p>
        </w:tc>
        <w:tc>
          <w:tcPr>
            <w:tcW w:w="945" w:type="pct"/>
            <w:hideMark/>
          </w:tcPr>
          <w:p w14:paraId="216AE8D8" w14:textId="256310F1"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2</w:t>
            </w:r>
            <w:r w:rsidR="0083769A">
              <w:rPr>
                <w:rFonts w:eastAsia="Times New Roman"/>
                <w:szCs w:val="24"/>
                <w:lang w:val="kk-KZ" w:eastAsia="ru-RU"/>
              </w:rPr>
              <w:t>,</w:t>
            </w:r>
            <w:r w:rsidRPr="0083769A">
              <w:rPr>
                <w:rFonts w:eastAsia="Times New Roman"/>
                <w:szCs w:val="24"/>
                <w:lang w:eastAsia="ru-RU"/>
              </w:rPr>
              <w:t>2%</w:t>
            </w:r>
          </w:p>
        </w:tc>
      </w:tr>
      <w:tr w:rsidR="000C1190" w:rsidRPr="0083769A" w14:paraId="38ECD4F5" w14:textId="77777777" w:rsidTr="000C1190">
        <w:tc>
          <w:tcPr>
            <w:tcW w:w="2165" w:type="pct"/>
            <w:hideMark/>
          </w:tcPr>
          <w:p w14:paraId="723971F0" w14:textId="77777777"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3</w:t>
            </w:r>
          </w:p>
        </w:tc>
        <w:tc>
          <w:tcPr>
            <w:tcW w:w="945" w:type="pct"/>
            <w:hideMark/>
          </w:tcPr>
          <w:p w14:paraId="20D501FF" w14:textId="77185638"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36</w:t>
            </w:r>
            <w:r w:rsidR="0083769A">
              <w:rPr>
                <w:rFonts w:eastAsia="Times New Roman"/>
                <w:szCs w:val="24"/>
                <w:lang w:val="kk-KZ" w:eastAsia="ru-RU"/>
              </w:rPr>
              <w:t>,</w:t>
            </w:r>
            <w:r w:rsidRPr="0083769A">
              <w:rPr>
                <w:rFonts w:eastAsia="Times New Roman"/>
                <w:szCs w:val="24"/>
                <w:lang w:eastAsia="ru-RU"/>
              </w:rPr>
              <w:t>2%</w:t>
            </w:r>
          </w:p>
        </w:tc>
        <w:tc>
          <w:tcPr>
            <w:tcW w:w="945" w:type="pct"/>
            <w:hideMark/>
          </w:tcPr>
          <w:p w14:paraId="26BA4637" w14:textId="3F459E9F"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55</w:t>
            </w:r>
            <w:r w:rsidR="0083769A">
              <w:rPr>
                <w:rFonts w:eastAsia="Times New Roman"/>
                <w:szCs w:val="24"/>
                <w:lang w:val="kk-KZ" w:eastAsia="ru-RU"/>
              </w:rPr>
              <w:t>,</w:t>
            </w:r>
            <w:r w:rsidRPr="0083769A">
              <w:rPr>
                <w:rFonts w:eastAsia="Times New Roman"/>
                <w:szCs w:val="24"/>
                <w:lang w:eastAsia="ru-RU"/>
              </w:rPr>
              <w:t>9%</w:t>
            </w:r>
          </w:p>
        </w:tc>
        <w:tc>
          <w:tcPr>
            <w:tcW w:w="945" w:type="pct"/>
            <w:hideMark/>
          </w:tcPr>
          <w:p w14:paraId="532476C2" w14:textId="1C050D83"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36</w:t>
            </w:r>
            <w:r w:rsidR="0083769A">
              <w:rPr>
                <w:rFonts w:eastAsia="Times New Roman"/>
                <w:szCs w:val="24"/>
                <w:lang w:val="kk-KZ" w:eastAsia="ru-RU"/>
              </w:rPr>
              <w:t>,</w:t>
            </w:r>
            <w:r w:rsidRPr="0083769A">
              <w:rPr>
                <w:rFonts w:eastAsia="Times New Roman"/>
                <w:szCs w:val="24"/>
                <w:lang w:eastAsia="ru-RU"/>
              </w:rPr>
              <w:t>9%</w:t>
            </w:r>
          </w:p>
        </w:tc>
      </w:tr>
      <w:tr w:rsidR="000C1190" w:rsidRPr="0083769A" w14:paraId="2034449A" w14:textId="77777777" w:rsidTr="000C1190">
        <w:tc>
          <w:tcPr>
            <w:tcW w:w="2165" w:type="pct"/>
            <w:hideMark/>
          </w:tcPr>
          <w:p w14:paraId="70B284BB" w14:textId="77777777"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4</w:t>
            </w:r>
          </w:p>
        </w:tc>
        <w:tc>
          <w:tcPr>
            <w:tcW w:w="945" w:type="pct"/>
            <w:hideMark/>
          </w:tcPr>
          <w:p w14:paraId="0B9AEFF3" w14:textId="37480938"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50</w:t>
            </w:r>
            <w:r w:rsidR="0083769A">
              <w:rPr>
                <w:rFonts w:eastAsia="Times New Roman"/>
                <w:szCs w:val="24"/>
                <w:lang w:val="kk-KZ" w:eastAsia="ru-RU"/>
              </w:rPr>
              <w:t>,</w:t>
            </w:r>
            <w:r w:rsidRPr="0083769A">
              <w:rPr>
                <w:rFonts w:eastAsia="Times New Roman"/>
                <w:szCs w:val="24"/>
                <w:lang w:eastAsia="ru-RU"/>
              </w:rPr>
              <w:t>4%</w:t>
            </w:r>
          </w:p>
        </w:tc>
        <w:tc>
          <w:tcPr>
            <w:tcW w:w="945" w:type="pct"/>
            <w:hideMark/>
          </w:tcPr>
          <w:p w14:paraId="51F3F40D" w14:textId="715CD57A"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25</w:t>
            </w:r>
            <w:r w:rsidR="0083769A">
              <w:rPr>
                <w:rFonts w:eastAsia="Times New Roman"/>
                <w:szCs w:val="24"/>
                <w:lang w:val="kk-KZ" w:eastAsia="ru-RU"/>
              </w:rPr>
              <w:t>,</w:t>
            </w:r>
            <w:r w:rsidRPr="0083769A">
              <w:rPr>
                <w:rFonts w:eastAsia="Times New Roman"/>
                <w:szCs w:val="24"/>
                <w:lang w:eastAsia="ru-RU"/>
              </w:rPr>
              <w:t>8%</w:t>
            </w:r>
          </w:p>
        </w:tc>
        <w:tc>
          <w:tcPr>
            <w:tcW w:w="945" w:type="pct"/>
            <w:hideMark/>
          </w:tcPr>
          <w:p w14:paraId="16E66819" w14:textId="3F482F5E"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44</w:t>
            </w:r>
            <w:r w:rsidR="0083769A">
              <w:rPr>
                <w:rFonts w:eastAsia="Times New Roman"/>
                <w:szCs w:val="24"/>
                <w:lang w:val="kk-KZ" w:eastAsia="ru-RU"/>
              </w:rPr>
              <w:t>,</w:t>
            </w:r>
            <w:r w:rsidRPr="0083769A">
              <w:rPr>
                <w:rFonts w:eastAsia="Times New Roman"/>
                <w:szCs w:val="24"/>
                <w:lang w:eastAsia="ru-RU"/>
              </w:rPr>
              <w:t>3%</w:t>
            </w:r>
          </w:p>
        </w:tc>
      </w:tr>
      <w:tr w:rsidR="000C1190" w:rsidRPr="0083769A" w14:paraId="0A7034EF" w14:textId="77777777" w:rsidTr="000C1190">
        <w:tc>
          <w:tcPr>
            <w:tcW w:w="2165" w:type="pct"/>
            <w:hideMark/>
          </w:tcPr>
          <w:p w14:paraId="1038804B" w14:textId="77777777"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5 (очень высокий)</w:t>
            </w:r>
          </w:p>
        </w:tc>
        <w:tc>
          <w:tcPr>
            <w:tcW w:w="945" w:type="pct"/>
            <w:hideMark/>
          </w:tcPr>
          <w:p w14:paraId="629E8780" w14:textId="30C9B57A"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8</w:t>
            </w:r>
            <w:r w:rsidR="0083769A">
              <w:rPr>
                <w:rFonts w:eastAsia="Times New Roman"/>
                <w:szCs w:val="24"/>
                <w:lang w:val="kk-KZ" w:eastAsia="ru-RU"/>
              </w:rPr>
              <w:t>,</w:t>
            </w:r>
            <w:r w:rsidRPr="0083769A">
              <w:rPr>
                <w:rFonts w:eastAsia="Times New Roman"/>
                <w:szCs w:val="24"/>
                <w:lang w:eastAsia="ru-RU"/>
              </w:rPr>
              <w:t>5%</w:t>
            </w:r>
          </w:p>
        </w:tc>
        <w:tc>
          <w:tcPr>
            <w:tcW w:w="945" w:type="pct"/>
            <w:hideMark/>
          </w:tcPr>
          <w:p w14:paraId="76C11390" w14:textId="77777777"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≈0%</w:t>
            </w:r>
          </w:p>
        </w:tc>
        <w:tc>
          <w:tcPr>
            <w:tcW w:w="945" w:type="pct"/>
            <w:hideMark/>
          </w:tcPr>
          <w:p w14:paraId="681861E3" w14:textId="0F4A22D7" w:rsidR="000C1190" w:rsidRPr="0083769A" w:rsidRDefault="000C1190" w:rsidP="002F33D0">
            <w:pPr>
              <w:ind w:firstLine="0"/>
              <w:jc w:val="center"/>
              <w:rPr>
                <w:rFonts w:eastAsia="Times New Roman"/>
                <w:szCs w:val="24"/>
                <w:lang w:eastAsia="ru-RU"/>
              </w:rPr>
            </w:pPr>
            <w:r w:rsidRPr="0083769A">
              <w:rPr>
                <w:rFonts w:eastAsia="Times New Roman"/>
                <w:szCs w:val="24"/>
                <w:lang w:eastAsia="ru-RU"/>
              </w:rPr>
              <w:t>15</w:t>
            </w:r>
            <w:r w:rsidR="0083769A">
              <w:rPr>
                <w:rFonts w:eastAsia="Times New Roman"/>
                <w:szCs w:val="24"/>
                <w:lang w:val="kk-KZ" w:eastAsia="ru-RU"/>
              </w:rPr>
              <w:t>,</w:t>
            </w:r>
            <w:r w:rsidRPr="0083769A">
              <w:rPr>
                <w:rFonts w:eastAsia="Times New Roman"/>
                <w:szCs w:val="24"/>
                <w:lang w:eastAsia="ru-RU"/>
              </w:rPr>
              <w:t>4%</w:t>
            </w:r>
          </w:p>
        </w:tc>
      </w:tr>
      <w:tr w:rsidR="000C1190" w:rsidRPr="0083769A" w14:paraId="034609BA" w14:textId="77777777" w:rsidTr="000C1190">
        <w:tc>
          <w:tcPr>
            <w:tcW w:w="5000" w:type="pct"/>
            <w:gridSpan w:val="4"/>
          </w:tcPr>
          <w:p w14:paraId="0DAB64C8" w14:textId="55155A9A" w:rsidR="000C1190" w:rsidRPr="0083769A" w:rsidRDefault="00122E31" w:rsidP="000F3C80">
            <w:pPr>
              <w:ind w:firstLine="459"/>
              <w:jc w:val="both"/>
              <w:rPr>
                <w:rFonts w:eastAsia="Times New Roman"/>
                <w:szCs w:val="24"/>
                <w:lang w:eastAsia="ru-RU"/>
              </w:rPr>
            </w:pPr>
            <w:r w:rsidRPr="00EE311D">
              <w:rPr>
                <w:rFonts w:eastAsia="Times New Roman"/>
                <w:szCs w:val="24"/>
                <w:lang w:val="kk-KZ" w:eastAsia="ru-RU"/>
              </w:rPr>
              <w:t xml:space="preserve">Примечание – </w:t>
            </w:r>
            <w:r w:rsidR="000F3C80" w:rsidRPr="00EE311D">
              <w:rPr>
                <w:rFonts w:eastAsia="Times New Roman"/>
                <w:szCs w:val="24"/>
                <w:lang w:val="kk-KZ" w:eastAsia="ru-RU"/>
              </w:rPr>
              <w:t>П</w:t>
            </w:r>
            <w:r w:rsidR="000C1190" w:rsidRPr="00EE311D">
              <w:rPr>
                <w:rFonts w:eastAsia="Times New Roman"/>
                <w:szCs w:val="24"/>
                <w:lang w:eastAsia="ru-RU"/>
              </w:rPr>
              <w:t>редставленные значения отражают долю респондентов с определённой оценкой инновационного потенциала внутри каждого кла</w:t>
            </w:r>
            <w:r w:rsidR="00A035AE" w:rsidRPr="00EE311D">
              <w:rPr>
                <w:rFonts w:eastAsia="Times New Roman"/>
                <w:szCs w:val="24"/>
                <w:lang w:eastAsia="ru-RU"/>
              </w:rPr>
              <w:t>стера; доли самих кластеров (78</w:t>
            </w:r>
            <w:r w:rsidR="000C1190" w:rsidRPr="00EE311D">
              <w:rPr>
                <w:rFonts w:eastAsia="Times New Roman"/>
                <w:szCs w:val="24"/>
                <w:lang w:eastAsia="ru-RU"/>
              </w:rPr>
              <w:t>%, 6</w:t>
            </w:r>
            <w:r w:rsidR="00A035AE" w:rsidRPr="00EE311D">
              <w:rPr>
                <w:rFonts w:eastAsia="Times New Roman"/>
                <w:szCs w:val="24"/>
                <w:lang w:val="kk-KZ" w:eastAsia="ru-RU"/>
              </w:rPr>
              <w:t>,</w:t>
            </w:r>
            <w:r w:rsidR="00A035AE" w:rsidRPr="00EE311D">
              <w:rPr>
                <w:rFonts w:eastAsia="Times New Roman"/>
                <w:szCs w:val="24"/>
                <w:lang w:eastAsia="ru-RU"/>
              </w:rPr>
              <w:t>7</w:t>
            </w:r>
            <w:r w:rsidR="000C1190" w:rsidRPr="00EE311D">
              <w:rPr>
                <w:rFonts w:eastAsia="Times New Roman"/>
                <w:szCs w:val="24"/>
                <w:lang w:eastAsia="ru-RU"/>
              </w:rPr>
              <w:t>%, 15</w:t>
            </w:r>
            <w:r w:rsidR="00A035AE" w:rsidRPr="00EE311D">
              <w:rPr>
                <w:rFonts w:eastAsia="Times New Roman"/>
                <w:szCs w:val="24"/>
                <w:lang w:val="kk-KZ" w:eastAsia="ru-RU"/>
              </w:rPr>
              <w:t>,</w:t>
            </w:r>
            <w:r w:rsidR="00A035AE" w:rsidRPr="00EE311D">
              <w:rPr>
                <w:rFonts w:eastAsia="Times New Roman"/>
                <w:szCs w:val="24"/>
                <w:lang w:eastAsia="ru-RU"/>
              </w:rPr>
              <w:t>3</w:t>
            </w:r>
            <w:r w:rsidR="000C1190" w:rsidRPr="00EE311D">
              <w:rPr>
                <w:rFonts w:eastAsia="Times New Roman"/>
                <w:szCs w:val="24"/>
                <w:lang w:eastAsia="ru-RU"/>
              </w:rPr>
              <w:t xml:space="preserve">%) определены по результатам латентного моделирования и </w:t>
            </w:r>
            <w:r w:rsidR="00443C38" w:rsidRPr="00EE311D">
              <w:rPr>
                <w:rFonts w:eastAsia="Times New Roman"/>
                <w:szCs w:val="24"/>
                <w:lang w:eastAsia="ru-RU"/>
              </w:rPr>
              <w:t>характеризуют структуру выборки</w:t>
            </w:r>
          </w:p>
        </w:tc>
      </w:tr>
    </w:tbl>
    <w:p w14:paraId="3EED05C4" w14:textId="77777777" w:rsidR="0018767C" w:rsidRDefault="0018767C" w:rsidP="002F33D0">
      <w:pPr>
        <w:spacing w:after="0" w:line="240" w:lineRule="auto"/>
        <w:ind w:firstLine="567"/>
        <w:jc w:val="both"/>
        <w:rPr>
          <w:rFonts w:ascii="Times New Roman" w:hAnsi="Times New Roman" w:cs="Times New Roman"/>
          <w:sz w:val="28"/>
          <w:szCs w:val="28"/>
        </w:rPr>
      </w:pPr>
    </w:p>
    <w:p w14:paraId="7C76B393" w14:textId="08C9C090"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Кластерный анализ подтвердил, что инновационная культура оказывает влияние на инновационный потенциал не через линейную зависимость, а через комплексное сочетание институциональных и поведенческих факторов.</w:t>
      </w:r>
    </w:p>
    <w:p w14:paraId="70D3FD38"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Полученные стратегии варьируются от формальных деклараций до зрелых систем с глубоко интегрированными культурными механизмами.</w:t>
      </w:r>
    </w:p>
    <w:p w14:paraId="0FA64010"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Наивысший уровень инновационного потенциала зафиксирован не у наиболее формализованных структур, а у гибких и частично институционализированных предприятий, способных адаптироваться к условиям неопределённости и использовать элементы культуры ситуативно.</w:t>
      </w:r>
    </w:p>
    <w:p w14:paraId="77F45CE2"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Таким образом, проведённый анализ позволил выявить структурную слабость институционального внедрения инновационной культуры в большинстве предпринимательских структур Казахстана, но одновременно очертил поведенческие профили организаций с разной степенью зрелости.</w:t>
      </w:r>
    </w:p>
    <w:p w14:paraId="749C3758"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Эти результаты создают эмпирическую основу для проектирования управленческих решений, направленных на развитие культуры инноваций как ключевого компонента механизма формирования инновационного потенциала.</w:t>
      </w:r>
    </w:p>
    <w:p w14:paraId="280424E1"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Инновационная культура, даже при отсутствии строгой линейной зависимости, проявляет себя как системообразующий элемент, обеспечивающий связь между компетенциями, организационными практиками и стратегической гибкостью.</w:t>
      </w:r>
    </w:p>
    <w:p w14:paraId="42079398"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rPr>
        <w:t>Следовательно, развитие инновационной культуры следует рассматривать как приоритетное направление совершенствования внутренней среды предприятий в условиях цифровой трансформации экономики Казахстана</w:t>
      </w:r>
      <w:r w:rsidRPr="000C1190">
        <w:rPr>
          <w:rFonts w:ascii="Times New Roman" w:hAnsi="Times New Roman" w:cs="Times New Roman"/>
          <w:sz w:val="28"/>
          <w:szCs w:val="28"/>
          <w:lang w:val="kk-KZ"/>
        </w:rPr>
        <w:t>.</w:t>
      </w:r>
    </w:p>
    <w:p w14:paraId="37B60F7A" w14:textId="77777777" w:rsidR="000C1190" w:rsidRPr="000C1190" w:rsidRDefault="000C1190" w:rsidP="002F33D0">
      <w:pPr>
        <w:spacing w:after="0" w:line="240" w:lineRule="auto"/>
        <w:ind w:firstLine="567"/>
        <w:jc w:val="both"/>
        <w:rPr>
          <w:rFonts w:ascii="Times New Roman" w:hAnsi="Times New Roman" w:cs="Times New Roman"/>
          <w:b/>
          <w:sz w:val="28"/>
          <w:szCs w:val="28"/>
          <w:lang w:val="kk-KZ"/>
        </w:rPr>
      </w:pPr>
      <w:r w:rsidRPr="000C1190">
        <w:rPr>
          <w:rFonts w:ascii="Times New Roman" w:hAnsi="Times New Roman" w:cs="Times New Roman"/>
          <w:b/>
          <w:sz w:val="28"/>
          <w:szCs w:val="28"/>
          <w:lang w:val="kk-KZ"/>
        </w:rPr>
        <w:t>Выводы по разделу 2.1</w:t>
      </w:r>
    </w:p>
    <w:p w14:paraId="5E7C8C51"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Результаты анализа, представленные в разделе 2.1, позволили выявить внутреннюю структуру инновационного потенциала предпринимательских структур как целостную систему, включающую ресурсную, кадровую и культурную составляющие. Установлено, что ключевую роль в формировании потенциала играют управленческо-инновационные и технологические ресурсы, обеспечивающие стратегическое управление инновациями и </w:t>
      </w:r>
      <w:r w:rsidRPr="000C1190">
        <w:rPr>
          <w:rFonts w:ascii="Times New Roman" w:hAnsi="Times New Roman" w:cs="Times New Roman"/>
          <w:sz w:val="28"/>
          <w:szCs w:val="28"/>
          <w:lang w:val="kk-KZ"/>
        </w:rPr>
        <w:lastRenderedPageBreak/>
        <w:t>гибкость производственных процессов, тогда как финансовые ресурсы выполняют поддерживающую функцию. Различия между крупными, средними и малыми предприятиями выражаются не в структуре факторов, а в интенсивности их влияния: управленческо-инновационные ресурсы сильнее проявляются в крупных компаниях, тогда как технологическая база становится определяющим элементом для малых предприятий.</w:t>
      </w:r>
    </w:p>
    <w:p w14:paraId="41E71FF8" w14:textId="09C29A47"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Человеческий капитал подтверждён как центральное звено внутреннего потенциала. Инновационная активность предприятий формируется преимущественно за счёт индивидуальных компетенций работников, где сочетание soft- и hard-skills определяет способность к восприятию новых технологий, командной работе и креативному решению задач. Для крупных структур значимы технологические и цифровые навыки, для средних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баланс технических и коммуникативных компетенций, для малых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универсальность и адаптивность персонала. При этом управленческие HR-практики пока не выполняют функции самостоятельного драйвера инновационного развития, что указывает на недостаточную институциональную зрелость систем управления человеческим капиталом.</w:t>
      </w:r>
    </w:p>
    <w:p w14:paraId="5AC2358C"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Инновационная культура выявлена как скрытый, но существенный компонент внутренней среды, связывающий ресурсы и компетенции в единый механизм инновационной активности. Её влияние проявляется не через линейные зависимости, а через комплексное сочетание поведенческих и организационных практик. Наибольший инновационный потенциал демонстрируют предприятия, способные гибко адаптировать элементы культуры под изменяющиеся условия цифровой трансформации, что подтверждает значимость культурной гибкости как фактора устойчивости.</w:t>
      </w:r>
    </w:p>
    <w:p w14:paraId="678D2E7F"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Таким образом, внутренняя структура инновационного потенциала предпринимательских структур Казахстана формируется через взаимодействие ресурсных, кадровых и культурных элементов, объединённых в рамках ресурсно-процессного подхода. Их согласованность определяет эффективность проектирования и реализации инновационного потенциала, что создаёт основу для анализа влияния внешних факторов и медиирующей роли цифровой адаптации, рассмотренных в последующих разделах.</w:t>
      </w:r>
    </w:p>
    <w:p w14:paraId="2E3DBAE5" w14:textId="77777777" w:rsidR="000C1190" w:rsidRPr="000C1190" w:rsidRDefault="000C1190" w:rsidP="002F33D0">
      <w:pPr>
        <w:spacing w:after="0" w:line="240" w:lineRule="auto"/>
        <w:ind w:firstLine="567"/>
        <w:jc w:val="both"/>
        <w:rPr>
          <w:rFonts w:ascii="Times New Roman" w:hAnsi="Times New Roman" w:cs="Times New Roman"/>
          <w:sz w:val="28"/>
          <w:szCs w:val="28"/>
        </w:rPr>
      </w:pPr>
    </w:p>
    <w:p w14:paraId="1137A73B" w14:textId="77777777" w:rsidR="000C1190" w:rsidRPr="000C1190" w:rsidRDefault="000C1190" w:rsidP="002F33D0">
      <w:pPr>
        <w:spacing w:after="0" w:line="240" w:lineRule="auto"/>
        <w:ind w:firstLine="567"/>
        <w:jc w:val="both"/>
        <w:rPr>
          <w:rFonts w:ascii="Times New Roman" w:hAnsi="Times New Roman" w:cs="Times New Roman"/>
          <w:b/>
          <w:sz w:val="28"/>
          <w:szCs w:val="28"/>
        </w:rPr>
      </w:pPr>
      <w:r w:rsidRPr="0018767C">
        <w:rPr>
          <w:rFonts w:ascii="Times New Roman" w:hAnsi="Times New Roman" w:cs="Times New Roman"/>
          <w:b/>
          <w:sz w:val="28"/>
          <w:szCs w:val="28"/>
        </w:rPr>
        <w:t>2.2 Систематизация и эмпирический анализ факторов, способствующих и препятствующих реализации инновационного потенциала</w:t>
      </w:r>
    </w:p>
    <w:p w14:paraId="4B885EB8" w14:textId="7E241EC6" w:rsidR="00BC76B6" w:rsidRPr="003F0E8F" w:rsidRDefault="00BC76B6" w:rsidP="002F33D0">
      <w:pPr>
        <w:spacing w:after="0" w:line="240" w:lineRule="auto"/>
        <w:ind w:firstLine="567"/>
        <w:jc w:val="both"/>
        <w:rPr>
          <w:rFonts w:ascii="Times New Roman" w:hAnsi="Times New Roman" w:cs="Times New Roman"/>
          <w:sz w:val="28"/>
          <w:szCs w:val="28"/>
        </w:rPr>
      </w:pPr>
      <w:r w:rsidRPr="003F0E8F">
        <w:rPr>
          <w:rFonts w:ascii="Times New Roman" w:hAnsi="Times New Roman" w:cs="Times New Roman"/>
          <w:sz w:val="28"/>
          <w:szCs w:val="28"/>
        </w:rPr>
        <w:t>Актуальность исследования инновационного потенциала Казахстана подтверждается низким Индексом экономической сложности (ECI), что обусловлено ограниченной диверсификацией экспорта и высокой зависимостью от сырьевых товаров</w:t>
      </w:r>
      <w:r w:rsidRPr="003F0E8F">
        <w:rPr>
          <w:rFonts w:ascii="Times New Roman" w:hAnsi="Times New Roman" w:cs="Times New Roman"/>
          <w:sz w:val="28"/>
          <w:szCs w:val="28"/>
          <w:lang w:val="kk-KZ"/>
        </w:rPr>
        <w:t xml:space="preserve"> </w:t>
      </w:r>
      <w:r w:rsidRPr="003F0E8F">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{"citationID":"a2oa5ebs0ab","properties":{"formattedCitation":"[198]","plainCitation":"[198]","noteIndex":0},"citationItems":[{"id":380,"uris":["http://zotero.org/users/16887523/items/AE2WN2VB"],"itemData":{"id":380,"type":"article-journal","abstract":"The essence of economic complexity is that some of the biggest social problems of our time begin to make sense only if we look at the systemic interactions that give rise to them. As an example of a systematic interaction, it is suggested that we look at the unemployment rate. Analyzing economic complexity offers a broad framework that can be applied to many social indicators. On issues related to social employment, the hypothesis of a relationship between a country's economic complexity and the unemployment rate is born. The discussion begins by examining how humans have been able to compartmentalize the process of knowledge production and organize complex interdependencies that in turn create extraordinary technologies. The purpose of this study is to prove or disprove the hypothesized relationship between the economic complexity index and the unemployment rate. Using the correlation and regression model, it was possible to identify an indirect relationship between the two indicators under study, thereby confirming the above hypothesis. Economic complexity offers a potentially powerful paradigm for understanding the key social issues and challenges of our time. Growth, development, technological change, income inequality and even unemployment are the visible results of hidden systemic interactions. Understanding the structure of these interactions and how they shape different socio-economic processes is therefore important in the study of economic complexity. The findings shed new light on the potential of economic complexity to track and predict the innovation potential of countries and interpret temporal dynamics. Economic growth could possibly pave the way for better and more unemployed populations.","container-title":"Вестник университета Туран","DOI":"10.46914/1562-2959-2023-1-3-368-383","ISSN":"2959-1236, 1562-2959","issue":"3","journalAbbreviation":"jour","license":"CC0 1.0 Universal Public Domain Dedication","page":"368-383","source":"DOI.org (Crossref)","title":"Экономикалық күрделілік индексі, оның әсері және жұмыссыздық деңгейімен байланысы","URL":"https://vestnik.turan-edu.kz/jour/article/view/3567","volume":"99","author":[{"family":"Саденова","given":"A. M."},{"family":"Козлова","given":"M. В."},{"family":"Суйеубаева","given":"С.Н."},{"family":"Серегина","given":"Е.Р."}],"accessed":{"date-parts":[["2025",12,13]]},"issued":{"date-parts":[["2023"]]}}}],"schema":"https://github.com/citation-style-language/schema/raw/master/csl-citation.json"} </w:instrText>
      </w:r>
      <w:r w:rsidRPr="003F0E8F">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[198]</w:t>
      </w:r>
      <w:r w:rsidRPr="003F0E8F">
        <w:rPr>
          <w:rFonts w:ascii="Times New Roman" w:hAnsi="Times New Roman" w:cs="Times New Roman"/>
          <w:sz w:val="28"/>
          <w:szCs w:val="28"/>
          <w:lang w:val="kk-KZ"/>
        </w:rPr>
        <w:fldChar w:fldCharType="end"/>
      </w:r>
      <w:r w:rsidRPr="003F0E8F">
        <w:rPr>
          <w:rFonts w:ascii="Times New Roman" w:hAnsi="Times New Roman" w:cs="Times New Roman"/>
          <w:sz w:val="28"/>
          <w:szCs w:val="28"/>
          <w:lang w:val="kk-KZ"/>
        </w:rPr>
        <w:t>.</w:t>
      </w:r>
      <w:r w:rsidRPr="003F0E8F">
        <w:rPr>
          <w:rFonts w:ascii="Times New Roman" w:hAnsi="Times New Roman" w:cs="Times New Roman"/>
          <w:sz w:val="28"/>
          <w:szCs w:val="28"/>
        </w:rPr>
        <w:t xml:space="preserve"> Проведенный корреляционно-регрессионный анализ выявил косвенную обратную связь между ECI и уровнем безработицы, что доказывает: повышение экономической сложности за счет производства инновационной продукции способствует улучшению структуры рынка труда</w:t>
      </w:r>
      <w:r w:rsidRPr="003F0E8F">
        <w:rPr>
          <w:rFonts w:ascii="Times New Roman" w:hAnsi="Times New Roman" w:cs="Times New Roman"/>
          <w:sz w:val="28"/>
          <w:szCs w:val="28"/>
          <w:lang w:val="kk-KZ"/>
        </w:rPr>
        <w:t>.</w:t>
      </w:r>
      <w:r w:rsidRPr="003F0E8F">
        <w:rPr>
          <w:rFonts w:ascii="Times New Roman" w:hAnsi="Times New Roman" w:cs="Times New Roman"/>
          <w:sz w:val="28"/>
          <w:szCs w:val="28"/>
        </w:rPr>
        <w:t xml:space="preserve"> При этом прогнозная траектория уровня </w:t>
      </w:r>
      <w:r w:rsidRPr="003F0E8F">
        <w:rPr>
          <w:rFonts w:ascii="Times New Roman" w:hAnsi="Times New Roman" w:cs="Times New Roman"/>
          <w:sz w:val="28"/>
          <w:szCs w:val="28"/>
        </w:rPr>
        <w:lastRenderedPageBreak/>
        <w:t>инновационной активности предприятий на 2023</w:t>
      </w:r>
      <w:r w:rsidR="009A548D">
        <w:rPr>
          <w:rFonts w:ascii="Times New Roman" w:hAnsi="Times New Roman" w:cs="Times New Roman"/>
          <w:sz w:val="28"/>
          <w:szCs w:val="28"/>
          <w:lang w:val="kk-KZ"/>
        </w:rPr>
        <w:t>-</w:t>
      </w:r>
      <w:r w:rsidRPr="003F0E8F">
        <w:rPr>
          <w:rFonts w:ascii="Times New Roman" w:hAnsi="Times New Roman" w:cs="Times New Roman"/>
          <w:sz w:val="28"/>
          <w:szCs w:val="28"/>
        </w:rPr>
        <w:t>2024 гг. составляет 14,018</w:t>
      </w:r>
      <w:r w:rsidR="009A548D">
        <w:rPr>
          <w:rFonts w:ascii="Times New Roman" w:hAnsi="Times New Roman" w:cs="Times New Roman"/>
          <w:sz w:val="28"/>
          <w:szCs w:val="28"/>
          <w:lang w:val="kk-KZ"/>
        </w:rPr>
        <w:t>-</w:t>
      </w:r>
      <w:r w:rsidRPr="003F0E8F">
        <w:rPr>
          <w:rFonts w:ascii="Times New Roman" w:hAnsi="Times New Roman" w:cs="Times New Roman"/>
          <w:sz w:val="28"/>
          <w:szCs w:val="28"/>
        </w:rPr>
        <w:t xml:space="preserve">14,723% </w:t>
      </w:r>
      <w:r w:rsidRPr="003F0E8F">
        <w:rPr>
          <w:rFonts w:ascii="Times New Roman" w:hAnsi="Times New Roman" w:cs="Times New Roman"/>
          <w:sz w:val="28"/>
          <w:szCs w:val="28"/>
        </w:rPr>
        <w:fldChar w:fldCharType="begin"/>
      </w:r>
      <w:r w:rsidR="00AE44BA">
        <w:rPr>
          <w:rFonts w:ascii="Times New Roman" w:hAnsi="Times New Roman" w:cs="Times New Roman"/>
          <w:sz w:val="28"/>
          <w:szCs w:val="28"/>
        </w:rPr>
        <w:instrText xml:space="preserve"> ADDIN ZOTERO_ITEM CSL_CITATION {"citationID":"a1guad4p88l","properties":{"formattedCitation":"[199]","plainCitation":"[199]","noteIndex":0},"citationItems":[{"id":372,"uris":["http://zotero.org/users/16887523/items/GRHTZJIM"],"itemData":{"id":372,"type":"article-journal","container-title":"Montenegrin Journal of Economics","DOI":"https://doi.org/10.14254/1800-5845/2025.21-1.12","issue":"1","language":"en","license":"CC0 1.0 Universal Public Domain Dedication","page":"157-168","source":"Zotero","title":"Activating the Social Responsibility of Business Structures in the Context of Transition 4.0 as a Condition for Effective Economic Management","volume":"21","author":[{"family":"Suieubayeva","given":"Saltanat"},{"family":"Aimurzina","given":"Baglan"},{"family":"Kamenova","given":"Mazken"},{"family":"Karipova","given":"Ainur"},{"family":"Kozlova","given":"Marina"},{"family":"Sadenova","given":"Assel"}],"issued":{"date-parts":[["2025"]]}}}],"schema":"https://github.com/citation-style-language/schema/raw/master/csl-citation.json"} </w:instrText>
      </w:r>
      <w:r w:rsidRPr="003F0E8F">
        <w:rPr>
          <w:rFonts w:ascii="Times New Roman" w:hAnsi="Times New Roman" w:cs="Times New Roman"/>
          <w:sz w:val="28"/>
          <w:szCs w:val="28"/>
        </w:rPr>
        <w:fldChar w:fldCharType="separate"/>
      </w:r>
      <w:r w:rsidR="00AE44BA" w:rsidRPr="00AE44BA">
        <w:rPr>
          <w:rFonts w:ascii="Times New Roman" w:hAnsi="Times New Roman" w:cs="Times New Roman"/>
          <w:sz w:val="28"/>
        </w:rPr>
        <w:t>[199]</w:t>
      </w:r>
      <w:r w:rsidRPr="003F0E8F">
        <w:rPr>
          <w:rFonts w:ascii="Times New Roman" w:hAnsi="Times New Roman" w:cs="Times New Roman"/>
          <w:sz w:val="28"/>
          <w:szCs w:val="28"/>
        </w:rPr>
        <w:fldChar w:fldCharType="end"/>
      </w:r>
      <w:r w:rsidRPr="003F0E8F">
        <w:rPr>
          <w:rFonts w:ascii="Times New Roman" w:hAnsi="Times New Roman" w:cs="Times New Roman"/>
          <w:sz w:val="28"/>
          <w:szCs w:val="28"/>
        </w:rPr>
        <w:t>, что подтверждает неполноту реализации инновационного потенциала и обосновывает необходимость разработки системных мер.</w:t>
      </w:r>
    </w:p>
    <w:p w14:paraId="1F173337" w14:textId="309B2933"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Проведённый анализ внутренних детерминант инновационного потенциала показал, что уровень инновационного развития предпринимательских структур определяется не только их ресурсной, кадровой и культурной базой, но и воздействием внешней институциональной среды, в рамках которой формируются стимулы и ограничения инновационной активности.</w:t>
      </w:r>
    </w:p>
    <w:p w14:paraId="581481F9"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В этой связи в настоящем разделе рассматриваются драйверы, барьеры и институциональные условия, определяющие способность предприятий реализовывать свой инновационный потенциал в условиях цифровой трансформации экономики Казахстана.</w:t>
      </w:r>
    </w:p>
    <w:p w14:paraId="25CB01C1"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Эмпирическая оценка проведена с использованием подтверждающего факторного анализа (Confirmatory Factor Analysis, CFA) и структурного моделирования уравнений (Structural Equation Modeling, SEM), что позволило выделить устойчивые внешние конструкты и определить характер их влияния на инновационный потенциал.</w:t>
      </w:r>
    </w:p>
    <w:p w14:paraId="780F09D9" w14:textId="2E097B2A"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Дополнительно применён </w:t>
      </w:r>
      <w:r w:rsidRPr="0018767C">
        <w:rPr>
          <w:rFonts w:ascii="Times New Roman" w:hAnsi="Times New Roman" w:cs="Times New Roman"/>
          <w:sz w:val="28"/>
          <w:szCs w:val="28"/>
        </w:rPr>
        <w:t>логи</w:t>
      </w:r>
      <w:r w:rsidR="0018767C" w:rsidRPr="0018767C">
        <w:rPr>
          <w:rFonts w:ascii="Times New Roman" w:hAnsi="Times New Roman" w:cs="Times New Roman"/>
          <w:sz w:val="28"/>
          <w:szCs w:val="28"/>
          <w:lang w:val="kk-KZ"/>
        </w:rPr>
        <w:t xml:space="preserve">стический </w:t>
      </w:r>
      <w:r w:rsidRPr="0018767C">
        <w:rPr>
          <w:rFonts w:ascii="Times New Roman" w:hAnsi="Times New Roman" w:cs="Times New Roman"/>
          <w:sz w:val="28"/>
          <w:szCs w:val="28"/>
        </w:rPr>
        <w:t>анализ</w:t>
      </w:r>
      <w:r w:rsidRPr="000C1190">
        <w:rPr>
          <w:rFonts w:ascii="Times New Roman" w:hAnsi="Times New Roman" w:cs="Times New Roman"/>
          <w:sz w:val="28"/>
          <w:szCs w:val="28"/>
        </w:rPr>
        <w:t>, направленный на выявление факторов, влияющих на вероятность участия предприятий в программах государственной поддержки инноваций.</w:t>
      </w:r>
    </w:p>
    <w:p w14:paraId="506C9127" w14:textId="1F2D4897" w:rsidR="000C1190" w:rsidRPr="000C1190" w:rsidRDefault="000C1190" w:rsidP="002F33D0">
      <w:pPr>
        <w:spacing w:after="0" w:line="240" w:lineRule="auto"/>
        <w:ind w:firstLine="567"/>
        <w:jc w:val="both"/>
        <w:rPr>
          <w:rFonts w:ascii="Times New Roman" w:hAnsi="Times New Roman" w:cs="Times New Roman"/>
          <w:b/>
          <w:sz w:val="28"/>
          <w:szCs w:val="28"/>
        </w:rPr>
      </w:pPr>
      <w:r w:rsidRPr="000C1190">
        <w:rPr>
          <w:rFonts w:ascii="Times New Roman" w:hAnsi="Times New Roman" w:cs="Times New Roman"/>
          <w:b/>
          <w:sz w:val="28"/>
          <w:szCs w:val="28"/>
        </w:rPr>
        <w:t>2.2.1 Анализ ключевых внутренних и внешних драйверов и б</w:t>
      </w:r>
      <w:r w:rsidR="006C19B7">
        <w:rPr>
          <w:rFonts w:ascii="Times New Roman" w:hAnsi="Times New Roman" w:cs="Times New Roman"/>
          <w:b/>
          <w:sz w:val="28"/>
          <w:szCs w:val="28"/>
        </w:rPr>
        <w:t>арьеров инновационного развития</w:t>
      </w:r>
    </w:p>
    <w:p w14:paraId="70097662" w14:textId="58D29774"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Формирование и реализация инновационного потенциала в современных условиях во многом определяются способностью предприятий адаптироваться к цифровым технологиям, формировать гибкие управленческие структуры и преодолевать институциональные барьеры</w:t>
      </w:r>
      <w:r w:rsidR="006C19B7">
        <w:rPr>
          <w:rFonts w:ascii="Times New Roman" w:hAnsi="Times New Roman" w:cs="Times New Roman"/>
          <w:sz w:val="28"/>
          <w:szCs w:val="28"/>
          <w:lang w:val="kk-KZ"/>
        </w:rPr>
        <w:t xml:space="preserve"> </w:t>
      </w:r>
      <w:r w:rsidR="006C19B7">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{"citationID":"a2b69ie76uv","properties":{"formattedCitation":"[200]","plainCitation":"[200]","noteIndex":0},"citationItems":[{"id":260,"uris":["http://zotero.org/users/16887523/items/FM6RDZBH"],"itemData":{"id":260,"type":"article-journal","abstract":"Introduction. In the conditions of globalization and rapid development of technologies, the role of enterprise management in implementing effective strategies for adapting business models becomes a decisive factor for maintaining competitiveness. Changes in market conditions, technological innovations, and consumer needs require enterprise management not only to be flexible, but also to be able to integrate innovative approaches into management processes. Digital technologies, such as artificial intelligence, big data and the Internet of Things, create new opportunities for optimizing business processes, while posing new challenges to management in their implementation.\nThe purpose of the article is to study management strategies for adapting business models to modern market conditions and technological changes, as well as to identify key management approaches that ensure flexibility and long-term sustainability of enterprises in conditions of digital transformation.\nResearch methods include the analysis of scientific literature on issues of management and adaptation of business models, as well as practical examples of companies that have successfully implemented innovative management solutions. Comparison and generalization of different approaches to management allows us to draw conclusions about the effectiveness of business adaptation strategies in conditions of global changes.\nThe results of the study show that the successful adaptation of business models depends on managerial decisions regarding the introduction of innovative technologies, the development of strategic partnerships, and increasing the flexibility of organizational processes. The study provides examples of successful management approaches that allowed enterprises to maintain their positions in the market during dynamic changes in the external environment.","container-title":"Економічний аналіз","DOI":"10.35774/econa2024.03.040","ISSN":"2219-4649, 1993-0259","issue":"3","journalAbbreviation":"EA","language":"uk","page":"40-53","source":"DOI.org (Crossref)","title":"ЦИФРОВА ТРАНСФОРМАЦІЯ В МЕНЕДЖМЕНТІ ПІДПРИЄМСТВА: АДАПТАЦІЯ БІЗНЕС-МОДЕЛЕЙ ПІД ВПЛИВОМ ІННОВАЦІЙНИХ ТЕХНОЛОГІЙ","title-short":"Digital transformation in enterprise management","URL":"https://www.econa.org.ua/index.php/econa/article/view/6114","volume":"34","author":[{"family":"Домбровська","given":"Н."},{"family":"Фаріон","given":"В."}],"accessed":{"date-parts":[["2025",11,26]]},"issued":{"date-parts":[["2024"]]}}}],"schema":"https://github.com/citation-style-language/schema/raw/master/csl-citation.json"} </w:instrText>
      </w:r>
      <w:r w:rsidR="006C19B7">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[200]</w:t>
      </w:r>
      <w:r w:rsidR="006C19B7">
        <w:rPr>
          <w:rFonts w:ascii="Times New Roman" w:hAnsi="Times New Roman" w:cs="Times New Roman"/>
          <w:sz w:val="28"/>
          <w:szCs w:val="28"/>
          <w:lang w:val="kk-KZ"/>
        </w:rPr>
        <w:fldChar w:fldCharType="end"/>
      </w:r>
      <w:r w:rsidRPr="000C1190">
        <w:rPr>
          <w:rFonts w:ascii="Times New Roman" w:hAnsi="Times New Roman" w:cs="Times New Roman"/>
          <w:sz w:val="28"/>
          <w:szCs w:val="28"/>
          <w:lang w:val="kk-KZ"/>
        </w:rPr>
        <w:t>.</w:t>
      </w:r>
    </w:p>
    <w:p w14:paraId="360F790D"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Цель данного этапа исследования заключается в эмпирической проверке теоретически обоснованной модели влияния драйверов и барьеров на субъективную оценку инновационного потенциала предпринимательских структур с учётом медиирующего воздействия уровня цифровой зрелости предприятия (digitalization_index).</w:t>
      </w:r>
    </w:p>
    <w:p w14:paraId="0AA3AD7C"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В качестве основного инструмента анализа использовано структурное моделирование (SEM), позволяющее выявлять как прямые, так и косвенные эффекты, а также оценивать сложные взаимосвязи между латентными конструкциями.</w:t>
      </w:r>
    </w:p>
    <w:p w14:paraId="444325A5"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Модель построена на основе данных анкетного опроса представителей предпринимательских структур, в ходе которого были собраны сведения о распространённости управленческих, технологических и кадровых практик, а также о восприятии барьеров инновационной деятельности.</w:t>
      </w:r>
    </w:p>
    <w:p w14:paraId="5F07FC3D"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Особое внимание уделено переменным, характеризующим уровень цифровизации, что позволило включить в модель медиатор цифровой зрелости предприятия.</w:t>
      </w:r>
    </w:p>
    <w:p w14:paraId="50648D12"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lastRenderedPageBreak/>
        <w:t>На данном этапе проведён поэтапный анализ, включающий: описательную статистику; корреляционный анализ бинарных переменных; построение агрегированного индекса цифровой зрелости; структурное моделирование. Такой подход обеспечивает логическую непрерывность анализа и повышает обоснованность выводов.</w:t>
      </w:r>
    </w:p>
    <w:p w14:paraId="3C84CE5F"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Для оценки факторов, оказывающих влияние на инновационный потенциал, использованы данные анкетного опроса, включающие два блока переменных:</w:t>
      </w:r>
    </w:p>
    <w:p w14:paraId="4DEDDC64" w14:textId="77777777" w:rsidR="000C1190" w:rsidRPr="000C1190" w:rsidRDefault="000C1190" w:rsidP="007F5E68">
      <w:pPr>
        <w:pStyle w:val="a3"/>
        <w:numPr>
          <w:ilvl w:val="0"/>
          <w:numId w:val="21"/>
        </w:numPr>
        <w:tabs>
          <w:tab w:val="left" w:pos="851"/>
        </w:tabs>
        <w:spacing w:after="0" w:line="240" w:lineRule="auto"/>
        <w:ind w:left="0"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факторы, способствующие инновациям (драйверы);</w:t>
      </w:r>
    </w:p>
    <w:p w14:paraId="392CC5EA" w14:textId="77777777" w:rsidR="000C1190" w:rsidRPr="000C1190" w:rsidRDefault="000C1190" w:rsidP="007F5E68">
      <w:pPr>
        <w:pStyle w:val="a3"/>
        <w:numPr>
          <w:ilvl w:val="0"/>
          <w:numId w:val="21"/>
        </w:numPr>
        <w:tabs>
          <w:tab w:val="left" w:pos="851"/>
        </w:tabs>
        <w:spacing w:after="0" w:line="240" w:lineRule="auto"/>
        <w:ind w:left="0"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факторы, препятствующие инновационной активности (барьеры).</w:t>
      </w:r>
    </w:p>
    <w:p w14:paraId="05B176D5" w14:textId="6ACC2EEE"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Все переменные имели бинарный формат ответов: респонденты указывали наличие (1) или отсутствие (0) определённых характеристик, практик или условий в своей организации.</w:t>
      </w:r>
      <w:r w:rsidR="00443C38">
        <w:rPr>
          <w:rFonts w:ascii="Times New Roman" w:hAnsi="Times New Roman" w:cs="Times New Roman"/>
          <w:sz w:val="28"/>
          <w:szCs w:val="28"/>
          <w:lang w:val="kk-KZ"/>
        </w:rPr>
        <w:t xml:space="preserve"> </w:t>
      </w:r>
      <w:r w:rsidR="00443C38" w:rsidRPr="000C1190">
        <w:rPr>
          <w:rFonts w:ascii="Times New Roman" w:hAnsi="Times New Roman" w:cs="Times New Roman"/>
          <w:sz w:val="28"/>
          <w:szCs w:val="28"/>
          <w:lang w:val="kk-KZ"/>
        </w:rPr>
        <w:t>Описательная статистика по факторам, способствующим инновациям</w:t>
      </w:r>
      <w:r w:rsidR="00443C38">
        <w:rPr>
          <w:rFonts w:ascii="Times New Roman" w:hAnsi="Times New Roman" w:cs="Times New Roman"/>
          <w:sz w:val="28"/>
          <w:szCs w:val="28"/>
          <w:lang w:val="kk-KZ"/>
        </w:rPr>
        <w:t xml:space="preserve"> представлена в таблице 20</w:t>
      </w:r>
      <w:r w:rsidR="009A548D">
        <w:rPr>
          <w:rFonts w:ascii="Times New Roman" w:hAnsi="Times New Roman" w:cs="Times New Roman"/>
          <w:sz w:val="28"/>
          <w:szCs w:val="28"/>
          <w:lang w:val="kk-KZ"/>
        </w:rPr>
        <w:t>.</w:t>
      </w:r>
    </w:p>
    <w:p w14:paraId="04286E2C"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p>
    <w:p w14:paraId="1E174895" w14:textId="2E0CDBE8" w:rsidR="000C1190" w:rsidRDefault="00B46375" w:rsidP="002F33D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Таблица </w:t>
      </w:r>
      <w:r w:rsidR="00443C38">
        <w:rPr>
          <w:rFonts w:ascii="Times New Roman" w:hAnsi="Times New Roman" w:cs="Times New Roman"/>
          <w:sz w:val="28"/>
          <w:szCs w:val="28"/>
          <w:lang w:val="kk-KZ"/>
        </w:rPr>
        <w:t>20</w:t>
      </w:r>
      <w:r>
        <w:rPr>
          <w:rFonts w:ascii="Times New Roman" w:hAnsi="Times New Roman" w:cs="Times New Roman"/>
          <w:sz w:val="28"/>
          <w:szCs w:val="28"/>
          <w:lang w:val="kk-KZ"/>
        </w:rPr>
        <w:t xml:space="preserve"> – </w:t>
      </w:r>
      <w:r w:rsidR="000C1190" w:rsidRPr="000C1190">
        <w:rPr>
          <w:rFonts w:ascii="Times New Roman" w:hAnsi="Times New Roman" w:cs="Times New Roman"/>
          <w:sz w:val="28"/>
          <w:szCs w:val="28"/>
          <w:lang w:val="kk-KZ"/>
        </w:rPr>
        <w:t>Описательная статистика по факторам, способствующим инновациям</w:t>
      </w:r>
    </w:p>
    <w:p w14:paraId="3E5D20E8" w14:textId="77777777" w:rsidR="00443C38" w:rsidRPr="00443C38" w:rsidRDefault="00443C38" w:rsidP="002F33D0">
      <w:pPr>
        <w:spacing w:after="0" w:line="240" w:lineRule="auto"/>
        <w:jc w:val="both"/>
        <w:rPr>
          <w:rFonts w:ascii="Times New Roman" w:hAnsi="Times New Roman" w:cs="Times New Roman"/>
          <w:sz w:val="20"/>
          <w:szCs w:val="20"/>
          <w:lang w:val="kk-KZ"/>
        </w:rPr>
      </w:pPr>
    </w:p>
    <w:tbl>
      <w:tblPr>
        <w:tblStyle w:val="a5"/>
        <w:tblW w:w="0" w:type="auto"/>
        <w:tblLook w:val="04A0" w:firstRow="1" w:lastRow="0" w:firstColumn="1" w:lastColumn="0" w:noHBand="0" w:noVBand="1"/>
      </w:tblPr>
      <w:tblGrid>
        <w:gridCol w:w="2954"/>
        <w:gridCol w:w="3429"/>
        <w:gridCol w:w="1264"/>
        <w:gridCol w:w="1698"/>
      </w:tblGrid>
      <w:tr w:rsidR="000C1190" w:rsidRPr="00DA4C59" w14:paraId="1F1D0B5C" w14:textId="77777777" w:rsidTr="000C1190">
        <w:tc>
          <w:tcPr>
            <w:tcW w:w="0" w:type="auto"/>
            <w:vAlign w:val="center"/>
          </w:tcPr>
          <w:p w14:paraId="7E483140" w14:textId="77777777" w:rsidR="000C1190" w:rsidRPr="00DA4C59" w:rsidRDefault="000C1190" w:rsidP="002F33D0">
            <w:pPr>
              <w:ind w:firstLine="0"/>
              <w:jc w:val="both"/>
              <w:rPr>
                <w:rFonts w:eastAsia="Times New Roman"/>
                <w:bCs/>
                <w:color w:val="000000"/>
                <w:szCs w:val="24"/>
                <w:lang w:val="kk-KZ" w:eastAsia="ru-RU"/>
              </w:rPr>
            </w:pPr>
            <w:r w:rsidRPr="00DA4C59">
              <w:rPr>
                <w:rFonts w:eastAsia="Times New Roman"/>
                <w:bCs/>
                <w:color w:val="000000"/>
                <w:szCs w:val="24"/>
                <w:lang w:val="kk-KZ" w:eastAsia="ru-RU"/>
              </w:rPr>
              <w:t>Название переменной</w:t>
            </w:r>
          </w:p>
        </w:tc>
        <w:tc>
          <w:tcPr>
            <w:tcW w:w="0" w:type="auto"/>
            <w:vAlign w:val="center"/>
            <w:hideMark/>
          </w:tcPr>
          <w:p w14:paraId="32965C23" w14:textId="77777777" w:rsidR="000C1190" w:rsidRPr="00DA4C59" w:rsidRDefault="000C1190" w:rsidP="002F33D0">
            <w:pPr>
              <w:ind w:firstLine="0"/>
              <w:jc w:val="both"/>
              <w:rPr>
                <w:rFonts w:eastAsia="Times New Roman"/>
                <w:bCs/>
                <w:color w:val="000000"/>
                <w:szCs w:val="24"/>
                <w:lang w:eastAsia="ru-RU"/>
              </w:rPr>
            </w:pPr>
            <w:r w:rsidRPr="00DA4C59">
              <w:rPr>
                <w:rFonts w:eastAsia="Times New Roman"/>
                <w:bCs/>
                <w:color w:val="000000"/>
                <w:szCs w:val="24"/>
                <w:lang w:eastAsia="ru-RU"/>
              </w:rPr>
              <w:t>Обозначение в анализе</w:t>
            </w:r>
          </w:p>
        </w:tc>
        <w:tc>
          <w:tcPr>
            <w:tcW w:w="0" w:type="auto"/>
            <w:hideMark/>
          </w:tcPr>
          <w:p w14:paraId="4D59762B" w14:textId="77777777" w:rsidR="000C1190" w:rsidRPr="00DA4C59" w:rsidRDefault="000C1190" w:rsidP="002F33D0">
            <w:pPr>
              <w:ind w:firstLine="0"/>
              <w:jc w:val="both"/>
              <w:rPr>
                <w:rFonts w:eastAsia="Times New Roman"/>
                <w:bCs/>
                <w:szCs w:val="24"/>
                <w:lang w:eastAsia="ru-RU"/>
              </w:rPr>
            </w:pPr>
            <w:r w:rsidRPr="00DA4C59">
              <w:rPr>
                <w:rFonts w:eastAsia="Times New Roman"/>
                <w:bCs/>
                <w:szCs w:val="24"/>
                <w:lang w:eastAsia="ru-RU"/>
              </w:rPr>
              <w:t>Среднее значение</w:t>
            </w:r>
          </w:p>
        </w:tc>
        <w:tc>
          <w:tcPr>
            <w:tcW w:w="0" w:type="auto"/>
            <w:hideMark/>
          </w:tcPr>
          <w:p w14:paraId="7C172616" w14:textId="77777777" w:rsidR="000C1190" w:rsidRPr="00DA4C59" w:rsidRDefault="000C1190" w:rsidP="002F33D0">
            <w:pPr>
              <w:ind w:firstLine="0"/>
              <w:jc w:val="both"/>
              <w:rPr>
                <w:rFonts w:eastAsia="Times New Roman"/>
                <w:bCs/>
                <w:szCs w:val="24"/>
                <w:lang w:eastAsia="ru-RU"/>
              </w:rPr>
            </w:pPr>
            <w:r w:rsidRPr="00DA4C59">
              <w:rPr>
                <w:rFonts w:eastAsia="Times New Roman"/>
                <w:bCs/>
                <w:szCs w:val="24"/>
                <w:lang w:eastAsia="ru-RU"/>
              </w:rPr>
              <w:t>Стандартное отклонение</w:t>
            </w:r>
          </w:p>
        </w:tc>
      </w:tr>
      <w:tr w:rsidR="000C1190" w:rsidRPr="00DA4C59" w14:paraId="1211E523" w14:textId="77777777" w:rsidTr="00DA4C59">
        <w:tc>
          <w:tcPr>
            <w:tcW w:w="0" w:type="auto"/>
          </w:tcPr>
          <w:p w14:paraId="38499B85" w14:textId="77777777" w:rsidR="000C1190" w:rsidRPr="00DA4C59" w:rsidRDefault="000C1190" w:rsidP="002F33D0">
            <w:pPr>
              <w:ind w:firstLine="0"/>
              <w:jc w:val="both"/>
              <w:rPr>
                <w:rFonts w:eastAsia="Times New Roman"/>
                <w:szCs w:val="24"/>
                <w:lang w:eastAsia="ru-RU"/>
              </w:rPr>
            </w:pPr>
            <w:r w:rsidRPr="00DA4C59">
              <w:rPr>
                <w:rFonts w:eastAsia="Times New Roman"/>
                <w:szCs w:val="24"/>
                <w:lang w:eastAsia="ru-RU"/>
              </w:rPr>
              <w:t>Поддержка со стороны руководства</w:t>
            </w:r>
          </w:p>
        </w:tc>
        <w:tc>
          <w:tcPr>
            <w:tcW w:w="0" w:type="auto"/>
            <w:hideMark/>
          </w:tcPr>
          <w:p w14:paraId="7AE001A6" w14:textId="77777777" w:rsidR="000C1190" w:rsidRPr="00DA4C59" w:rsidRDefault="000C1190" w:rsidP="002F33D0">
            <w:pPr>
              <w:ind w:firstLine="0"/>
              <w:jc w:val="both"/>
              <w:rPr>
                <w:rFonts w:eastAsia="Times New Roman"/>
                <w:szCs w:val="24"/>
                <w:lang w:eastAsia="ru-RU"/>
              </w:rPr>
            </w:pPr>
            <w:r w:rsidRPr="00DA4C59">
              <w:rPr>
                <w:rFonts w:eastAsia="Times New Roman"/>
                <w:bCs/>
                <w:szCs w:val="24"/>
                <w:lang w:eastAsia="ru-RU"/>
              </w:rPr>
              <w:t>inno_driver_top_support</w:t>
            </w:r>
          </w:p>
        </w:tc>
        <w:tc>
          <w:tcPr>
            <w:tcW w:w="0" w:type="auto"/>
            <w:vAlign w:val="center"/>
            <w:hideMark/>
          </w:tcPr>
          <w:p w14:paraId="7EAC3051" w14:textId="68C54D67" w:rsidR="000C1190" w:rsidRPr="00DA4C59" w:rsidRDefault="000C1190" w:rsidP="002F33D0">
            <w:pPr>
              <w:ind w:firstLine="0"/>
              <w:jc w:val="center"/>
              <w:rPr>
                <w:rFonts w:eastAsia="Times New Roman"/>
                <w:szCs w:val="24"/>
                <w:lang w:eastAsia="ru-RU"/>
              </w:rPr>
            </w:pPr>
            <w:r w:rsidRPr="00DA4C59">
              <w:rPr>
                <w:rFonts w:eastAsia="Times New Roman"/>
                <w:szCs w:val="24"/>
                <w:lang w:eastAsia="ru-RU"/>
              </w:rPr>
              <w:t>0</w:t>
            </w:r>
            <w:r w:rsidR="00DA4C59">
              <w:rPr>
                <w:rFonts w:eastAsia="Times New Roman"/>
                <w:szCs w:val="24"/>
                <w:lang w:val="kk-KZ" w:eastAsia="ru-RU"/>
              </w:rPr>
              <w:t>,</w:t>
            </w:r>
            <w:r w:rsidRPr="00DA4C59">
              <w:rPr>
                <w:rFonts w:eastAsia="Times New Roman"/>
                <w:szCs w:val="24"/>
                <w:lang w:eastAsia="ru-RU"/>
              </w:rPr>
              <w:t>673</w:t>
            </w:r>
          </w:p>
        </w:tc>
        <w:tc>
          <w:tcPr>
            <w:tcW w:w="0" w:type="auto"/>
            <w:vAlign w:val="center"/>
            <w:hideMark/>
          </w:tcPr>
          <w:p w14:paraId="2EC68CBC" w14:textId="6E38E7CC" w:rsidR="000C1190" w:rsidRPr="00DA4C59" w:rsidRDefault="000C1190" w:rsidP="002F33D0">
            <w:pPr>
              <w:ind w:firstLine="0"/>
              <w:jc w:val="center"/>
              <w:rPr>
                <w:rFonts w:eastAsia="Times New Roman"/>
                <w:szCs w:val="24"/>
                <w:lang w:eastAsia="ru-RU"/>
              </w:rPr>
            </w:pPr>
            <w:r w:rsidRPr="00DA4C59">
              <w:rPr>
                <w:rFonts w:eastAsia="Times New Roman"/>
                <w:szCs w:val="24"/>
                <w:lang w:eastAsia="ru-RU"/>
              </w:rPr>
              <w:t>0</w:t>
            </w:r>
            <w:r w:rsidR="00DA4C59">
              <w:rPr>
                <w:rFonts w:eastAsia="Times New Roman"/>
                <w:szCs w:val="24"/>
                <w:lang w:val="kk-KZ" w:eastAsia="ru-RU"/>
              </w:rPr>
              <w:t>,</w:t>
            </w:r>
            <w:r w:rsidRPr="00DA4C59">
              <w:rPr>
                <w:rFonts w:eastAsia="Times New Roman"/>
                <w:szCs w:val="24"/>
                <w:lang w:eastAsia="ru-RU"/>
              </w:rPr>
              <w:t>470</w:t>
            </w:r>
          </w:p>
        </w:tc>
      </w:tr>
      <w:tr w:rsidR="000C1190" w:rsidRPr="00DA4C59" w14:paraId="20C077AB" w14:textId="77777777" w:rsidTr="00DA4C59">
        <w:tc>
          <w:tcPr>
            <w:tcW w:w="0" w:type="auto"/>
          </w:tcPr>
          <w:p w14:paraId="53902536" w14:textId="77777777" w:rsidR="000C1190" w:rsidRPr="00DA4C59" w:rsidRDefault="000C1190" w:rsidP="002F33D0">
            <w:pPr>
              <w:ind w:firstLine="0"/>
              <w:jc w:val="both"/>
              <w:rPr>
                <w:rFonts w:eastAsia="Times New Roman"/>
                <w:szCs w:val="24"/>
                <w:lang w:eastAsia="ru-RU"/>
              </w:rPr>
            </w:pPr>
            <w:r w:rsidRPr="00DA4C59">
              <w:rPr>
                <w:rFonts w:eastAsia="Times New Roman"/>
                <w:szCs w:val="24"/>
                <w:lang w:eastAsia="ru-RU"/>
              </w:rPr>
              <w:t>Финансовое обеспечение инноваций</w:t>
            </w:r>
          </w:p>
        </w:tc>
        <w:tc>
          <w:tcPr>
            <w:tcW w:w="0" w:type="auto"/>
            <w:hideMark/>
          </w:tcPr>
          <w:p w14:paraId="5BF07CFB" w14:textId="77777777" w:rsidR="000C1190" w:rsidRPr="00DA4C59" w:rsidRDefault="000C1190" w:rsidP="002F33D0">
            <w:pPr>
              <w:ind w:firstLine="0"/>
              <w:jc w:val="both"/>
              <w:rPr>
                <w:rFonts w:eastAsia="Times New Roman"/>
                <w:szCs w:val="24"/>
                <w:lang w:eastAsia="ru-RU"/>
              </w:rPr>
            </w:pPr>
            <w:r w:rsidRPr="00DA4C59">
              <w:rPr>
                <w:rFonts w:eastAsia="Times New Roman"/>
                <w:bCs/>
                <w:szCs w:val="24"/>
                <w:lang w:eastAsia="ru-RU"/>
              </w:rPr>
              <w:t>inno_driver_finance</w:t>
            </w:r>
          </w:p>
        </w:tc>
        <w:tc>
          <w:tcPr>
            <w:tcW w:w="0" w:type="auto"/>
            <w:vAlign w:val="center"/>
            <w:hideMark/>
          </w:tcPr>
          <w:p w14:paraId="33F78665" w14:textId="3923057D" w:rsidR="000C1190" w:rsidRPr="00DA4C59" w:rsidRDefault="000C1190" w:rsidP="002F33D0">
            <w:pPr>
              <w:ind w:firstLine="0"/>
              <w:jc w:val="center"/>
              <w:rPr>
                <w:rFonts w:eastAsia="Times New Roman"/>
                <w:szCs w:val="24"/>
                <w:lang w:eastAsia="ru-RU"/>
              </w:rPr>
            </w:pPr>
            <w:r w:rsidRPr="00DA4C59">
              <w:rPr>
                <w:rFonts w:eastAsia="Times New Roman"/>
                <w:szCs w:val="24"/>
                <w:lang w:eastAsia="ru-RU"/>
              </w:rPr>
              <w:t>0</w:t>
            </w:r>
            <w:r w:rsidR="00DA4C59">
              <w:rPr>
                <w:rFonts w:eastAsia="Times New Roman"/>
                <w:szCs w:val="24"/>
                <w:lang w:val="kk-KZ" w:eastAsia="ru-RU"/>
              </w:rPr>
              <w:t>,</w:t>
            </w:r>
            <w:r w:rsidRPr="00DA4C59">
              <w:rPr>
                <w:rFonts w:eastAsia="Times New Roman"/>
                <w:szCs w:val="24"/>
                <w:lang w:eastAsia="ru-RU"/>
              </w:rPr>
              <w:t>579</w:t>
            </w:r>
          </w:p>
        </w:tc>
        <w:tc>
          <w:tcPr>
            <w:tcW w:w="0" w:type="auto"/>
            <w:vAlign w:val="center"/>
            <w:hideMark/>
          </w:tcPr>
          <w:p w14:paraId="39EBA908" w14:textId="58F40081" w:rsidR="000C1190" w:rsidRPr="00DA4C59" w:rsidRDefault="000C1190" w:rsidP="002F33D0">
            <w:pPr>
              <w:ind w:firstLine="0"/>
              <w:jc w:val="center"/>
              <w:rPr>
                <w:rFonts w:eastAsia="Times New Roman"/>
                <w:szCs w:val="24"/>
                <w:lang w:eastAsia="ru-RU"/>
              </w:rPr>
            </w:pPr>
            <w:r w:rsidRPr="00DA4C59">
              <w:rPr>
                <w:rFonts w:eastAsia="Times New Roman"/>
                <w:szCs w:val="24"/>
                <w:lang w:eastAsia="ru-RU"/>
              </w:rPr>
              <w:t>0</w:t>
            </w:r>
            <w:r w:rsidR="00DA4C59">
              <w:rPr>
                <w:rFonts w:eastAsia="Times New Roman"/>
                <w:szCs w:val="24"/>
                <w:lang w:val="kk-KZ" w:eastAsia="ru-RU"/>
              </w:rPr>
              <w:t>,</w:t>
            </w:r>
            <w:r w:rsidRPr="00DA4C59">
              <w:rPr>
                <w:rFonts w:eastAsia="Times New Roman"/>
                <w:szCs w:val="24"/>
                <w:lang w:eastAsia="ru-RU"/>
              </w:rPr>
              <w:t>494</w:t>
            </w:r>
          </w:p>
        </w:tc>
      </w:tr>
      <w:tr w:rsidR="000C1190" w:rsidRPr="00DA4C59" w14:paraId="296E2C70" w14:textId="77777777" w:rsidTr="00DA4C59">
        <w:tc>
          <w:tcPr>
            <w:tcW w:w="0" w:type="auto"/>
          </w:tcPr>
          <w:p w14:paraId="12BB93D8" w14:textId="77777777" w:rsidR="000C1190" w:rsidRPr="00DA4C59" w:rsidRDefault="000C1190" w:rsidP="002F33D0">
            <w:pPr>
              <w:ind w:firstLine="0"/>
              <w:jc w:val="both"/>
              <w:rPr>
                <w:rFonts w:eastAsia="Times New Roman"/>
                <w:szCs w:val="24"/>
                <w:lang w:eastAsia="ru-RU"/>
              </w:rPr>
            </w:pPr>
            <w:r w:rsidRPr="00DA4C59">
              <w:rPr>
                <w:rFonts w:eastAsia="Times New Roman"/>
                <w:szCs w:val="24"/>
                <w:lang w:eastAsia="ru-RU"/>
              </w:rPr>
              <w:t>Внешние партнёрства в сфере инноваций</w:t>
            </w:r>
          </w:p>
        </w:tc>
        <w:tc>
          <w:tcPr>
            <w:tcW w:w="0" w:type="auto"/>
            <w:hideMark/>
          </w:tcPr>
          <w:p w14:paraId="41238C34" w14:textId="77777777" w:rsidR="000C1190" w:rsidRPr="00DA4C59" w:rsidRDefault="000C1190" w:rsidP="002F33D0">
            <w:pPr>
              <w:ind w:firstLine="0"/>
              <w:jc w:val="both"/>
              <w:rPr>
                <w:rFonts w:eastAsia="Times New Roman"/>
                <w:szCs w:val="24"/>
                <w:lang w:eastAsia="ru-RU"/>
              </w:rPr>
            </w:pPr>
            <w:r w:rsidRPr="00DA4C59">
              <w:rPr>
                <w:rFonts w:eastAsia="Times New Roman"/>
                <w:bCs/>
                <w:szCs w:val="24"/>
                <w:lang w:eastAsia="ru-RU"/>
              </w:rPr>
              <w:t>inno_driver_external_partnership</w:t>
            </w:r>
          </w:p>
        </w:tc>
        <w:tc>
          <w:tcPr>
            <w:tcW w:w="0" w:type="auto"/>
            <w:vAlign w:val="center"/>
            <w:hideMark/>
          </w:tcPr>
          <w:p w14:paraId="0BC66C5A" w14:textId="2D9AB13A" w:rsidR="000C1190" w:rsidRPr="00DA4C59" w:rsidRDefault="000C1190" w:rsidP="002F33D0">
            <w:pPr>
              <w:ind w:firstLine="0"/>
              <w:jc w:val="center"/>
              <w:rPr>
                <w:rFonts w:eastAsia="Times New Roman"/>
                <w:szCs w:val="24"/>
                <w:lang w:eastAsia="ru-RU"/>
              </w:rPr>
            </w:pPr>
            <w:r w:rsidRPr="00DA4C59">
              <w:rPr>
                <w:rFonts w:eastAsia="Times New Roman"/>
                <w:szCs w:val="24"/>
                <w:lang w:eastAsia="ru-RU"/>
              </w:rPr>
              <w:t>0</w:t>
            </w:r>
            <w:r w:rsidR="00DA4C59">
              <w:rPr>
                <w:rFonts w:eastAsia="Times New Roman"/>
                <w:szCs w:val="24"/>
                <w:lang w:val="kk-KZ" w:eastAsia="ru-RU"/>
              </w:rPr>
              <w:t>,</w:t>
            </w:r>
            <w:r w:rsidRPr="00DA4C59">
              <w:rPr>
                <w:rFonts w:eastAsia="Times New Roman"/>
                <w:szCs w:val="24"/>
                <w:lang w:eastAsia="ru-RU"/>
              </w:rPr>
              <w:t>524</w:t>
            </w:r>
          </w:p>
        </w:tc>
        <w:tc>
          <w:tcPr>
            <w:tcW w:w="0" w:type="auto"/>
            <w:vAlign w:val="center"/>
            <w:hideMark/>
          </w:tcPr>
          <w:p w14:paraId="56377AC8" w14:textId="22A3473E" w:rsidR="000C1190" w:rsidRPr="00DA4C59" w:rsidRDefault="000C1190" w:rsidP="002F33D0">
            <w:pPr>
              <w:ind w:firstLine="0"/>
              <w:jc w:val="center"/>
              <w:rPr>
                <w:rFonts w:eastAsia="Times New Roman"/>
                <w:szCs w:val="24"/>
                <w:lang w:eastAsia="ru-RU"/>
              </w:rPr>
            </w:pPr>
            <w:r w:rsidRPr="00DA4C59">
              <w:rPr>
                <w:rFonts w:eastAsia="Times New Roman"/>
                <w:szCs w:val="24"/>
                <w:lang w:eastAsia="ru-RU"/>
              </w:rPr>
              <w:t>0</w:t>
            </w:r>
            <w:r w:rsidR="00DA4C59">
              <w:rPr>
                <w:rFonts w:eastAsia="Times New Roman"/>
                <w:szCs w:val="24"/>
                <w:lang w:val="kk-KZ" w:eastAsia="ru-RU"/>
              </w:rPr>
              <w:t>,</w:t>
            </w:r>
            <w:r w:rsidRPr="00DA4C59">
              <w:rPr>
                <w:rFonts w:eastAsia="Times New Roman"/>
                <w:szCs w:val="24"/>
                <w:lang w:eastAsia="ru-RU"/>
              </w:rPr>
              <w:t>500</w:t>
            </w:r>
          </w:p>
        </w:tc>
      </w:tr>
      <w:tr w:rsidR="000C1190" w:rsidRPr="00DA4C59" w14:paraId="263CD2FC" w14:textId="77777777" w:rsidTr="00DA4C59">
        <w:tc>
          <w:tcPr>
            <w:tcW w:w="0" w:type="auto"/>
          </w:tcPr>
          <w:p w14:paraId="02ABA01B" w14:textId="77777777" w:rsidR="000C1190" w:rsidRPr="00DA4C59" w:rsidRDefault="000C1190" w:rsidP="002F33D0">
            <w:pPr>
              <w:ind w:firstLine="0"/>
              <w:jc w:val="both"/>
              <w:rPr>
                <w:rFonts w:eastAsia="Times New Roman"/>
                <w:szCs w:val="24"/>
                <w:lang w:eastAsia="ru-RU"/>
              </w:rPr>
            </w:pPr>
            <w:r w:rsidRPr="00DA4C59">
              <w:rPr>
                <w:rFonts w:eastAsia="Times New Roman"/>
                <w:szCs w:val="24"/>
                <w:lang w:eastAsia="ru-RU"/>
              </w:rPr>
              <w:t>Наличие квалифицированных сотрудников</w:t>
            </w:r>
          </w:p>
        </w:tc>
        <w:tc>
          <w:tcPr>
            <w:tcW w:w="0" w:type="auto"/>
            <w:hideMark/>
          </w:tcPr>
          <w:p w14:paraId="0D29D001" w14:textId="77777777" w:rsidR="000C1190" w:rsidRPr="00DA4C59" w:rsidRDefault="000C1190" w:rsidP="002F33D0">
            <w:pPr>
              <w:ind w:firstLine="0"/>
              <w:jc w:val="both"/>
              <w:rPr>
                <w:rFonts w:eastAsia="Times New Roman"/>
                <w:szCs w:val="24"/>
                <w:lang w:eastAsia="ru-RU"/>
              </w:rPr>
            </w:pPr>
            <w:r w:rsidRPr="00DA4C59">
              <w:rPr>
                <w:rFonts w:eastAsia="Times New Roman"/>
                <w:bCs/>
                <w:szCs w:val="24"/>
                <w:lang w:eastAsia="ru-RU"/>
              </w:rPr>
              <w:t>inno_driver_expert_staff</w:t>
            </w:r>
          </w:p>
        </w:tc>
        <w:tc>
          <w:tcPr>
            <w:tcW w:w="0" w:type="auto"/>
            <w:vAlign w:val="center"/>
            <w:hideMark/>
          </w:tcPr>
          <w:p w14:paraId="181D5F94" w14:textId="77AC2BCE" w:rsidR="000C1190" w:rsidRPr="00DA4C59" w:rsidRDefault="000C1190" w:rsidP="002F33D0">
            <w:pPr>
              <w:ind w:firstLine="0"/>
              <w:jc w:val="center"/>
              <w:rPr>
                <w:rFonts w:eastAsia="Times New Roman"/>
                <w:szCs w:val="24"/>
                <w:lang w:eastAsia="ru-RU"/>
              </w:rPr>
            </w:pPr>
            <w:r w:rsidRPr="00DA4C59">
              <w:rPr>
                <w:rFonts w:eastAsia="Times New Roman"/>
                <w:szCs w:val="24"/>
                <w:lang w:eastAsia="ru-RU"/>
              </w:rPr>
              <w:t>0</w:t>
            </w:r>
            <w:r w:rsidR="00DA4C59">
              <w:rPr>
                <w:rFonts w:eastAsia="Times New Roman"/>
                <w:szCs w:val="24"/>
                <w:lang w:val="kk-KZ" w:eastAsia="ru-RU"/>
              </w:rPr>
              <w:t>,</w:t>
            </w:r>
            <w:r w:rsidRPr="00DA4C59">
              <w:rPr>
                <w:rFonts w:eastAsia="Times New Roman"/>
                <w:szCs w:val="24"/>
                <w:lang w:eastAsia="ru-RU"/>
              </w:rPr>
              <w:t>512</w:t>
            </w:r>
          </w:p>
        </w:tc>
        <w:tc>
          <w:tcPr>
            <w:tcW w:w="0" w:type="auto"/>
            <w:vAlign w:val="center"/>
            <w:hideMark/>
          </w:tcPr>
          <w:p w14:paraId="39E8777D" w14:textId="38441AF7" w:rsidR="000C1190" w:rsidRPr="00DA4C59" w:rsidRDefault="000C1190" w:rsidP="002F33D0">
            <w:pPr>
              <w:ind w:firstLine="0"/>
              <w:jc w:val="center"/>
              <w:rPr>
                <w:rFonts w:eastAsia="Times New Roman"/>
                <w:szCs w:val="24"/>
                <w:lang w:eastAsia="ru-RU"/>
              </w:rPr>
            </w:pPr>
            <w:r w:rsidRPr="00DA4C59">
              <w:rPr>
                <w:rFonts w:eastAsia="Times New Roman"/>
                <w:szCs w:val="24"/>
                <w:lang w:eastAsia="ru-RU"/>
              </w:rPr>
              <w:t>0</w:t>
            </w:r>
            <w:r w:rsidR="00DA4C59">
              <w:rPr>
                <w:rFonts w:eastAsia="Times New Roman"/>
                <w:szCs w:val="24"/>
                <w:lang w:val="kk-KZ" w:eastAsia="ru-RU"/>
              </w:rPr>
              <w:t>,</w:t>
            </w:r>
            <w:r w:rsidRPr="00DA4C59">
              <w:rPr>
                <w:rFonts w:eastAsia="Times New Roman"/>
                <w:szCs w:val="24"/>
                <w:lang w:eastAsia="ru-RU"/>
              </w:rPr>
              <w:t>501</w:t>
            </w:r>
          </w:p>
        </w:tc>
      </w:tr>
      <w:tr w:rsidR="000C1190" w:rsidRPr="00DA4C59" w14:paraId="075BDEA9" w14:textId="77777777" w:rsidTr="00DA4C59">
        <w:tc>
          <w:tcPr>
            <w:tcW w:w="0" w:type="auto"/>
          </w:tcPr>
          <w:p w14:paraId="0676E42B" w14:textId="77777777" w:rsidR="000C1190" w:rsidRPr="00DA4C59" w:rsidRDefault="000C1190" w:rsidP="002F33D0">
            <w:pPr>
              <w:ind w:firstLine="0"/>
              <w:jc w:val="both"/>
              <w:rPr>
                <w:rFonts w:eastAsia="Times New Roman"/>
                <w:szCs w:val="24"/>
                <w:lang w:eastAsia="ru-RU"/>
              </w:rPr>
            </w:pPr>
            <w:r w:rsidRPr="00DA4C59">
              <w:rPr>
                <w:rFonts w:eastAsia="Times New Roman"/>
                <w:szCs w:val="24"/>
                <w:lang w:eastAsia="ru-RU"/>
              </w:rPr>
              <w:t>Использование цифровых технологий в основной деятельности</w:t>
            </w:r>
          </w:p>
        </w:tc>
        <w:tc>
          <w:tcPr>
            <w:tcW w:w="0" w:type="auto"/>
            <w:hideMark/>
          </w:tcPr>
          <w:p w14:paraId="1A1BF833" w14:textId="77777777" w:rsidR="000C1190" w:rsidRPr="00DA4C59" w:rsidRDefault="000C1190" w:rsidP="002F33D0">
            <w:pPr>
              <w:ind w:firstLine="0"/>
              <w:jc w:val="both"/>
              <w:rPr>
                <w:rFonts w:eastAsia="Times New Roman"/>
                <w:szCs w:val="24"/>
                <w:lang w:eastAsia="ru-RU"/>
              </w:rPr>
            </w:pPr>
            <w:r w:rsidRPr="00DA4C59">
              <w:rPr>
                <w:rFonts w:eastAsia="Times New Roman"/>
                <w:bCs/>
                <w:szCs w:val="24"/>
                <w:lang w:eastAsia="ru-RU"/>
              </w:rPr>
              <w:t>inno_driver_tech_application</w:t>
            </w:r>
          </w:p>
        </w:tc>
        <w:tc>
          <w:tcPr>
            <w:tcW w:w="0" w:type="auto"/>
            <w:vAlign w:val="center"/>
            <w:hideMark/>
          </w:tcPr>
          <w:p w14:paraId="3E0D874E" w14:textId="4928D172" w:rsidR="000C1190" w:rsidRPr="00DA4C59" w:rsidRDefault="000C1190" w:rsidP="002F33D0">
            <w:pPr>
              <w:ind w:firstLine="0"/>
              <w:jc w:val="center"/>
              <w:rPr>
                <w:rFonts w:eastAsia="Times New Roman"/>
                <w:szCs w:val="24"/>
                <w:lang w:eastAsia="ru-RU"/>
              </w:rPr>
            </w:pPr>
            <w:r w:rsidRPr="00DA4C59">
              <w:rPr>
                <w:rFonts w:eastAsia="Times New Roman"/>
                <w:szCs w:val="24"/>
                <w:lang w:eastAsia="ru-RU"/>
              </w:rPr>
              <w:t>0</w:t>
            </w:r>
            <w:r w:rsidR="00DA4C59">
              <w:rPr>
                <w:rFonts w:eastAsia="Times New Roman"/>
                <w:szCs w:val="24"/>
                <w:lang w:val="kk-KZ" w:eastAsia="ru-RU"/>
              </w:rPr>
              <w:t>,</w:t>
            </w:r>
            <w:r w:rsidRPr="00DA4C59">
              <w:rPr>
                <w:rFonts w:eastAsia="Times New Roman"/>
                <w:szCs w:val="24"/>
                <w:lang w:eastAsia="ru-RU"/>
              </w:rPr>
              <w:t>452</w:t>
            </w:r>
          </w:p>
        </w:tc>
        <w:tc>
          <w:tcPr>
            <w:tcW w:w="0" w:type="auto"/>
            <w:vAlign w:val="center"/>
            <w:hideMark/>
          </w:tcPr>
          <w:p w14:paraId="280C9FD1" w14:textId="596ED3DC" w:rsidR="000C1190" w:rsidRPr="00DA4C59" w:rsidRDefault="000C1190" w:rsidP="002F33D0">
            <w:pPr>
              <w:ind w:firstLine="0"/>
              <w:jc w:val="center"/>
              <w:rPr>
                <w:rFonts w:eastAsia="Times New Roman"/>
                <w:szCs w:val="24"/>
                <w:lang w:eastAsia="ru-RU"/>
              </w:rPr>
            </w:pPr>
            <w:r w:rsidRPr="00DA4C59">
              <w:rPr>
                <w:rFonts w:eastAsia="Times New Roman"/>
                <w:szCs w:val="24"/>
                <w:lang w:eastAsia="ru-RU"/>
              </w:rPr>
              <w:t>0</w:t>
            </w:r>
            <w:r w:rsidR="00DA4C59">
              <w:rPr>
                <w:rFonts w:eastAsia="Times New Roman"/>
                <w:szCs w:val="24"/>
                <w:lang w:val="kk-KZ" w:eastAsia="ru-RU"/>
              </w:rPr>
              <w:t>,</w:t>
            </w:r>
            <w:r w:rsidRPr="00DA4C59">
              <w:rPr>
                <w:rFonts w:eastAsia="Times New Roman"/>
                <w:szCs w:val="24"/>
                <w:lang w:eastAsia="ru-RU"/>
              </w:rPr>
              <w:t>499</w:t>
            </w:r>
          </w:p>
        </w:tc>
      </w:tr>
      <w:tr w:rsidR="000C1190" w:rsidRPr="00DA4C59" w14:paraId="7025BF92" w14:textId="77777777" w:rsidTr="00DA4C59">
        <w:tc>
          <w:tcPr>
            <w:tcW w:w="0" w:type="auto"/>
          </w:tcPr>
          <w:p w14:paraId="6A79A2AE" w14:textId="77777777" w:rsidR="000C1190" w:rsidRPr="00DA4C59" w:rsidRDefault="000C1190" w:rsidP="002F33D0">
            <w:pPr>
              <w:ind w:firstLine="0"/>
              <w:jc w:val="both"/>
              <w:rPr>
                <w:rFonts w:eastAsia="Times New Roman"/>
                <w:szCs w:val="24"/>
                <w:lang w:eastAsia="ru-RU"/>
              </w:rPr>
            </w:pPr>
            <w:r w:rsidRPr="00DA4C59">
              <w:rPr>
                <w:rFonts w:eastAsia="Times New Roman"/>
                <w:szCs w:val="24"/>
                <w:lang w:eastAsia="ru-RU"/>
              </w:rPr>
              <w:t>Внедрение инновационной культуры</w:t>
            </w:r>
          </w:p>
        </w:tc>
        <w:tc>
          <w:tcPr>
            <w:tcW w:w="0" w:type="auto"/>
            <w:hideMark/>
          </w:tcPr>
          <w:p w14:paraId="5762CA45" w14:textId="77777777" w:rsidR="000C1190" w:rsidRPr="00DA4C59" w:rsidRDefault="000C1190" w:rsidP="002F33D0">
            <w:pPr>
              <w:ind w:firstLine="0"/>
              <w:jc w:val="both"/>
              <w:rPr>
                <w:rFonts w:eastAsia="Times New Roman"/>
                <w:szCs w:val="24"/>
                <w:lang w:eastAsia="ru-RU"/>
              </w:rPr>
            </w:pPr>
            <w:r w:rsidRPr="00DA4C59">
              <w:rPr>
                <w:rFonts w:eastAsia="Times New Roman"/>
                <w:bCs/>
                <w:szCs w:val="24"/>
                <w:lang w:eastAsia="ru-RU"/>
              </w:rPr>
              <w:t>inno_driver_inno_culture</w:t>
            </w:r>
          </w:p>
        </w:tc>
        <w:tc>
          <w:tcPr>
            <w:tcW w:w="0" w:type="auto"/>
            <w:vAlign w:val="center"/>
            <w:hideMark/>
          </w:tcPr>
          <w:p w14:paraId="03F6A9D6" w14:textId="381D7B9B" w:rsidR="000C1190" w:rsidRPr="00DA4C59" w:rsidRDefault="000C1190" w:rsidP="002F33D0">
            <w:pPr>
              <w:ind w:firstLine="0"/>
              <w:jc w:val="center"/>
              <w:rPr>
                <w:rFonts w:eastAsia="Times New Roman"/>
                <w:szCs w:val="24"/>
                <w:lang w:eastAsia="ru-RU"/>
              </w:rPr>
            </w:pPr>
            <w:r w:rsidRPr="00DA4C59">
              <w:rPr>
                <w:rFonts w:eastAsia="Times New Roman"/>
                <w:szCs w:val="24"/>
                <w:lang w:eastAsia="ru-RU"/>
              </w:rPr>
              <w:t>0</w:t>
            </w:r>
            <w:r w:rsidR="00DA4C59">
              <w:rPr>
                <w:rFonts w:eastAsia="Times New Roman"/>
                <w:szCs w:val="24"/>
                <w:lang w:val="kk-KZ" w:eastAsia="ru-RU"/>
              </w:rPr>
              <w:t>,</w:t>
            </w:r>
            <w:r w:rsidRPr="00DA4C59">
              <w:rPr>
                <w:rFonts w:eastAsia="Times New Roman"/>
                <w:szCs w:val="24"/>
                <w:lang w:eastAsia="ru-RU"/>
              </w:rPr>
              <w:t>435</w:t>
            </w:r>
          </w:p>
        </w:tc>
        <w:tc>
          <w:tcPr>
            <w:tcW w:w="0" w:type="auto"/>
            <w:vAlign w:val="center"/>
            <w:hideMark/>
          </w:tcPr>
          <w:p w14:paraId="28DE3862" w14:textId="6E24F5E1" w:rsidR="000C1190" w:rsidRPr="00DA4C59" w:rsidRDefault="000C1190" w:rsidP="002F33D0">
            <w:pPr>
              <w:ind w:firstLine="0"/>
              <w:jc w:val="center"/>
              <w:rPr>
                <w:rFonts w:eastAsia="Times New Roman"/>
                <w:szCs w:val="24"/>
                <w:lang w:eastAsia="ru-RU"/>
              </w:rPr>
            </w:pPr>
            <w:r w:rsidRPr="00DA4C59">
              <w:rPr>
                <w:rFonts w:eastAsia="Times New Roman"/>
                <w:szCs w:val="24"/>
                <w:lang w:eastAsia="ru-RU"/>
              </w:rPr>
              <w:t>0</w:t>
            </w:r>
            <w:r w:rsidR="00DA4C59">
              <w:rPr>
                <w:rFonts w:eastAsia="Times New Roman"/>
                <w:szCs w:val="24"/>
                <w:lang w:val="kk-KZ" w:eastAsia="ru-RU"/>
              </w:rPr>
              <w:t>,</w:t>
            </w:r>
            <w:r w:rsidRPr="00DA4C59">
              <w:rPr>
                <w:rFonts w:eastAsia="Times New Roman"/>
                <w:szCs w:val="24"/>
                <w:lang w:eastAsia="ru-RU"/>
              </w:rPr>
              <w:t>497</w:t>
            </w:r>
          </w:p>
        </w:tc>
      </w:tr>
      <w:tr w:rsidR="00443C38" w:rsidRPr="00DA4C59" w14:paraId="09851275" w14:textId="77777777" w:rsidTr="00FE65D3">
        <w:tc>
          <w:tcPr>
            <w:tcW w:w="0" w:type="auto"/>
            <w:gridSpan w:val="4"/>
          </w:tcPr>
          <w:p w14:paraId="1E143D6C" w14:textId="4B1D44DD" w:rsidR="00443C38" w:rsidRPr="00443C38" w:rsidRDefault="00443C38" w:rsidP="000F3C80">
            <w:pPr>
              <w:ind w:firstLine="459"/>
              <w:rPr>
                <w:rFonts w:eastAsia="Times New Roman"/>
                <w:szCs w:val="24"/>
                <w:lang w:val="kk-KZ" w:eastAsia="ru-RU"/>
              </w:rPr>
            </w:pPr>
            <w:r w:rsidRPr="00EE311D">
              <w:rPr>
                <w:rFonts w:eastAsia="Times New Roman"/>
                <w:szCs w:val="24"/>
                <w:lang w:val="kk-KZ" w:eastAsia="ru-RU"/>
              </w:rPr>
              <w:t xml:space="preserve">Примечание – </w:t>
            </w:r>
            <w:r w:rsidR="000F3C80" w:rsidRPr="00EE311D">
              <w:rPr>
                <w:rFonts w:eastAsia="Times New Roman"/>
                <w:szCs w:val="24"/>
                <w:lang w:val="kk-KZ" w:eastAsia="ru-RU"/>
              </w:rPr>
              <w:t>С</w:t>
            </w:r>
            <w:r w:rsidRPr="00EE311D">
              <w:rPr>
                <w:rFonts w:eastAsia="Times New Roman"/>
                <w:szCs w:val="24"/>
                <w:lang w:val="kk-KZ" w:eastAsia="ru-RU"/>
              </w:rPr>
              <w:t>оставлено автором</w:t>
            </w:r>
          </w:p>
        </w:tc>
      </w:tr>
    </w:tbl>
    <w:p w14:paraId="7333382D"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p>
    <w:p w14:paraId="0EFF052C" w14:textId="4022459B"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Как видно из таблицы, наиболее распространёнными драйверами инновационной активности являются поддержка со стороны руководства (6</w:t>
      </w:r>
      <w:r w:rsidR="00DA4C59">
        <w:rPr>
          <w:rFonts w:ascii="Times New Roman" w:hAnsi="Times New Roman" w:cs="Times New Roman"/>
          <w:sz w:val="28"/>
          <w:szCs w:val="28"/>
          <w:lang w:val="kk-KZ"/>
        </w:rPr>
        <w:t>7,3</w:t>
      </w:r>
      <w:r w:rsidRPr="000C1190">
        <w:rPr>
          <w:rFonts w:ascii="Times New Roman" w:hAnsi="Times New Roman" w:cs="Times New Roman"/>
          <w:sz w:val="28"/>
          <w:szCs w:val="28"/>
          <w:lang w:val="kk-KZ"/>
        </w:rPr>
        <w:t>%) и наличие финансов</w:t>
      </w:r>
      <w:r w:rsidR="00DA4C59">
        <w:rPr>
          <w:rFonts w:ascii="Times New Roman" w:hAnsi="Times New Roman" w:cs="Times New Roman"/>
          <w:sz w:val="28"/>
          <w:szCs w:val="28"/>
          <w:lang w:val="kk-KZ"/>
        </w:rPr>
        <w:t>ого обеспечения инноваций (57,9</w:t>
      </w:r>
      <w:r w:rsidRPr="000C1190">
        <w:rPr>
          <w:rFonts w:ascii="Times New Roman" w:hAnsi="Times New Roman" w:cs="Times New Roman"/>
          <w:sz w:val="28"/>
          <w:szCs w:val="28"/>
          <w:lang w:val="kk-KZ"/>
        </w:rPr>
        <w:t>%). Эти факторы отражают важность управленческой вовлечённости и ресурсной базы как предпосылок формирования инновационного потенциала.</w:t>
      </w:r>
    </w:p>
    <w:p w14:paraId="68760EF9" w14:textId="652FD3EC"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Около половины опрошенных предприятий указывают на внешние партнёрства (52</w:t>
      </w:r>
      <w:r w:rsidR="00DA4C59">
        <w:rPr>
          <w:rFonts w:ascii="Times New Roman" w:hAnsi="Times New Roman" w:cs="Times New Roman"/>
          <w:sz w:val="28"/>
          <w:szCs w:val="28"/>
          <w:lang w:val="kk-KZ"/>
        </w:rPr>
        <w:t>,4</w:t>
      </w:r>
      <w:r w:rsidRPr="000C1190">
        <w:rPr>
          <w:rFonts w:ascii="Times New Roman" w:hAnsi="Times New Roman" w:cs="Times New Roman"/>
          <w:sz w:val="28"/>
          <w:szCs w:val="28"/>
          <w:lang w:val="kk-KZ"/>
        </w:rPr>
        <w:t>%) и наличие квалифицированных кадров (51</w:t>
      </w:r>
      <w:r w:rsidR="00DA4C59">
        <w:rPr>
          <w:rFonts w:ascii="Times New Roman" w:hAnsi="Times New Roman" w:cs="Times New Roman"/>
          <w:sz w:val="28"/>
          <w:szCs w:val="28"/>
          <w:lang w:val="kk-KZ"/>
        </w:rPr>
        <w:t>,2</w:t>
      </w:r>
      <w:r w:rsidRPr="000C1190">
        <w:rPr>
          <w:rFonts w:ascii="Times New Roman" w:hAnsi="Times New Roman" w:cs="Times New Roman"/>
          <w:sz w:val="28"/>
          <w:szCs w:val="28"/>
          <w:lang w:val="kk-KZ"/>
        </w:rPr>
        <w:t>%), что подтверждает значимость сетевых взаимодействий и человеческого капитала.</w:t>
      </w:r>
    </w:p>
    <w:p w14:paraId="142943D2" w14:textId="6FFDF300"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В то же время показатели по внедрению инновационной культуры (43</w:t>
      </w:r>
      <w:r w:rsidR="00DA4C59">
        <w:rPr>
          <w:rFonts w:ascii="Times New Roman" w:hAnsi="Times New Roman" w:cs="Times New Roman"/>
          <w:sz w:val="28"/>
          <w:szCs w:val="28"/>
          <w:lang w:val="kk-KZ"/>
        </w:rPr>
        <w:t>,5</w:t>
      </w:r>
      <w:r w:rsidRPr="000C1190">
        <w:rPr>
          <w:rFonts w:ascii="Times New Roman" w:hAnsi="Times New Roman" w:cs="Times New Roman"/>
          <w:sz w:val="28"/>
          <w:szCs w:val="28"/>
          <w:lang w:val="kk-KZ"/>
        </w:rPr>
        <w:t>%) и использованию цифровых технологий (45</w:t>
      </w:r>
      <w:r w:rsidR="00DA4C59">
        <w:rPr>
          <w:rFonts w:ascii="Times New Roman" w:hAnsi="Times New Roman" w:cs="Times New Roman"/>
          <w:sz w:val="28"/>
          <w:szCs w:val="28"/>
          <w:lang w:val="kk-KZ"/>
        </w:rPr>
        <w:t>,2</w:t>
      </w:r>
      <w:r w:rsidRPr="000C1190">
        <w:rPr>
          <w:rFonts w:ascii="Times New Roman" w:hAnsi="Times New Roman" w:cs="Times New Roman"/>
          <w:sz w:val="28"/>
          <w:szCs w:val="28"/>
          <w:lang w:val="kk-KZ"/>
        </w:rPr>
        <w:t xml:space="preserve">%) остаются </w:t>
      </w:r>
      <w:r w:rsidRPr="000C1190">
        <w:rPr>
          <w:rFonts w:ascii="Times New Roman" w:hAnsi="Times New Roman" w:cs="Times New Roman"/>
          <w:sz w:val="28"/>
          <w:szCs w:val="28"/>
          <w:lang w:val="kk-KZ"/>
        </w:rPr>
        <w:lastRenderedPageBreak/>
        <w:t>умеренными, что свидетельствует о неполной институциональной зрелости предприятий и фрагментарности инновационных практик.</w:t>
      </w:r>
    </w:p>
    <w:p w14:paraId="0E1B8F35" w14:textId="23F5F961"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Наименее распространёнными оказались структурные факторы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наличие инновационной стратегии (40</w:t>
      </w:r>
      <w:r w:rsidR="00DA4C59">
        <w:rPr>
          <w:rFonts w:ascii="Times New Roman" w:hAnsi="Times New Roman" w:cs="Times New Roman"/>
          <w:sz w:val="28"/>
          <w:szCs w:val="28"/>
          <w:lang w:val="kk-KZ"/>
        </w:rPr>
        <w:t>,7</w:t>
      </w:r>
      <w:r w:rsidRPr="000C1190">
        <w:rPr>
          <w:rFonts w:ascii="Times New Roman" w:hAnsi="Times New Roman" w:cs="Times New Roman"/>
          <w:sz w:val="28"/>
          <w:szCs w:val="28"/>
          <w:lang w:val="kk-KZ"/>
        </w:rPr>
        <w:t>%) и взаимодействие с университетами и НИИ (38</w:t>
      </w:r>
      <w:r w:rsidR="00DA4C59">
        <w:rPr>
          <w:rFonts w:ascii="Times New Roman" w:hAnsi="Times New Roman" w:cs="Times New Roman"/>
          <w:sz w:val="28"/>
          <w:szCs w:val="28"/>
          <w:lang w:val="kk-KZ"/>
        </w:rPr>
        <w:t>,9</w:t>
      </w:r>
      <w:r w:rsidRPr="000C1190">
        <w:rPr>
          <w:rFonts w:ascii="Times New Roman" w:hAnsi="Times New Roman" w:cs="Times New Roman"/>
          <w:sz w:val="28"/>
          <w:szCs w:val="28"/>
          <w:lang w:val="kk-KZ"/>
        </w:rPr>
        <w:t>%), что указывает на дефицит долгосрочного планирования и слабую интеграцию науки и бизнеса.</w:t>
      </w:r>
    </w:p>
    <w:p w14:paraId="52519568" w14:textId="36B0E393"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Поддержка со стороны государства (34</w:t>
      </w:r>
      <w:r w:rsidR="00DA4C59">
        <w:rPr>
          <w:rFonts w:ascii="Times New Roman" w:hAnsi="Times New Roman" w:cs="Times New Roman"/>
          <w:sz w:val="28"/>
          <w:szCs w:val="28"/>
          <w:lang w:val="kk-KZ"/>
        </w:rPr>
        <w:t>,8</w:t>
      </w:r>
      <w:r w:rsidRPr="000C1190">
        <w:rPr>
          <w:rFonts w:ascii="Times New Roman" w:hAnsi="Times New Roman" w:cs="Times New Roman"/>
          <w:sz w:val="28"/>
          <w:szCs w:val="28"/>
          <w:lang w:val="kk-KZ"/>
        </w:rPr>
        <w:t>%) и доступ к инновационным хабам (36</w:t>
      </w:r>
      <w:r w:rsidR="00DA4C59">
        <w:rPr>
          <w:rFonts w:ascii="Times New Roman" w:hAnsi="Times New Roman" w:cs="Times New Roman"/>
          <w:sz w:val="28"/>
          <w:szCs w:val="28"/>
          <w:lang w:val="kk-KZ"/>
        </w:rPr>
        <w:t>,4</w:t>
      </w:r>
      <w:r w:rsidRPr="000C1190">
        <w:rPr>
          <w:rFonts w:ascii="Times New Roman" w:hAnsi="Times New Roman" w:cs="Times New Roman"/>
          <w:sz w:val="28"/>
          <w:szCs w:val="28"/>
          <w:lang w:val="kk-KZ"/>
        </w:rPr>
        <w:t>%) также ограничены, что подчёркивает необходимость совершенствования механизмов государственной и институциональной поддержки инноваций.</w:t>
      </w:r>
    </w:p>
    <w:p w14:paraId="1EDD969E" w14:textId="21C13F6A"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Аналогично, в таблице </w:t>
      </w:r>
      <w:r w:rsidR="00443C38">
        <w:rPr>
          <w:rFonts w:ascii="Times New Roman" w:hAnsi="Times New Roman" w:cs="Times New Roman"/>
          <w:sz w:val="28"/>
          <w:szCs w:val="28"/>
          <w:lang w:val="kk-KZ"/>
        </w:rPr>
        <w:t>21</w:t>
      </w:r>
      <w:r w:rsidRPr="000C1190">
        <w:rPr>
          <w:rFonts w:ascii="Times New Roman" w:hAnsi="Times New Roman" w:cs="Times New Roman"/>
          <w:sz w:val="28"/>
          <w:szCs w:val="28"/>
          <w:lang w:val="kk-KZ"/>
        </w:rPr>
        <w:t xml:space="preserve"> представлены показатели по блоку факторов, препятствующих инновационной активности. Среди них наиболее часто встречаются такие барьеры, как недостаточное финансирование (59</w:t>
      </w:r>
      <w:r w:rsidR="00DA4C59">
        <w:rPr>
          <w:rFonts w:ascii="Times New Roman" w:hAnsi="Times New Roman" w:cs="Times New Roman"/>
          <w:sz w:val="28"/>
          <w:szCs w:val="28"/>
          <w:lang w:val="kk-KZ"/>
        </w:rPr>
        <w:t>,9</w:t>
      </w:r>
      <w:r w:rsidRPr="000C1190">
        <w:rPr>
          <w:rFonts w:ascii="Times New Roman" w:hAnsi="Times New Roman" w:cs="Times New Roman"/>
          <w:sz w:val="28"/>
          <w:szCs w:val="28"/>
          <w:lang w:val="kk-KZ"/>
        </w:rPr>
        <w:t>%) и отсутствие чёткой стратегии монетизации инноваций (54</w:t>
      </w:r>
      <w:r w:rsidR="00DA4C59">
        <w:rPr>
          <w:rFonts w:ascii="Times New Roman" w:hAnsi="Times New Roman" w:cs="Times New Roman"/>
          <w:sz w:val="28"/>
          <w:szCs w:val="28"/>
          <w:lang w:val="kk-KZ"/>
        </w:rPr>
        <w:t>,8</w:t>
      </w:r>
      <w:r w:rsidRPr="000C1190">
        <w:rPr>
          <w:rFonts w:ascii="Times New Roman" w:hAnsi="Times New Roman" w:cs="Times New Roman"/>
          <w:sz w:val="28"/>
          <w:szCs w:val="28"/>
          <w:lang w:val="kk-KZ"/>
        </w:rPr>
        <w:t>%). Также значимыми остаются ограниченный доступ к государственной поддержке (47</w:t>
      </w:r>
      <w:r w:rsidR="00DA4C59">
        <w:rPr>
          <w:rFonts w:ascii="Times New Roman" w:hAnsi="Times New Roman" w:cs="Times New Roman"/>
          <w:sz w:val="28"/>
          <w:szCs w:val="28"/>
          <w:lang w:val="kk-KZ"/>
        </w:rPr>
        <w:t>,6</w:t>
      </w:r>
      <w:r w:rsidRPr="000C1190">
        <w:rPr>
          <w:rFonts w:ascii="Times New Roman" w:hAnsi="Times New Roman" w:cs="Times New Roman"/>
          <w:sz w:val="28"/>
          <w:szCs w:val="28"/>
          <w:lang w:val="kk-KZ"/>
        </w:rPr>
        <w:t>%) и сложности в масштабировании инновационных решений (46</w:t>
      </w:r>
      <w:r w:rsidR="00DA4C59">
        <w:rPr>
          <w:rFonts w:ascii="Times New Roman" w:hAnsi="Times New Roman" w:cs="Times New Roman"/>
          <w:sz w:val="28"/>
          <w:szCs w:val="28"/>
          <w:lang w:val="kk-KZ"/>
        </w:rPr>
        <w:t>,4</w:t>
      </w:r>
      <w:r w:rsidRPr="000C1190">
        <w:rPr>
          <w:rFonts w:ascii="Times New Roman" w:hAnsi="Times New Roman" w:cs="Times New Roman"/>
          <w:sz w:val="28"/>
          <w:szCs w:val="28"/>
          <w:lang w:val="kk-KZ"/>
        </w:rPr>
        <w:t>%). Наименее распространёнными барьерами оказались низкая восприимчивость пользователей (38</w:t>
      </w:r>
      <w:r w:rsidR="00DA4C59">
        <w:rPr>
          <w:rFonts w:ascii="Times New Roman" w:hAnsi="Times New Roman" w:cs="Times New Roman"/>
          <w:sz w:val="28"/>
          <w:szCs w:val="28"/>
          <w:lang w:val="kk-KZ"/>
        </w:rPr>
        <w:t>,1</w:t>
      </w:r>
      <w:r w:rsidRPr="000C1190">
        <w:rPr>
          <w:rFonts w:ascii="Times New Roman" w:hAnsi="Times New Roman" w:cs="Times New Roman"/>
          <w:sz w:val="28"/>
          <w:szCs w:val="28"/>
          <w:lang w:val="kk-KZ"/>
        </w:rPr>
        <w:t>%) и зарегулированность инновационной среды (40</w:t>
      </w:r>
      <w:r w:rsidR="00DA4C59">
        <w:rPr>
          <w:rFonts w:ascii="Times New Roman" w:hAnsi="Times New Roman" w:cs="Times New Roman"/>
          <w:sz w:val="28"/>
          <w:szCs w:val="28"/>
          <w:lang w:val="kk-KZ"/>
        </w:rPr>
        <w:t>,5</w:t>
      </w:r>
      <w:r w:rsidRPr="000C1190">
        <w:rPr>
          <w:rFonts w:ascii="Times New Roman" w:hAnsi="Times New Roman" w:cs="Times New Roman"/>
          <w:sz w:val="28"/>
          <w:szCs w:val="28"/>
          <w:lang w:val="kk-KZ"/>
        </w:rPr>
        <w:t>%).</w:t>
      </w:r>
    </w:p>
    <w:p w14:paraId="35E7EB17"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p>
    <w:p w14:paraId="1D3293F8" w14:textId="34B65DA5" w:rsidR="000C1190" w:rsidRDefault="00DA4C59" w:rsidP="002F33D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Таблица 2</w:t>
      </w:r>
      <w:r w:rsidR="00443C38">
        <w:rPr>
          <w:rFonts w:ascii="Times New Roman" w:hAnsi="Times New Roman" w:cs="Times New Roman"/>
          <w:sz w:val="28"/>
          <w:szCs w:val="28"/>
          <w:lang w:val="kk-KZ"/>
        </w:rPr>
        <w:t>1</w:t>
      </w:r>
      <w:r>
        <w:rPr>
          <w:rFonts w:ascii="Times New Roman" w:hAnsi="Times New Roman" w:cs="Times New Roman"/>
          <w:sz w:val="28"/>
          <w:szCs w:val="28"/>
          <w:lang w:val="kk-KZ"/>
        </w:rPr>
        <w:t xml:space="preserve"> – </w:t>
      </w:r>
      <w:r w:rsidR="000C1190" w:rsidRPr="000C1190">
        <w:rPr>
          <w:rFonts w:ascii="Times New Roman" w:hAnsi="Times New Roman" w:cs="Times New Roman"/>
          <w:sz w:val="28"/>
          <w:szCs w:val="28"/>
          <w:lang w:val="kk-KZ"/>
        </w:rPr>
        <w:t>Описательная статистика по факторам, препятствующим инновационной активности</w:t>
      </w:r>
    </w:p>
    <w:p w14:paraId="5447BD14" w14:textId="77777777" w:rsidR="00DA4C59" w:rsidRPr="00443C38" w:rsidRDefault="00DA4C59" w:rsidP="002F33D0">
      <w:pPr>
        <w:spacing w:after="0" w:line="240" w:lineRule="auto"/>
        <w:jc w:val="both"/>
        <w:rPr>
          <w:rFonts w:ascii="Times New Roman" w:hAnsi="Times New Roman" w:cs="Times New Roman"/>
          <w:sz w:val="20"/>
          <w:szCs w:val="20"/>
          <w:lang w:val="kk-KZ"/>
        </w:rPr>
      </w:pPr>
    </w:p>
    <w:tbl>
      <w:tblPr>
        <w:tblStyle w:val="a5"/>
        <w:tblW w:w="0" w:type="auto"/>
        <w:tblLook w:val="04A0" w:firstRow="1" w:lastRow="0" w:firstColumn="1" w:lastColumn="0" w:noHBand="0" w:noVBand="1"/>
      </w:tblPr>
      <w:tblGrid>
        <w:gridCol w:w="3011"/>
        <w:gridCol w:w="3242"/>
        <w:gridCol w:w="1319"/>
        <w:gridCol w:w="1773"/>
      </w:tblGrid>
      <w:tr w:rsidR="000C1190" w:rsidRPr="00DA4C59" w14:paraId="7D24255E" w14:textId="77777777" w:rsidTr="000C1190">
        <w:tc>
          <w:tcPr>
            <w:tcW w:w="0" w:type="auto"/>
            <w:vAlign w:val="center"/>
          </w:tcPr>
          <w:p w14:paraId="386356ED" w14:textId="77777777" w:rsidR="000C1190" w:rsidRPr="00DA4C59" w:rsidRDefault="000C1190" w:rsidP="002F33D0">
            <w:pPr>
              <w:ind w:firstLine="0"/>
              <w:jc w:val="both"/>
              <w:rPr>
                <w:rFonts w:eastAsia="Times New Roman"/>
                <w:bCs/>
                <w:color w:val="000000"/>
                <w:szCs w:val="24"/>
                <w:lang w:val="kk-KZ" w:eastAsia="ru-RU"/>
              </w:rPr>
            </w:pPr>
            <w:r w:rsidRPr="00DA4C59">
              <w:rPr>
                <w:rFonts w:eastAsia="Times New Roman"/>
                <w:bCs/>
                <w:color w:val="000000"/>
                <w:szCs w:val="24"/>
                <w:lang w:val="kk-KZ" w:eastAsia="ru-RU"/>
              </w:rPr>
              <w:t>Название переменной</w:t>
            </w:r>
          </w:p>
        </w:tc>
        <w:tc>
          <w:tcPr>
            <w:tcW w:w="0" w:type="auto"/>
            <w:vAlign w:val="center"/>
            <w:hideMark/>
          </w:tcPr>
          <w:p w14:paraId="560AA706" w14:textId="77777777" w:rsidR="000C1190" w:rsidRPr="00DA4C59" w:rsidRDefault="000C1190" w:rsidP="002F33D0">
            <w:pPr>
              <w:ind w:firstLine="0"/>
              <w:jc w:val="both"/>
              <w:rPr>
                <w:rFonts w:eastAsia="Times New Roman"/>
                <w:bCs/>
                <w:color w:val="000000"/>
                <w:szCs w:val="24"/>
                <w:lang w:eastAsia="ru-RU"/>
              </w:rPr>
            </w:pPr>
            <w:r w:rsidRPr="00DA4C59">
              <w:rPr>
                <w:rFonts w:eastAsia="Times New Roman"/>
                <w:bCs/>
                <w:color w:val="000000"/>
                <w:szCs w:val="24"/>
                <w:lang w:eastAsia="ru-RU"/>
              </w:rPr>
              <w:t>Обозначение в анализе</w:t>
            </w:r>
          </w:p>
        </w:tc>
        <w:tc>
          <w:tcPr>
            <w:tcW w:w="0" w:type="auto"/>
            <w:hideMark/>
          </w:tcPr>
          <w:p w14:paraId="71B684B7" w14:textId="77777777" w:rsidR="000C1190" w:rsidRPr="00DA4C59" w:rsidRDefault="000C1190" w:rsidP="002F33D0">
            <w:pPr>
              <w:ind w:firstLine="0"/>
              <w:jc w:val="both"/>
              <w:rPr>
                <w:rFonts w:eastAsia="Times New Roman"/>
                <w:bCs/>
                <w:szCs w:val="24"/>
                <w:lang w:eastAsia="ru-RU"/>
              </w:rPr>
            </w:pPr>
            <w:r w:rsidRPr="00DA4C59">
              <w:rPr>
                <w:rFonts w:eastAsia="Times New Roman"/>
                <w:bCs/>
                <w:szCs w:val="24"/>
                <w:lang w:eastAsia="ru-RU"/>
              </w:rPr>
              <w:t>Среднее значение</w:t>
            </w:r>
          </w:p>
        </w:tc>
        <w:tc>
          <w:tcPr>
            <w:tcW w:w="0" w:type="auto"/>
            <w:hideMark/>
          </w:tcPr>
          <w:p w14:paraId="020E6422" w14:textId="77777777" w:rsidR="000C1190" w:rsidRPr="00DA4C59" w:rsidRDefault="000C1190" w:rsidP="002F33D0">
            <w:pPr>
              <w:ind w:firstLine="0"/>
              <w:jc w:val="both"/>
              <w:rPr>
                <w:rFonts w:eastAsia="Times New Roman"/>
                <w:bCs/>
                <w:szCs w:val="24"/>
                <w:lang w:eastAsia="ru-RU"/>
              </w:rPr>
            </w:pPr>
            <w:r w:rsidRPr="00DA4C59">
              <w:rPr>
                <w:rFonts w:eastAsia="Times New Roman"/>
                <w:bCs/>
                <w:szCs w:val="24"/>
                <w:lang w:eastAsia="ru-RU"/>
              </w:rPr>
              <w:t>Стандартное отклонение</w:t>
            </w:r>
          </w:p>
        </w:tc>
      </w:tr>
      <w:tr w:rsidR="000C1190" w:rsidRPr="00DA4C59" w14:paraId="08EB5BB1" w14:textId="77777777" w:rsidTr="00DA4C59">
        <w:tc>
          <w:tcPr>
            <w:tcW w:w="0" w:type="auto"/>
          </w:tcPr>
          <w:p w14:paraId="6EBA901E" w14:textId="77777777" w:rsidR="000C1190" w:rsidRPr="00DA4C59" w:rsidRDefault="000C1190" w:rsidP="002F33D0">
            <w:pPr>
              <w:ind w:firstLine="0"/>
              <w:jc w:val="both"/>
              <w:rPr>
                <w:rFonts w:eastAsia="Times New Roman"/>
                <w:szCs w:val="24"/>
                <w:lang w:eastAsia="ru-RU"/>
              </w:rPr>
            </w:pPr>
            <w:r w:rsidRPr="00DA4C59">
              <w:rPr>
                <w:rFonts w:eastAsia="Times New Roman"/>
                <w:szCs w:val="24"/>
                <w:lang w:eastAsia="ru-RU"/>
              </w:rPr>
              <w:t>Недостаток финансирования</w:t>
            </w:r>
          </w:p>
        </w:tc>
        <w:tc>
          <w:tcPr>
            <w:tcW w:w="0" w:type="auto"/>
            <w:hideMark/>
          </w:tcPr>
          <w:p w14:paraId="0637C151" w14:textId="77777777" w:rsidR="000C1190" w:rsidRPr="00DA4C59" w:rsidRDefault="000C1190" w:rsidP="002F33D0">
            <w:pPr>
              <w:ind w:firstLine="0"/>
              <w:jc w:val="both"/>
              <w:rPr>
                <w:rFonts w:eastAsia="Times New Roman"/>
                <w:szCs w:val="24"/>
                <w:lang w:eastAsia="ru-RU"/>
              </w:rPr>
            </w:pPr>
            <w:r w:rsidRPr="00DA4C59">
              <w:rPr>
                <w:rFonts w:eastAsia="Times New Roman"/>
                <w:bCs/>
                <w:szCs w:val="24"/>
                <w:lang w:eastAsia="ru-RU"/>
              </w:rPr>
              <w:t>inno_obstacle_lack_funding</w:t>
            </w:r>
          </w:p>
        </w:tc>
        <w:tc>
          <w:tcPr>
            <w:tcW w:w="0" w:type="auto"/>
            <w:vAlign w:val="center"/>
            <w:hideMark/>
          </w:tcPr>
          <w:p w14:paraId="240001FD" w14:textId="6E706E9E" w:rsidR="000C1190" w:rsidRPr="00DA4C59" w:rsidRDefault="00DA4C59" w:rsidP="002F33D0">
            <w:pPr>
              <w:ind w:firstLine="0"/>
              <w:jc w:val="center"/>
              <w:rPr>
                <w:rFonts w:eastAsia="Times New Roman"/>
                <w:szCs w:val="24"/>
                <w:lang w:eastAsia="ru-RU"/>
              </w:rPr>
            </w:pPr>
            <w:r>
              <w:rPr>
                <w:rFonts w:eastAsia="Times New Roman"/>
                <w:szCs w:val="24"/>
                <w:lang w:eastAsia="ru-RU"/>
              </w:rPr>
              <w:t>0</w:t>
            </w:r>
            <w:r>
              <w:rPr>
                <w:rFonts w:eastAsia="Times New Roman"/>
                <w:szCs w:val="24"/>
                <w:lang w:val="kk-KZ" w:eastAsia="ru-RU"/>
              </w:rPr>
              <w:t>,</w:t>
            </w:r>
            <w:r w:rsidR="000C1190" w:rsidRPr="00DA4C59">
              <w:rPr>
                <w:rFonts w:eastAsia="Times New Roman"/>
                <w:szCs w:val="24"/>
                <w:lang w:eastAsia="ru-RU"/>
              </w:rPr>
              <w:t>599</w:t>
            </w:r>
          </w:p>
        </w:tc>
        <w:tc>
          <w:tcPr>
            <w:tcW w:w="0" w:type="auto"/>
            <w:vAlign w:val="center"/>
            <w:hideMark/>
          </w:tcPr>
          <w:p w14:paraId="2F591E47" w14:textId="7D3E046F" w:rsidR="000C1190" w:rsidRPr="00DA4C59" w:rsidRDefault="000C1190" w:rsidP="002F33D0">
            <w:pPr>
              <w:ind w:firstLine="0"/>
              <w:jc w:val="center"/>
              <w:rPr>
                <w:rFonts w:eastAsia="Times New Roman"/>
                <w:szCs w:val="24"/>
                <w:lang w:eastAsia="ru-RU"/>
              </w:rPr>
            </w:pPr>
            <w:r w:rsidRPr="00DA4C59">
              <w:rPr>
                <w:rFonts w:eastAsia="Times New Roman"/>
                <w:szCs w:val="24"/>
                <w:lang w:eastAsia="ru-RU"/>
              </w:rPr>
              <w:t>0</w:t>
            </w:r>
            <w:r w:rsidR="00DA4C59">
              <w:rPr>
                <w:rFonts w:eastAsia="Times New Roman"/>
                <w:szCs w:val="24"/>
                <w:lang w:val="kk-KZ" w:eastAsia="ru-RU"/>
              </w:rPr>
              <w:t>,</w:t>
            </w:r>
            <w:r w:rsidRPr="00DA4C59">
              <w:rPr>
                <w:rFonts w:eastAsia="Times New Roman"/>
                <w:szCs w:val="24"/>
                <w:lang w:eastAsia="ru-RU"/>
              </w:rPr>
              <w:t>491</w:t>
            </w:r>
          </w:p>
        </w:tc>
      </w:tr>
      <w:tr w:rsidR="000C1190" w:rsidRPr="00DA4C59" w14:paraId="5C3C35A3" w14:textId="77777777" w:rsidTr="00DA4C59">
        <w:tc>
          <w:tcPr>
            <w:tcW w:w="0" w:type="auto"/>
          </w:tcPr>
          <w:p w14:paraId="48295D3B" w14:textId="77777777" w:rsidR="000C1190" w:rsidRPr="00DA4C59" w:rsidRDefault="000C1190" w:rsidP="002F33D0">
            <w:pPr>
              <w:ind w:firstLine="0"/>
              <w:jc w:val="both"/>
              <w:rPr>
                <w:rFonts w:eastAsia="Times New Roman"/>
                <w:szCs w:val="24"/>
                <w:lang w:eastAsia="ru-RU"/>
              </w:rPr>
            </w:pPr>
            <w:r w:rsidRPr="00DA4C59">
              <w:rPr>
                <w:rFonts w:eastAsia="Times New Roman"/>
                <w:szCs w:val="24"/>
                <w:lang w:eastAsia="ru-RU"/>
              </w:rPr>
              <w:t>Отсутствие стратегии монетизации инноваций</w:t>
            </w:r>
          </w:p>
        </w:tc>
        <w:tc>
          <w:tcPr>
            <w:tcW w:w="0" w:type="auto"/>
            <w:hideMark/>
          </w:tcPr>
          <w:p w14:paraId="75EA88A8" w14:textId="77777777" w:rsidR="000C1190" w:rsidRPr="00DA4C59" w:rsidRDefault="000C1190" w:rsidP="002F33D0">
            <w:pPr>
              <w:ind w:firstLine="0"/>
              <w:jc w:val="both"/>
              <w:rPr>
                <w:rFonts w:eastAsia="Times New Roman"/>
                <w:szCs w:val="24"/>
                <w:lang w:eastAsia="ru-RU"/>
              </w:rPr>
            </w:pPr>
            <w:r w:rsidRPr="00DA4C59">
              <w:rPr>
                <w:rFonts w:eastAsia="Times New Roman"/>
                <w:bCs/>
                <w:szCs w:val="24"/>
                <w:lang w:eastAsia="ru-RU"/>
              </w:rPr>
              <w:t>inno_obstacle_monetization</w:t>
            </w:r>
          </w:p>
        </w:tc>
        <w:tc>
          <w:tcPr>
            <w:tcW w:w="0" w:type="auto"/>
            <w:vAlign w:val="center"/>
            <w:hideMark/>
          </w:tcPr>
          <w:p w14:paraId="41898845" w14:textId="4F9EC355" w:rsidR="000C1190" w:rsidRPr="00DA4C59" w:rsidRDefault="000C1190" w:rsidP="002F33D0">
            <w:pPr>
              <w:ind w:firstLine="0"/>
              <w:jc w:val="center"/>
              <w:rPr>
                <w:rFonts w:eastAsia="Times New Roman"/>
                <w:szCs w:val="24"/>
                <w:lang w:eastAsia="ru-RU"/>
              </w:rPr>
            </w:pPr>
            <w:r w:rsidRPr="00DA4C59">
              <w:rPr>
                <w:rFonts w:eastAsia="Times New Roman"/>
                <w:szCs w:val="24"/>
                <w:lang w:eastAsia="ru-RU"/>
              </w:rPr>
              <w:t>0</w:t>
            </w:r>
            <w:r w:rsidR="00DA4C59">
              <w:rPr>
                <w:rFonts w:eastAsia="Times New Roman"/>
                <w:szCs w:val="24"/>
                <w:lang w:val="kk-KZ" w:eastAsia="ru-RU"/>
              </w:rPr>
              <w:t>,</w:t>
            </w:r>
            <w:r w:rsidRPr="00DA4C59">
              <w:rPr>
                <w:rFonts w:eastAsia="Times New Roman"/>
                <w:szCs w:val="24"/>
                <w:lang w:eastAsia="ru-RU"/>
              </w:rPr>
              <w:t>548</w:t>
            </w:r>
          </w:p>
        </w:tc>
        <w:tc>
          <w:tcPr>
            <w:tcW w:w="0" w:type="auto"/>
            <w:vAlign w:val="center"/>
            <w:hideMark/>
          </w:tcPr>
          <w:p w14:paraId="543DA6FE" w14:textId="0E8A0E2E" w:rsidR="000C1190" w:rsidRPr="00DA4C59" w:rsidRDefault="000C1190" w:rsidP="002F33D0">
            <w:pPr>
              <w:ind w:firstLine="0"/>
              <w:jc w:val="center"/>
              <w:rPr>
                <w:rFonts w:eastAsia="Times New Roman"/>
                <w:szCs w:val="24"/>
                <w:lang w:eastAsia="ru-RU"/>
              </w:rPr>
            </w:pPr>
            <w:r w:rsidRPr="00DA4C59">
              <w:rPr>
                <w:rFonts w:eastAsia="Times New Roman"/>
                <w:szCs w:val="24"/>
                <w:lang w:eastAsia="ru-RU"/>
              </w:rPr>
              <w:t>0</w:t>
            </w:r>
            <w:r w:rsidR="00DA4C59">
              <w:rPr>
                <w:rFonts w:eastAsia="Times New Roman"/>
                <w:szCs w:val="24"/>
                <w:lang w:val="kk-KZ" w:eastAsia="ru-RU"/>
              </w:rPr>
              <w:t>,</w:t>
            </w:r>
            <w:r w:rsidRPr="00DA4C59">
              <w:rPr>
                <w:rFonts w:eastAsia="Times New Roman"/>
                <w:szCs w:val="24"/>
                <w:lang w:eastAsia="ru-RU"/>
              </w:rPr>
              <w:t>499</w:t>
            </w:r>
          </w:p>
        </w:tc>
      </w:tr>
      <w:tr w:rsidR="000C1190" w:rsidRPr="00DA4C59" w14:paraId="25DB73D0" w14:textId="77777777" w:rsidTr="00DA4C59">
        <w:tc>
          <w:tcPr>
            <w:tcW w:w="0" w:type="auto"/>
          </w:tcPr>
          <w:p w14:paraId="0CE2A67A" w14:textId="77777777" w:rsidR="000C1190" w:rsidRPr="00DA4C59" w:rsidRDefault="000C1190" w:rsidP="002F33D0">
            <w:pPr>
              <w:ind w:firstLine="0"/>
              <w:jc w:val="both"/>
              <w:rPr>
                <w:rFonts w:eastAsia="Times New Roman"/>
                <w:szCs w:val="24"/>
                <w:lang w:eastAsia="ru-RU"/>
              </w:rPr>
            </w:pPr>
            <w:r w:rsidRPr="00DA4C59">
              <w:rPr>
                <w:rFonts w:eastAsia="Times New Roman"/>
                <w:szCs w:val="24"/>
                <w:lang w:eastAsia="ru-RU"/>
              </w:rPr>
              <w:t>Недоступность государственной поддержки</w:t>
            </w:r>
          </w:p>
        </w:tc>
        <w:tc>
          <w:tcPr>
            <w:tcW w:w="0" w:type="auto"/>
            <w:hideMark/>
          </w:tcPr>
          <w:p w14:paraId="6E195E40" w14:textId="77777777" w:rsidR="000C1190" w:rsidRPr="00DA4C59" w:rsidRDefault="000C1190" w:rsidP="002F33D0">
            <w:pPr>
              <w:ind w:firstLine="0"/>
              <w:jc w:val="both"/>
              <w:rPr>
                <w:rFonts w:eastAsia="Times New Roman"/>
                <w:szCs w:val="24"/>
                <w:lang w:eastAsia="ru-RU"/>
              </w:rPr>
            </w:pPr>
            <w:r w:rsidRPr="00DA4C59">
              <w:rPr>
                <w:rFonts w:eastAsia="Times New Roman"/>
                <w:bCs/>
                <w:szCs w:val="24"/>
                <w:lang w:eastAsia="ru-RU"/>
              </w:rPr>
              <w:t>inno_obstacle_gov_support</w:t>
            </w:r>
          </w:p>
        </w:tc>
        <w:tc>
          <w:tcPr>
            <w:tcW w:w="0" w:type="auto"/>
            <w:vAlign w:val="center"/>
            <w:hideMark/>
          </w:tcPr>
          <w:p w14:paraId="5E41A579" w14:textId="0983495F" w:rsidR="000C1190" w:rsidRPr="00DA4C59" w:rsidRDefault="000C1190" w:rsidP="002F33D0">
            <w:pPr>
              <w:ind w:firstLine="0"/>
              <w:jc w:val="center"/>
              <w:rPr>
                <w:rFonts w:eastAsia="Times New Roman"/>
                <w:szCs w:val="24"/>
                <w:lang w:eastAsia="ru-RU"/>
              </w:rPr>
            </w:pPr>
            <w:r w:rsidRPr="00DA4C59">
              <w:rPr>
                <w:rFonts w:eastAsia="Times New Roman"/>
                <w:szCs w:val="24"/>
                <w:lang w:eastAsia="ru-RU"/>
              </w:rPr>
              <w:t>0</w:t>
            </w:r>
            <w:r w:rsidR="00DA4C59">
              <w:rPr>
                <w:rFonts w:eastAsia="Times New Roman"/>
                <w:szCs w:val="24"/>
                <w:lang w:val="kk-KZ" w:eastAsia="ru-RU"/>
              </w:rPr>
              <w:t>,</w:t>
            </w:r>
            <w:r w:rsidRPr="00DA4C59">
              <w:rPr>
                <w:rFonts w:eastAsia="Times New Roman"/>
                <w:szCs w:val="24"/>
                <w:lang w:eastAsia="ru-RU"/>
              </w:rPr>
              <w:t>476</w:t>
            </w:r>
          </w:p>
        </w:tc>
        <w:tc>
          <w:tcPr>
            <w:tcW w:w="0" w:type="auto"/>
            <w:vAlign w:val="center"/>
            <w:hideMark/>
          </w:tcPr>
          <w:p w14:paraId="17760646" w14:textId="581858F3" w:rsidR="000C1190" w:rsidRPr="00DA4C59" w:rsidRDefault="000C1190" w:rsidP="002F33D0">
            <w:pPr>
              <w:ind w:firstLine="0"/>
              <w:jc w:val="center"/>
              <w:rPr>
                <w:rFonts w:eastAsia="Times New Roman"/>
                <w:szCs w:val="24"/>
                <w:lang w:eastAsia="ru-RU"/>
              </w:rPr>
            </w:pPr>
            <w:r w:rsidRPr="00DA4C59">
              <w:rPr>
                <w:rFonts w:eastAsia="Times New Roman"/>
                <w:szCs w:val="24"/>
                <w:lang w:eastAsia="ru-RU"/>
              </w:rPr>
              <w:t>0</w:t>
            </w:r>
            <w:r w:rsidR="00DA4C59">
              <w:rPr>
                <w:rFonts w:eastAsia="Times New Roman"/>
                <w:szCs w:val="24"/>
                <w:lang w:val="kk-KZ" w:eastAsia="ru-RU"/>
              </w:rPr>
              <w:t>,</w:t>
            </w:r>
            <w:r w:rsidRPr="00DA4C59">
              <w:rPr>
                <w:rFonts w:eastAsia="Times New Roman"/>
                <w:szCs w:val="24"/>
                <w:lang w:eastAsia="ru-RU"/>
              </w:rPr>
              <w:t>500</w:t>
            </w:r>
          </w:p>
        </w:tc>
      </w:tr>
      <w:tr w:rsidR="000C1190" w:rsidRPr="00DA4C59" w14:paraId="54481CAF" w14:textId="77777777" w:rsidTr="00DA4C59">
        <w:tc>
          <w:tcPr>
            <w:tcW w:w="0" w:type="auto"/>
          </w:tcPr>
          <w:p w14:paraId="6EF6B7DE" w14:textId="77777777" w:rsidR="000C1190" w:rsidRPr="00DA4C59" w:rsidRDefault="000C1190" w:rsidP="002F33D0">
            <w:pPr>
              <w:ind w:firstLine="0"/>
              <w:jc w:val="both"/>
              <w:rPr>
                <w:rFonts w:eastAsia="Times New Roman"/>
                <w:szCs w:val="24"/>
                <w:lang w:eastAsia="ru-RU"/>
              </w:rPr>
            </w:pPr>
            <w:r w:rsidRPr="00DA4C59">
              <w:rPr>
                <w:rFonts w:eastAsia="Times New Roman"/>
                <w:szCs w:val="24"/>
                <w:lang w:eastAsia="ru-RU"/>
              </w:rPr>
              <w:t>Трудности масштабирования инновационных решений</w:t>
            </w:r>
          </w:p>
        </w:tc>
        <w:tc>
          <w:tcPr>
            <w:tcW w:w="0" w:type="auto"/>
            <w:hideMark/>
          </w:tcPr>
          <w:p w14:paraId="09F8C087" w14:textId="77777777" w:rsidR="000C1190" w:rsidRPr="00DA4C59" w:rsidRDefault="000C1190" w:rsidP="002F33D0">
            <w:pPr>
              <w:ind w:firstLine="0"/>
              <w:jc w:val="both"/>
              <w:rPr>
                <w:rFonts w:eastAsia="Times New Roman"/>
                <w:szCs w:val="24"/>
                <w:lang w:eastAsia="ru-RU"/>
              </w:rPr>
            </w:pPr>
            <w:r w:rsidRPr="00DA4C59">
              <w:rPr>
                <w:rFonts w:eastAsia="Times New Roman"/>
                <w:bCs/>
                <w:szCs w:val="24"/>
                <w:lang w:eastAsia="ru-RU"/>
              </w:rPr>
              <w:t>inno_obstacle_scaling</w:t>
            </w:r>
          </w:p>
        </w:tc>
        <w:tc>
          <w:tcPr>
            <w:tcW w:w="0" w:type="auto"/>
            <w:vAlign w:val="center"/>
            <w:hideMark/>
          </w:tcPr>
          <w:p w14:paraId="26FEBEB4" w14:textId="55710835" w:rsidR="000C1190" w:rsidRPr="00DA4C59" w:rsidRDefault="000C1190" w:rsidP="002F33D0">
            <w:pPr>
              <w:ind w:firstLine="0"/>
              <w:jc w:val="center"/>
              <w:rPr>
                <w:rFonts w:eastAsia="Times New Roman"/>
                <w:szCs w:val="24"/>
                <w:lang w:eastAsia="ru-RU"/>
              </w:rPr>
            </w:pPr>
            <w:r w:rsidRPr="00DA4C59">
              <w:rPr>
                <w:rFonts w:eastAsia="Times New Roman"/>
                <w:szCs w:val="24"/>
                <w:lang w:eastAsia="ru-RU"/>
              </w:rPr>
              <w:t>0</w:t>
            </w:r>
            <w:r w:rsidR="00DA4C59">
              <w:rPr>
                <w:rFonts w:eastAsia="Times New Roman"/>
                <w:szCs w:val="24"/>
                <w:lang w:val="kk-KZ" w:eastAsia="ru-RU"/>
              </w:rPr>
              <w:t>,</w:t>
            </w:r>
            <w:r w:rsidRPr="00DA4C59">
              <w:rPr>
                <w:rFonts w:eastAsia="Times New Roman"/>
                <w:szCs w:val="24"/>
                <w:lang w:eastAsia="ru-RU"/>
              </w:rPr>
              <w:t>464</w:t>
            </w:r>
          </w:p>
        </w:tc>
        <w:tc>
          <w:tcPr>
            <w:tcW w:w="0" w:type="auto"/>
            <w:vAlign w:val="center"/>
            <w:hideMark/>
          </w:tcPr>
          <w:p w14:paraId="15E6DA0F" w14:textId="2AA91B27" w:rsidR="000C1190" w:rsidRPr="00DA4C59" w:rsidRDefault="000C1190" w:rsidP="002F33D0">
            <w:pPr>
              <w:ind w:firstLine="0"/>
              <w:jc w:val="center"/>
              <w:rPr>
                <w:rFonts w:eastAsia="Times New Roman"/>
                <w:szCs w:val="24"/>
                <w:lang w:eastAsia="ru-RU"/>
              </w:rPr>
            </w:pPr>
            <w:r w:rsidRPr="00DA4C59">
              <w:rPr>
                <w:rFonts w:eastAsia="Times New Roman"/>
                <w:szCs w:val="24"/>
                <w:lang w:eastAsia="ru-RU"/>
              </w:rPr>
              <w:t>0</w:t>
            </w:r>
            <w:r w:rsidR="00DA4C59">
              <w:rPr>
                <w:rFonts w:eastAsia="Times New Roman"/>
                <w:szCs w:val="24"/>
                <w:lang w:val="kk-KZ" w:eastAsia="ru-RU"/>
              </w:rPr>
              <w:t>,</w:t>
            </w:r>
            <w:r w:rsidRPr="00DA4C59">
              <w:rPr>
                <w:rFonts w:eastAsia="Times New Roman"/>
                <w:szCs w:val="24"/>
                <w:lang w:eastAsia="ru-RU"/>
              </w:rPr>
              <w:t>500</w:t>
            </w:r>
          </w:p>
        </w:tc>
      </w:tr>
      <w:tr w:rsidR="000C1190" w:rsidRPr="00DA4C59" w14:paraId="77AFDABE" w14:textId="77777777" w:rsidTr="00DA4C59">
        <w:tc>
          <w:tcPr>
            <w:tcW w:w="0" w:type="auto"/>
          </w:tcPr>
          <w:p w14:paraId="6D8137FE" w14:textId="77777777" w:rsidR="000C1190" w:rsidRPr="00DA4C59" w:rsidRDefault="000C1190" w:rsidP="002F33D0">
            <w:pPr>
              <w:ind w:firstLine="0"/>
              <w:jc w:val="both"/>
              <w:rPr>
                <w:rFonts w:eastAsia="Times New Roman"/>
                <w:szCs w:val="24"/>
                <w:lang w:eastAsia="ru-RU"/>
              </w:rPr>
            </w:pPr>
            <w:r w:rsidRPr="00DA4C59">
              <w:rPr>
                <w:rFonts w:eastAsia="Times New Roman"/>
                <w:szCs w:val="24"/>
                <w:lang w:eastAsia="ru-RU"/>
              </w:rPr>
              <w:t>Зарегулированность инновационной среды</w:t>
            </w:r>
          </w:p>
        </w:tc>
        <w:tc>
          <w:tcPr>
            <w:tcW w:w="0" w:type="auto"/>
            <w:hideMark/>
          </w:tcPr>
          <w:p w14:paraId="114E03FC" w14:textId="77777777" w:rsidR="000C1190" w:rsidRPr="00DA4C59" w:rsidRDefault="000C1190" w:rsidP="002F33D0">
            <w:pPr>
              <w:ind w:firstLine="0"/>
              <w:jc w:val="both"/>
              <w:rPr>
                <w:rFonts w:eastAsia="Times New Roman"/>
                <w:szCs w:val="24"/>
                <w:lang w:eastAsia="ru-RU"/>
              </w:rPr>
            </w:pPr>
            <w:r w:rsidRPr="00DA4C59">
              <w:rPr>
                <w:rFonts w:eastAsia="Times New Roman"/>
                <w:bCs/>
                <w:szCs w:val="24"/>
                <w:lang w:eastAsia="ru-RU"/>
              </w:rPr>
              <w:t>inno_obstacle_regulation</w:t>
            </w:r>
          </w:p>
        </w:tc>
        <w:tc>
          <w:tcPr>
            <w:tcW w:w="0" w:type="auto"/>
            <w:vAlign w:val="center"/>
            <w:hideMark/>
          </w:tcPr>
          <w:p w14:paraId="78FBA5FF" w14:textId="46045342" w:rsidR="000C1190" w:rsidRPr="00DA4C59" w:rsidRDefault="000C1190" w:rsidP="002F33D0">
            <w:pPr>
              <w:ind w:firstLine="0"/>
              <w:jc w:val="center"/>
              <w:rPr>
                <w:rFonts w:eastAsia="Times New Roman"/>
                <w:szCs w:val="24"/>
                <w:lang w:eastAsia="ru-RU"/>
              </w:rPr>
            </w:pPr>
            <w:r w:rsidRPr="00DA4C59">
              <w:rPr>
                <w:rFonts w:eastAsia="Times New Roman"/>
                <w:szCs w:val="24"/>
                <w:lang w:eastAsia="ru-RU"/>
              </w:rPr>
              <w:t>0</w:t>
            </w:r>
            <w:r w:rsidR="00DA4C59">
              <w:rPr>
                <w:rFonts w:eastAsia="Times New Roman"/>
                <w:szCs w:val="24"/>
                <w:lang w:val="kk-KZ" w:eastAsia="ru-RU"/>
              </w:rPr>
              <w:t>,</w:t>
            </w:r>
            <w:r w:rsidRPr="00DA4C59">
              <w:rPr>
                <w:rFonts w:eastAsia="Times New Roman"/>
                <w:szCs w:val="24"/>
                <w:lang w:eastAsia="ru-RU"/>
              </w:rPr>
              <w:t>405</w:t>
            </w:r>
          </w:p>
        </w:tc>
        <w:tc>
          <w:tcPr>
            <w:tcW w:w="0" w:type="auto"/>
            <w:vAlign w:val="center"/>
            <w:hideMark/>
          </w:tcPr>
          <w:p w14:paraId="691C2477" w14:textId="091D8922" w:rsidR="000C1190" w:rsidRPr="00DA4C59" w:rsidRDefault="000C1190" w:rsidP="002F33D0">
            <w:pPr>
              <w:ind w:firstLine="0"/>
              <w:jc w:val="center"/>
              <w:rPr>
                <w:rFonts w:eastAsia="Times New Roman"/>
                <w:szCs w:val="24"/>
                <w:lang w:eastAsia="ru-RU"/>
              </w:rPr>
            </w:pPr>
            <w:r w:rsidRPr="00DA4C59">
              <w:rPr>
                <w:rFonts w:eastAsia="Times New Roman"/>
                <w:szCs w:val="24"/>
                <w:lang w:eastAsia="ru-RU"/>
              </w:rPr>
              <w:t>0</w:t>
            </w:r>
            <w:r w:rsidR="00DA4C59">
              <w:rPr>
                <w:rFonts w:eastAsia="Times New Roman"/>
                <w:szCs w:val="24"/>
                <w:lang w:val="kk-KZ" w:eastAsia="ru-RU"/>
              </w:rPr>
              <w:t>,</w:t>
            </w:r>
            <w:r w:rsidRPr="00DA4C59">
              <w:rPr>
                <w:rFonts w:eastAsia="Times New Roman"/>
                <w:szCs w:val="24"/>
                <w:lang w:eastAsia="ru-RU"/>
              </w:rPr>
              <w:t>491</w:t>
            </w:r>
          </w:p>
        </w:tc>
      </w:tr>
      <w:tr w:rsidR="000C1190" w:rsidRPr="00DA4C59" w14:paraId="4B63FB82" w14:textId="77777777" w:rsidTr="00DA4C59">
        <w:tc>
          <w:tcPr>
            <w:tcW w:w="0" w:type="auto"/>
          </w:tcPr>
          <w:p w14:paraId="3067B258" w14:textId="77777777" w:rsidR="000C1190" w:rsidRPr="00DA4C59" w:rsidRDefault="000C1190" w:rsidP="002F33D0">
            <w:pPr>
              <w:ind w:firstLine="0"/>
              <w:jc w:val="both"/>
              <w:rPr>
                <w:rFonts w:eastAsia="Times New Roman"/>
                <w:szCs w:val="24"/>
                <w:lang w:eastAsia="ru-RU"/>
              </w:rPr>
            </w:pPr>
            <w:r w:rsidRPr="00DA4C59">
              <w:rPr>
                <w:rFonts w:eastAsia="Times New Roman"/>
                <w:szCs w:val="24"/>
                <w:lang w:eastAsia="ru-RU"/>
              </w:rPr>
              <w:t>Низкая восприимчивость пользователей</w:t>
            </w:r>
          </w:p>
        </w:tc>
        <w:tc>
          <w:tcPr>
            <w:tcW w:w="0" w:type="auto"/>
            <w:hideMark/>
          </w:tcPr>
          <w:p w14:paraId="1531B59C" w14:textId="77777777" w:rsidR="000C1190" w:rsidRPr="00DA4C59" w:rsidRDefault="000C1190" w:rsidP="002F33D0">
            <w:pPr>
              <w:ind w:firstLine="0"/>
              <w:jc w:val="both"/>
              <w:rPr>
                <w:rFonts w:eastAsia="Times New Roman"/>
                <w:szCs w:val="24"/>
                <w:lang w:eastAsia="ru-RU"/>
              </w:rPr>
            </w:pPr>
            <w:r w:rsidRPr="00DA4C59">
              <w:rPr>
                <w:rFonts w:eastAsia="Times New Roman"/>
                <w:bCs/>
                <w:szCs w:val="24"/>
                <w:lang w:eastAsia="ru-RU"/>
              </w:rPr>
              <w:t>inno_obstacle_user_acceptance</w:t>
            </w:r>
          </w:p>
        </w:tc>
        <w:tc>
          <w:tcPr>
            <w:tcW w:w="0" w:type="auto"/>
            <w:vAlign w:val="center"/>
            <w:hideMark/>
          </w:tcPr>
          <w:p w14:paraId="2F10DAC5" w14:textId="2C9A243D" w:rsidR="000C1190" w:rsidRPr="00DA4C59" w:rsidRDefault="000C1190" w:rsidP="002F33D0">
            <w:pPr>
              <w:ind w:firstLine="0"/>
              <w:jc w:val="center"/>
              <w:rPr>
                <w:rFonts w:eastAsia="Times New Roman"/>
                <w:szCs w:val="24"/>
                <w:lang w:eastAsia="ru-RU"/>
              </w:rPr>
            </w:pPr>
            <w:r w:rsidRPr="00DA4C59">
              <w:rPr>
                <w:rFonts w:eastAsia="Times New Roman"/>
                <w:szCs w:val="24"/>
                <w:lang w:eastAsia="ru-RU"/>
              </w:rPr>
              <w:t>0</w:t>
            </w:r>
            <w:r w:rsidR="00DA4C59">
              <w:rPr>
                <w:rFonts w:eastAsia="Times New Roman"/>
                <w:szCs w:val="24"/>
                <w:lang w:val="kk-KZ" w:eastAsia="ru-RU"/>
              </w:rPr>
              <w:t>,</w:t>
            </w:r>
            <w:r w:rsidRPr="00DA4C59">
              <w:rPr>
                <w:rFonts w:eastAsia="Times New Roman"/>
                <w:szCs w:val="24"/>
                <w:lang w:eastAsia="ru-RU"/>
              </w:rPr>
              <w:t>381</w:t>
            </w:r>
          </w:p>
        </w:tc>
        <w:tc>
          <w:tcPr>
            <w:tcW w:w="0" w:type="auto"/>
            <w:vAlign w:val="center"/>
            <w:hideMark/>
          </w:tcPr>
          <w:p w14:paraId="34A57AC7" w14:textId="285470F6" w:rsidR="000C1190" w:rsidRPr="00DA4C59" w:rsidRDefault="000C1190" w:rsidP="002F33D0">
            <w:pPr>
              <w:ind w:firstLine="0"/>
              <w:jc w:val="center"/>
              <w:rPr>
                <w:rFonts w:eastAsia="Times New Roman"/>
                <w:szCs w:val="24"/>
                <w:lang w:eastAsia="ru-RU"/>
              </w:rPr>
            </w:pPr>
            <w:r w:rsidRPr="00DA4C59">
              <w:rPr>
                <w:rFonts w:eastAsia="Times New Roman"/>
                <w:szCs w:val="24"/>
                <w:lang w:eastAsia="ru-RU"/>
              </w:rPr>
              <w:t>0</w:t>
            </w:r>
            <w:r w:rsidR="00DA4C59">
              <w:rPr>
                <w:rFonts w:eastAsia="Times New Roman"/>
                <w:szCs w:val="24"/>
                <w:lang w:val="kk-KZ" w:eastAsia="ru-RU"/>
              </w:rPr>
              <w:t>,</w:t>
            </w:r>
            <w:r w:rsidRPr="00DA4C59">
              <w:rPr>
                <w:rFonts w:eastAsia="Times New Roman"/>
                <w:szCs w:val="24"/>
                <w:lang w:eastAsia="ru-RU"/>
              </w:rPr>
              <w:t>486</w:t>
            </w:r>
          </w:p>
        </w:tc>
      </w:tr>
      <w:tr w:rsidR="00443C38" w:rsidRPr="00DA4C59" w14:paraId="1CC6231E" w14:textId="77777777" w:rsidTr="00FE65D3">
        <w:tc>
          <w:tcPr>
            <w:tcW w:w="0" w:type="auto"/>
            <w:gridSpan w:val="4"/>
          </w:tcPr>
          <w:p w14:paraId="0FD94203" w14:textId="26AB71C0" w:rsidR="00443C38" w:rsidRPr="00443C38" w:rsidRDefault="00443C38" w:rsidP="000F3C80">
            <w:pPr>
              <w:ind w:firstLine="459"/>
              <w:rPr>
                <w:rFonts w:eastAsia="Times New Roman"/>
                <w:szCs w:val="24"/>
                <w:lang w:val="kk-KZ" w:eastAsia="ru-RU"/>
              </w:rPr>
            </w:pPr>
            <w:r w:rsidRPr="00EE311D">
              <w:rPr>
                <w:rFonts w:eastAsia="Times New Roman"/>
                <w:szCs w:val="24"/>
                <w:lang w:val="kk-KZ" w:eastAsia="ru-RU"/>
              </w:rPr>
              <w:t xml:space="preserve">Примечание – </w:t>
            </w:r>
            <w:r w:rsidR="000F3C80" w:rsidRPr="00EE311D">
              <w:rPr>
                <w:rFonts w:eastAsia="Times New Roman"/>
                <w:szCs w:val="24"/>
                <w:lang w:val="kk-KZ" w:eastAsia="ru-RU"/>
              </w:rPr>
              <w:t>С</w:t>
            </w:r>
            <w:r w:rsidRPr="00EE311D">
              <w:rPr>
                <w:rFonts w:eastAsia="Times New Roman"/>
                <w:szCs w:val="24"/>
                <w:lang w:val="kk-KZ" w:eastAsia="ru-RU"/>
              </w:rPr>
              <w:t>оставлено автором</w:t>
            </w:r>
          </w:p>
        </w:tc>
      </w:tr>
    </w:tbl>
    <w:p w14:paraId="7B804032" w14:textId="77777777" w:rsidR="003F0E8F" w:rsidRDefault="003F0E8F" w:rsidP="00E96BD3">
      <w:pPr>
        <w:spacing w:after="0" w:line="240" w:lineRule="auto"/>
        <w:ind w:firstLine="567"/>
        <w:jc w:val="both"/>
        <w:rPr>
          <w:rFonts w:ascii="Times New Roman" w:hAnsi="Times New Roman" w:cs="Times New Roman"/>
          <w:sz w:val="28"/>
          <w:szCs w:val="28"/>
          <w:lang w:val="kk-KZ"/>
        </w:rPr>
      </w:pPr>
    </w:p>
    <w:p w14:paraId="0579048B" w14:textId="4836DB1A" w:rsidR="000C1190" w:rsidRPr="000C1190" w:rsidRDefault="000C1190" w:rsidP="00E96BD3">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Для эмпирического подтверждения латентной структуры факторов, влияющих на инновационный потенциал предпринимательских структур, был проведён подтверждающий факторный анализ (Confirmatory Factor Analysis, CFA).</w:t>
      </w:r>
      <w:r w:rsidR="00E96BD3">
        <w:rPr>
          <w:rFonts w:ascii="Times New Roman" w:hAnsi="Times New Roman" w:cs="Times New Roman"/>
          <w:sz w:val="28"/>
          <w:szCs w:val="28"/>
          <w:lang w:val="kk-KZ"/>
        </w:rPr>
        <w:t xml:space="preserve"> </w:t>
      </w:r>
      <w:r w:rsidRPr="000C1190">
        <w:rPr>
          <w:rFonts w:ascii="Times New Roman" w:hAnsi="Times New Roman" w:cs="Times New Roman"/>
          <w:sz w:val="28"/>
          <w:szCs w:val="28"/>
          <w:lang w:val="kk-KZ"/>
        </w:rPr>
        <w:t xml:space="preserve">Цель данного этапа заключалась в проверке согласованности теоретически выделенных блоков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драйверов и барьеров инновационного развития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с эмпирическими данными.</w:t>
      </w:r>
      <w:r w:rsidR="00E96BD3">
        <w:rPr>
          <w:rFonts w:ascii="Times New Roman" w:hAnsi="Times New Roman" w:cs="Times New Roman"/>
          <w:sz w:val="28"/>
          <w:szCs w:val="28"/>
          <w:lang w:val="kk-KZ"/>
        </w:rPr>
        <w:t xml:space="preserve"> </w:t>
      </w:r>
      <w:r w:rsidRPr="000C1190">
        <w:rPr>
          <w:rFonts w:ascii="Times New Roman" w:hAnsi="Times New Roman" w:cs="Times New Roman"/>
          <w:sz w:val="28"/>
          <w:szCs w:val="28"/>
          <w:lang w:val="kk-KZ"/>
        </w:rPr>
        <w:t xml:space="preserve">Применение CFA позволило оценить, </w:t>
      </w:r>
      <w:r w:rsidRPr="000C1190">
        <w:rPr>
          <w:rFonts w:ascii="Times New Roman" w:hAnsi="Times New Roman" w:cs="Times New Roman"/>
          <w:sz w:val="28"/>
          <w:szCs w:val="28"/>
          <w:lang w:val="kk-KZ"/>
        </w:rPr>
        <w:lastRenderedPageBreak/>
        <w:t>насколько наблюдаемые бинарные индикаторы адекватно отражают соответствующие латентные переменные</w:t>
      </w:r>
      <w:r w:rsidR="003D1C4A">
        <w:rPr>
          <w:rFonts w:ascii="Times New Roman" w:hAnsi="Times New Roman" w:cs="Times New Roman"/>
          <w:sz w:val="28"/>
          <w:szCs w:val="28"/>
          <w:lang w:val="kk-KZ"/>
        </w:rPr>
        <w:t xml:space="preserve"> (</w:t>
      </w:r>
      <w:r w:rsidR="00557C40">
        <w:rPr>
          <w:rFonts w:ascii="Times New Roman" w:hAnsi="Times New Roman" w:cs="Times New Roman"/>
          <w:sz w:val="28"/>
          <w:szCs w:val="28"/>
          <w:lang w:val="kk-KZ"/>
        </w:rPr>
        <w:t xml:space="preserve">Приложение </w:t>
      </w:r>
      <w:r w:rsidR="00AA67DC">
        <w:rPr>
          <w:rFonts w:ascii="Times New Roman" w:hAnsi="Times New Roman" w:cs="Times New Roman"/>
          <w:sz w:val="28"/>
          <w:szCs w:val="28"/>
          <w:lang w:val="kk-KZ"/>
        </w:rPr>
        <w:t>М</w:t>
      </w:r>
      <w:r w:rsidR="003D1C4A">
        <w:rPr>
          <w:rFonts w:ascii="Times New Roman" w:hAnsi="Times New Roman" w:cs="Times New Roman"/>
          <w:sz w:val="28"/>
          <w:szCs w:val="28"/>
          <w:lang w:val="kk-KZ"/>
        </w:rPr>
        <w:t>)</w:t>
      </w:r>
      <w:r w:rsidRPr="000C1190">
        <w:rPr>
          <w:rFonts w:ascii="Times New Roman" w:hAnsi="Times New Roman" w:cs="Times New Roman"/>
          <w:sz w:val="28"/>
          <w:szCs w:val="28"/>
          <w:lang w:val="kk-KZ"/>
        </w:rPr>
        <w:t>.</w:t>
      </w:r>
    </w:p>
    <w:p w14:paraId="0EB00CC2" w14:textId="272A910D"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На основании результатов предварительного анализа и содержательной логики переменные были агрегированы в два укрупнённых блока:</w:t>
      </w:r>
      <w:r w:rsidR="009D20AE">
        <w:rPr>
          <w:rFonts w:ascii="Times New Roman" w:hAnsi="Times New Roman" w:cs="Times New Roman"/>
          <w:sz w:val="28"/>
          <w:szCs w:val="28"/>
          <w:lang w:val="kk-KZ"/>
        </w:rPr>
        <w:t xml:space="preserve"> </w:t>
      </w:r>
    </w:p>
    <w:p w14:paraId="12E6342A" w14:textId="69C693FE" w:rsidR="000C1190" w:rsidRPr="000C1190" w:rsidRDefault="00443C38" w:rsidP="007F5E68">
      <w:pPr>
        <w:pStyle w:val="a3"/>
        <w:numPr>
          <w:ilvl w:val="0"/>
          <w:numId w:val="10"/>
        </w:numPr>
        <w:tabs>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л</w:t>
      </w:r>
      <w:r w:rsidR="000C1190" w:rsidRPr="000C1190">
        <w:rPr>
          <w:rFonts w:ascii="Times New Roman" w:hAnsi="Times New Roman" w:cs="Times New Roman"/>
          <w:sz w:val="28"/>
          <w:szCs w:val="28"/>
          <w:lang w:val="kk-KZ"/>
        </w:rPr>
        <w:t>атентная переменная 1 (драйверы инновационного развития): включает шесть бинарных индикаторов, отражающих управленческую поддержку, наличие внешних партнёрств, использование цифровых технологий, кадровый потенциал, развитие инновационной культуры и финансовое обеспечение;</w:t>
      </w:r>
    </w:p>
    <w:p w14:paraId="246BDFE3" w14:textId="65AA7D00" w:rsidR="000C1190" w:rsidRPr="000C1190" w:rsidRDefault="00443C38" w:rsidP="007F5E68">
      <w:pPr>
        <w:pStyle w:val="a3"/>
        <w:numPr>
          <w:ilvl w:val="0"/>
          <w:numId w:val="10"/>
        </w:numPr>
        <w:tabs>
          <w:tab w:val="left" w:pos="851"/>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л</w:t>
      </w:r>
      <w:r w:rsidR="000C1190" w:rsidRPr="000C1190">
        <w:rPr>
          <w:rFonts w:ascii="Times New Roman" w:hAnsi="Times New Roman" w:cs="Times New Roman"/>
          <w:sz w:val="28"/>
          <w:szCs w:val="28"/>
          <w:lang w:val="kk-KZ"/>
        </w:rPr>
        <w:t>атентная переменная 2 (барьеры инновационного развития): охватывает институциональные и рыночные ограничения: нехватку финансирования, отсутствие стратегии монетизации, ограниченный доступ к государственной поддержке, трудности масштабирования решений, регуляторные барьеры и низкую восприимчивость пользователей.</w:t>
      </w:r>
    </w:p>
    <w:p w14:paraId="5978DCE2" w14:textId="289236F9"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Результаты CFA (таблица </w:t>
      </w:r>
      <w:r w:rsidR="00443C38">
        <w:rPr>
          <w:rFonts w:ascii="Times New Roman" w:hAnsi="Times New Roman" w:cs="Times New Roman"/>
          <w:sz w:val="28"/>
          <w:szCs w:val="28"/>
          <w:lang w:val="kk-KZ"/>
        </w:rPr>
        <w:t>22</w:t>
      </w:r>
      <w:r w:rsidRPr="000C1190">
        <w:rPr>
          <w:rFonts w:ascii="Times New Roman" w:hAnsi="Times New Roman" w:cs="Times New Roman"/>
          <w:sz w:val="28"/>
          <w:szCs w:val="28"/>
          <w:lang w:val="kk-KZ"/>
        </w:rPr>
        <w:t xml:space="preserve">) демонстрируют высокую степень согласованности переменных с соответствующими латентными конструкциями. </w:t>
      </w:r>
    </w:p>
    <w:p w14:paraId="0CBEA6A4"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p>
    <w:p w14:paraId="090BA192" w14:textId="156FA294" w:rsidR="000C1190" w:rsidRDefault="00DA4C59" w:rsidP="002F33D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Таблица </w:t>
      </w:r>
      <w:r w:rsidR="00443C38">
        <w:rPr>
          <w:rFonts w:ascii="Times New Roman" w:hAnsi="Times New Roman" w:cs="Times New Roman"/>
          <w:sz w:val="28"/>
          <w:szCs w:val="28"/>
          <w:lang w:val="kk-KZ"/>
        </w:rPr>
        <w:t>22</w:t>
      </w:r>
      <w:r>
        <w:rPr>
          <w:rFonts w:ascii="Times New Roman" w:hAnsi="Times New Roman" w:cs="Times New Roman"/>
          <w:sz w:val="28"/>
          <w:szCs w:val="28"/>
          <w:lang w:val="kk-KZ"/>
        </w:rPr>
        <w:t xml:space="preserve"> – </w:t>
      </w:r>
      <w:r w:rsidR="000C1190" w:rsidRPr="000C1190">
        <w:rPr>
          <w:rFonts w:ascii="Times New Roman" w:hAnsi="Times New Roman" w:cs="Times New Roman"/>
          <w:sz w:val="28"/>
          <w:szCs w:val="28"/>
          <w:lang w:val="kk-KZ"/>
        </w:rPr>
        <w:t>Факторные нагрузки и характеристики модели CFA</w:t>
      </w:r>
    </w:p>
    <w:p w14:paraId="5790D02B" w14:textId="77777777" w:rsidR="00DA4C59" w:rsidRPr="00443C38" w:rsidRDefault="00DA4C59" w:rsidP="002F33D0">
      <w:pPr>
        <w:spacing w:after="0" w:line="240" w:lineRule="auto"/>
        <w:jc w:val="both"/>
        <w:rPr>
          <w:rFonts w:ascii="Times New Roman" w:hAnsi="Times New Roman" w:cs="Times New Roman"/>
          <w:sz w:val="20"/>
          <w:szCs w:val="20"/>
          <w:lang w:val="kk-KZ"/>
        </w:rPr>
      </w:pPr>
    </w:p>
    <w:tbl>
      <w:tblPr>
        <w:tblStyle w:val="a5"/>
        <w:tblW w:w="0" w:type="auto"/>
        <w:tblLayout w:type="fixed"/>
        <w:tblLook w:val="04A0" w:firstRow="1" w:lastRow="0" w:firstColumn="1" w:lastColumn="0" w:noHBand="0" w:noVBand="1"/>
      </w:tblPr>
      <w:tblGrid>
        <w:gridCol w:w="2009"/>
        <w:gridCol w:w="2544"/>
        <w:gridCol w:w="3429"/>
        <w:gridCol w:w="1363"/>
      </w:tblGrid>
      <w:tr w:rsidR="000C1190" w:rsidRPr="000C1190" w14:paraId="56C4E057" w14:textId="77777777" w:rsidTr="00443C38">
        <w:tc>
          <w:tcPr>
            <w:tcW w:w="2009" w:type="dxa"/>
            <w:hideMark/>
          </w:tcPr>
          <w:p w14:paraId="1E42162A" w14:textId="77777777" w:rsidR="000C1190" w:rsidRPr="00DA4C59" w:rsidRDefault="000C1190" w:rsidP="002F33D0">
            <w:pPr>
              <w:ind w:firstLine="0"/>
              <w:jc w:val="both"/>
              <w:rPr>
                <w:rFonts w:eastAsia="Times New Roman"/>
                <w:bCs/>
                <w:szCs w:val="24"/>
                <w:lang w:eastAsia="ru-RU"/>
              </w:rPr>
            </w:pPr>
            <w:r w:rsidRPr="00DA4C59">
              <w:rPr>
                <w:rFonts w:eastAsia="Times New Roman"/>
                <w:bCs/>
                <w:szCs w:val="24"/>
                <w:lang w:eastAsia="ru-RU"/>
              </w:rPr>
              <w:t>Латентная переменная</w:t>
            </w:r>
          </w:p>
        </w:tc>
        <w:tc>
          <w:tcPr>
            <w:tcW w:w="2544" w:type="dxa"/>
            <w:vAlign w:val="center"/>
          </w:tcPr>
          <w:p w14:paraId="6858FE9B" w14:textId="77777777" w:rsidR="000C1190" w:rsidRPr="00DA4C59" w:rsidRDefault="000C1190" w:rsidP="002F33D0">
            <w:pPr>
              <w:ind w:firstLine="0"/>
              <w:jc w:val="both"/>
              <w:rPr>
                <w:rFonts w:eastAsia="Times New Roman"/>
                <w:bCs/>
                <w:color w:val="000000"/>
                <w:szCs w:val="24"/>
                <w:lang w:val="kk-KZ" w:eastAsia="ru-RU"/>
              </w:rPr>
            </w:pPr>
            <w:r w:rsidRPr="00DA4C59">
              <w:rPr>
                <w:rFonts w:eastAsia="Times New Roman"/>
                <w:bCs/>
                <w:color w:val="000000"/>
                <w:szCs w:val="24"/>
                <w:lang w:val="kk-KZ" w:eastAsia="ru-RU"/>
              </w:rPr>
              <w:t>Название переменной</w:t>
            </w:r>
          </w:p>
        </w:tc>
        <w:tc>
          <w:tcPr>
            <w:tcW w:w="3429" w:type="dxa"/>
            <w:vAlign w:val="center"/>
            <w:hideMark/>
          </w:tcPr>
          <w:p w14:paraId="392C66BC" w14:textId="77777777" w:rsidR="000C1190" w:rsidRPr="00DA4C59" w:rsidRDefault="000C1190" w:rsidP="002F33D0">
            <w:pPr>
              <w:ind w:firstLine="0"/>
              <w:jc w:val="both"/>
              <w:rPr>
                <w:rFonts w:eastAsia="Times New Roman"/>
                <w:bCs/>
                <w:color w:val="000000"/>
                <w:szCs w:val="24"/>
                <w:lang w:eastAsia="ru-RU"/>
              </w:rPr>
            </w:pPr>
            <w:r w:rsidRPr="00DA4C59">
              <w:rPr>
                <w:rFonts w:eastAsia="Times New Roman"/>
                <w:bCs/>
                <w:color w:val="000000"/>
                <w:szCs w:val="24"/>
                <w:lang w:eastAsia="ru-RU"/>
              </w:rPr>
              <w:t>Обозначение в анализе</w:t>
            </w:r>
          </w:p>
        </w:tc>
        <w:tc>
          <w:tcPr>
            <w:tcW w:w="1363" w:type="dxa"/>
            <w:hideMark/>
          </w:tcPr>
          <w:p w14:paraId="776E1FBF" w14:textId="77777777" w:rsidR="000C1190" w:rsidRPr="00DA4C59" w:rsidRDefault="000C1190" w:rsidP="002F33D0">
            <w:pPr>
              <w:ind w:firstLine="0"/>
              <w:jc w:val="both"/>
              <w:rPr>
                <w:rFonts w:eastAsia="Times New Roman"/>
                <w:bCs/>
                <w:szCs w:val="24"/>
                <w:lang w:eastAsia="ru-RU"/>
              </w:rPr>
            </w:pPr>
            <w:r w:rsidRPr="00DA4C59">
              <w:rPr>
                <w:rFonts w:eastAsia="Times New Roman"/>
                <w:bCs/>
                <w:szCs w:val="24"/>
                <w:lang w:eastAsia="ru-RU"/>
              </w:rPr>
              <w:t>Факторная нагрузка</w:t>
            </w:r>
          </w:p>
        </w:tc>
      </w:tr>
      <w:tr w:rsidR="00443C38" w:rsidRPr="000C1190" w14:paraId="29F962B8" w14:textId="77777777" w:rsidTr="00443C38">
        <w:tc>
          <w:tcPr>
            <w:tcW w:w="2009" w:type="dxa"/>
          </w:tcPr>
          <w:p w14:paraId="23A2E623" w14:textId="51910876" w:rsidR="00443C38" w:rsidRPr="00443C38" w:rsidRDefault="00443C38" w:rsidP="00443C38">
            <w:pPr>
              <w:ind w:firstLine="0"/>
              <w:jc w:val="center"/>
              <w:rPr>
                <w:rFonts w:eastAsia="Times New Roman"/>
                <w:bCs/>
                <w:szCs w:val="24"/>
                <w:lang w:val="kk-KZ" w:eastAsia="ru-RU"/>
              </w:rPr>
            </w:pPr>
            <w:r>
              <w:rPr>
                <w:rFonts w:eastAsia="Times New Roman"/>
                <w:bCs/>
                <w:szCs w:val="24"/>
                <w:lang w:val="kk-KZ" w:eastAsia="ru-RU"/>
              </w:rPr>
              <w:t>1</w:t>
            </w:r>
          </w:p>
        </w:tc>
        <w:tc>
          <w:tcPr>
            <w:tcW w:w="2544" w:type="dxa"/>
            <w:vAlign w:val="center"/>
          </w:tcPr>
          <w:p w14:paraId="3B63A2F5" w14:textId="5317AE14" w:rsidR="00443C38" w:rsidRPr="00DA4C59" w:rsidRDefault="00443C38" w:rsidP="00443C38">
            <w:pPr>
              <w:ind w:firstLine="0"/>
              <w:jc w:val="center"/>
              <w:rPr>
                <w:rFonts w:eastAsia="Times New Roman"/>
                <w:bCs/>
                <w:color w:val="000000"/>
                <w:szCs w:val="24"/>
                <w:lang w:val="kk-KZ" w:eastAsia="ru-RU"/>
              </w:rPr>
            </w:pPr>
            <w:r>
              <w:rPr>
                <w:rFonts w:eastAsia="Times New Roman"/>
                <w:bCs/>
                <w:color w:val="000000"/>
                <w:szCs w:val="24"/>
                <w:lang w:val="kk-KZ" w:eastAsia="ru-RU"/>
              </w:rPr>
              <w:t>2</w:t>
            </w:r>
          </w:p>
        </w:tc>
        <w:tc>
          <w:tcPr>
            <w:tcW w:w="3429" w:type="dxa"/>
            <w:vAlign w:val="center"/>
          </w:tcPr>
          <w:p w14:paraId="786F6D76" w14:textId="3965934A" w:rsidR="00443C38" w:rsidRPr="00443C38" w:rsidRDefault="00443C38" w:rsidP="00443C38">
            <w:pPr>
              <w:ind w:firstLine="0"/>
              <w:jc w:val="center"/>
              <w:rPr>
                <w:rFonts w:eastAsia="Times New Roman"/>
                <w:bCs/>
                <w:color w:val="000000"/>
                <w:szCs w:val="24"/>
                <w:lang w:val="kk-KZ" w:eastAsia="ru-RU"/>
              </w:rPr>
            </w:pPr>
            <w:r>
              <w:rPr>
                <w:rFonts w:eastAsia="Times New Roman"/>
                <w:bCs/>
                <w:color w:val="000000"/>
                <w:szCs w:val="24"/>
                <w:lang w:val="kk-KZ" w:eastAsia="ru-RU"/>
              </w:rPr>
              <w:t>3</w:t>
            </w:r>
          </w:p>
        </w:tc>
        <w:tc>
          <w:tcPr>
            <w:tcW w:w="1363" w:type="dxa"/>
          </w:tcPr>
          <w:p w14:paraId="65C74D9D" w14:textId="65CA27C9" w:rsidR="00443C38" w:rsidRPr="00443C38" w:rsidRDefault="00443C38" w:rsidP="00443C38">
            <w:pPr>
              <w:ind w:firstLine="0"/>
              <w:jc w:val="center"/>
              <w:rPr>
                <w:rFonts w:eastAsia="Times New Roman"/>
                <w:bCs/>
                <w:szCs w:val="24"/>
                <w:lang w:val="kk-KZ" w:eastAsia="ru-RU"/>
              </w:rPr>
            </w:pPr>
            <w:r>
              <w:rPr>
                <w:rFonts w:eastAsia="Times New Roman"/>
                <w:bCs/>
                <w:szCs w:val="24"/>
                <w:lang w:val="kk-KZ" w:eastAsia="ru-RU"/>
              </w:rPr>
              <w:t>4</w:t>
            </w:r>
          </w:p>
        </w:tc>
      </w:tr>
      <w:tr w:rsidR="00DA4C59" w:rsidRPr="000C1190" w14:paraId="2C4F9EFA" w14:textId="77777777" w:rsidTr="00443C38">
        <w:tc>
          <w:tcPr>
            <w:tcW w:w="2009" w:type="dxa"/>
            <w:vMerge w:val="restart"/>
            <w:hideMark/>
          </w:tcPr>
          <w:p w14:paraId="59DF507B" w14:textId="77777777" w:rsidR="00DA4C59" w:rsidRPr="00DA4C59" w:rsidRDefault="00DA4C59" w:rsidP="002F33D0">
            <w:pPr>
              <w:ind w:firstLine="0"/>
              <w:jc w:val="both"/>
              <w:rPr>
                <w:rFonts w:eastAsia="Times New Roman"/>
                <w:szCs w:val="24"/>
                <w:lang w:eastAsia="ru-RU"/>
              </w:rPr>
            </w:pPr>
            <w:r w:rsidRPr="00DA4C59">
              <w:rPr>
                <w:rFonts w:eastAsia="Times New Roman"/>
                <w:szCs w:val="24"/>
                <w:lang w:eastAsia="ru-RU"/>
              </w:rPr>
              <w:t>Драйверы инновационного развития</w:t>
            </w:r>
          </w:p>
        </w:tc>
        <w:tc>
          <w:tcPr>
            <w:tcW w:w="2544" w:type="dxa"/>
          </w:tcPr>
          <w:p w14:paraId="671F6795" w14:textId="77777777" w:rsidR="00DA4C59" w:rsidRPr="00DA4C59" w:rsidRDefault="00DA4C59" w:rsidP="002F33D0">
            <w:pPr>
              <w:ind w:firstLine="0"/>
              <w:jc w:val="both"/>
              <w:rPr>
                <w:rFonts w:eastAsia="Times New Roman"/>
                <w:szCs w:val="24"/>
                <w:lang w:eastAsia="ru-RU"/>
              </w:rPr>
            </w:pPr>
            <w:r w:rsidRPr="00DA4C59">
              <w:rPr>
                <w:rFonts w:eastAsia="Times New Roman"/>
                <w:szCs w:val="24"/>
                <w:lang w:eastAsia="ru-RU"/>
              </w:rPr>
              <w:t>Поддержка со стороны руководства</w:t>
            </w:r>
          </w:p>
        </w:tc>
        <w:tc>
          <w:tcPr>
            <w:tcW w:w="3429" w:type="dxa"/>
            <w:hideMark/>
          </w:tcPr>
          <w:p w14:paraId="3AD5A45C" w14:textId="77777777" w:rsidR="00DA4C59" w:rsidRPr="00DA4C59" w:rsidRDefault="00DA4C59" w:rsidP="002F33D0">
            <w:pPr>
              <w:ind w:firstLine="0"/>
              <w:jc w:val="both"/>
              <w:rPr>
                <w:rFonts w:eastAsia="Times New Roman"/>
                <w:szCs w:val="24"/>
                <w:lang w:eastAsia="ru-RU"/>
              </w:rPr>
            </w:pPr>
            <w:r w:rsidRPr="00DA4C59">
              <w:rPr>
                <w:rFonts w:eastAsia="Times New Roman"/>
                <w:bCs/>
                <w:szCs w:val="24"/>
                <w:lang w:eastAsia="ru-RU"/>
              </w:rPr>
              <w:t>inno_driver_top_support</w:t>
            </w:r>
          </w:p>
        </w:tc>
        <w:tc>
          <w:tcPr>
            <w:tcW w:w="1363" w:type="dxa"/>
            <w:hideMark/>
          </w:tcPr>
          <w:p w14:paraId="310F201C" w14:textId="2DAA7D0D" w:rsidR="00DA4C59" w:rsidRPr="00DA4C59" w:rsidRDefault="00DA4C59" w:rsidP="00EE311D">
            <w:pPr>
              <w:ind w:firstLine="0"/>
              <w:jc w:val="center"/>
              <w:rPr>
                <w:rFonts w:eastAsia="Times New Roman"/>
                <w:szCs w:val="24"/>
                <w:lang w:eastAsia="ru-RU"/>
              </w:rPr>
            </w:pPr>
            <w:r w:rsidRPr="00DA4C59">
              <w:rPr>
                <w:rFonts w:eastAsia="Times New Roman"/>
                <w:szCs w:val="24"/>
                <w:lang w:eastAsia="ru-RU"/>
              </w:rPr>
              <w:t>0</w:t>
            </w:r>
            <w:r>
              <w:rPr>
                <w:rFonts w:eastAsia="Times New Roman"/>
                <w:szCs w:val="24"/>
                <w:lang w:val="kk-KZ" w:eastAsia="ru-RU"/>
              </w:rPr>
              <w:t>,</w:t>
            </w:r>
            <w:r w:rsidRPr="00DA4C59">
              <w:rPr>
                <w:rFonts w:eastAsia="Times New Roman"/>
                <w:szCs w:val="24"/>
                <w:lang w:eastAsia="ru-RU"/>
              </w:rPr>
              <w:t>58</w:t>
            </w:r>
          </w:p>
        </w:tc>
      </w:tr>
      <w:tr w:rsidR="00DA4C59" w:rsidRPr="000C1190" w14:paraId="5CF8EE0F" w14:textId="77777777" w:rsidTr="00443C38">
        <w:tc>
          <w:tcPr>
            <w:tcW w:w="2009" w:type="dxa"/>
            <w:vMerge/>
            <w:hideMark/>
          </w:tcPr>
          <w:p w14:paraId="05929745" w14:textId="77777777" w:rsidR="00DA4C59" w:rsidRPr="00DA4C59" w:rsidRDefault="00DA4C59" w:rsidP="002F33D0">
            <w:pPr>
              <w:ind w:firstLine="0"/>
              <w:jc w:val="both"/>
              <w:rPr>
                <w:rFonts w:eastAsia="Times New Roman"/>
                <w:szCs w:val="24"/>
                <w:lang w:eastAsia="ru-RU"/>
              </w:rPr>
            </w:pPr>
          </w:p>
        </w:tc>
        <w:tc>
          <w:tcPr>
            <w:tcW w:w="2544" w:type="dxa"/>
          </w:tcPr>
          <w:p w14:paraId="63C1D941" w14:textId="77777777" w:rsidR="00DA4C59" w:rsidRPr="00DA4C59" w:rsidRDefault="00DA4C59" w:rsidP="002F33D0">
            <w:pPr>
              <w:ind w:firstLine="0"/>
              <w:jc w:val="both"/>
              <w:rPr>
                <w:rFonts w:eastAsia="Times New Roman"/>
                <w:szCs w:val="24"/>
                <w:lang w:eastAsia="ru-RU"/>
              </w:rPr>
            </w:pPr>
            <w:r w:rsidRPr="00DA4C59">
              <w:rPr>
                <w:rFonts w:eastAsia="Times New Roman"/>
                <w:szCs w:val="24"/>
                <w:lang w:eastAsia="ru-RU"/>
              </w:rPr>
              <w:t>Внешние партнёрства в сфере инноваций</w:t>
            </w:r>
          </w:p>
        </w:tc>
        <w:tc>
          <w:tcPr>
            <w:tcW w:w="3429" w:type="dxa"/>
            <w:hideMark/>
          </w:tcPr>
          <w:p w14:paraId="1EB86C61" w14:textId="77777777" w:rsidR="00DA4C59" w:rsidRPr="00DA4C59" w:rsidRDefault="00DA4C59" w:rsidP="002F33D0">
            <w:pPr>
              <w:ind w:firstLine="0"/>
              <w:jc w:val="both"/>
              <w:rPr>
                <w:rFonts w:eastAsia="Times New Roman"/>
                <w:szCs w:val="24"/>
                <w:lang w:eastAsia="ru-RU"/>
              </w:rPr>
            </w:pPr>
            <w:r w:rsidRPr="00DA4C59">
              <w:rPr>
                <w:rFonts w:eastAsia="Times New Roman"/>
                <w:bCs/>
                <w:szCs w:val="24"/>
                <w:lang w:eastAsia="ru-RU"/>
              </w:rPr>
              <w:t>inno_driver_external_partnership</w:t>
            </w:r>
          </w:p>
        </w:tc>
        <w:tc>
          <w:tcPr>
            <w:tcW w:w="1363" w:type="dxa"/>
            <w:hideMark/>
          </w:tcPr>
          <w:p w14:paraId="24228FF2" w14:textId="587B0721" w:rsidR="00DA4C59" w:rsidRPr="00DA4C59" w:rsidRDefault="00DA4C59" w:rsidP="00EE311D">
            <w:pPr>
              <w:ind w:firstLine="0"/>
              <w:jc w:val="center"/>
              <w:rPr>
                <w:rFonts w:eastAsia="Times New Roman"/>
                <w:szCs w:val="24"/>
                <w:lang w:eastAsia="ru-RU"/>
              </w:rPr>
            </w:pPr>
            <w:r w:rsidRPr="00DA4C59">
              <w:rPr>
                <w:rFonts w:eastAsia="Times New Roman"/>
                <w:szCs w:val="24"/>
                <w:lang w:eastAsia="ru-RU"/>
              </w:rPr>
              <w:t>0</w:t>
            </w:r>
            <w:r>
              <w:rPr>
                <w:rFonts w:eastAsia="Times New Roman"/>
                <w:szCs w:val="24"/>
                <w:lang w:val="kk-KZ" w:eastAsia="ru-RU"/>
              </w:rPr>
              <w:t>,</w:t>
            </w:r>
            <w:r w:rsidRPr="00DA4C59">
              <w:rPr>
                <w:rFonts w:eastAsia="Times New Roman"/>
                <w:szCs w:val="24"/>
                <w:lang w:eastAsia="ru-RU"/>
              </w:rPr>
              <w:t>52</w:t>
            </w:r>
          </w:p>
        </w:tc>
      </w:tr>
      <w:tr w:rsidR="00DA4C59" w:rsidRPr="000C1190" w14:paraId="4B7931FF" w14:textId="77777777" w:rsidTr="00443C38">
        <w:tc>
          <w:tcPr>
            <w:tcW w:w="2009" w:type="dxa"/>
            <w:vMerge/>
            <w:hideMark/>
          </w:tcPr>
          <w:p w14:paraId="54D1A9A9" w14:textId="77777777" w:rsidR="00DA4C59" w:rsidRPr="00DA4C59" w:rsidRDefault="00DA4C59" w:rsidP="002F33D0">
            <w:pPr>
              <w:ind w:firstLine="0"/>
              <w:jc w:val="both"/>
              <w:rPr>
                <w:rFonts w:eastAsia="Times New Roman"/>
                <w:szCs w:val="24"/>
                <w:lang w:eastAsia="ru-RU"/>
              </w:rPr>
            </w:pPr>
          </w:p>
        </w:tc>
        <w:tc>
          <w:tcPr>
            <w:tcW w:w="2544" w:type="dxa"/>
          </w:tcPr>
          <w:p w14:paraId="0A66AE09" w14:textId="77777777" w:rsidR="00DA4C59" w:rsidRPr="00DA4C59" w:rsidRDefault="00DA4C59" w:rsidP="002F33D0">
            <w:pPr>
              <w:ind w:firstLine="0"/>
              <w:jc w:val="both"/>
              <w:rPr>
                <w:rFonts w:eastAsia="Times New Roman"/>
                <w:szCs w:val="24"/>
                <w:lang w:eastAsia="ru-RU"/>
              </w:rPr>
            </w:pPr>
            <w:r w:rsidRPr="00DA4C59">
              <w:rPr>
                <w:rFonts w:eastAsia="Times New Roman"/>
                <w:szCs w:val="24"/>
                <w:lang w:eastAsia="ru-RU"/>
              </w:rPr>
              <w:t>Использование цифровых технологий в основной деятельности</w:t>
            </w:r>
          </w:p>
        </w:tc>
        <w:tc>
          <w:tcPr>
            <w:tcW w:w="3429" w:type="dxa"/>
            <w:hideMark/>
          </w:tcPr>
          <w:p w14:paraId="202F497E" w14:textId="77777777" w:rsidR="00DA4C59" w:rsidRPr="00DA4C59" w:rsidRDefault="00DA4C59" w:rsidP="002F33D0">
            <w:pPr>
              <w:ind w:firstLine="0"/>
              <w:jc w:val="both"/>
              <w:rPr>
                <w:rFonts w:eastAsia="Times New Roman"/>
                <w:szCs w:val="24"/>
                <w:lang w:eastAsia="ru-RU"/>
              </w:rPr>
            </w:pPr>
            <w:r w:rsidRPr="00DA4C59">
              <w:rPr>
                <w:rFonts w:eastAsia="Times New Roman"/>
                <w:bCs/>
                <w:szCs w:val="24"/>
                <w:lang w:eastAsia="ru-RU"/>
              </w:rPr>
              <w:t>inno_driver_tech_application</w:t>
            </w:r>
          </w:p>
        </w:tc>
        <w:tc>
          <w:tcPr>
            <w:tcW w:w="1363" w:type="dxa"/>
            <w:hideMark/>
          </w:tcPr>
          <w:p w14:paraId="51231F6B" w14:textId="1F6C5767" w:rsidR="00DA4C59" w:rsidRPr="00DA4C59" w:rsidRDefault="00DA4C59" w:rsidP="00EE311D">
            <w:pPr>
              <w:ind w:firstLine="0"/>
              <w:jc w:val="center"/>
              <w:rPr>
                <w:rFonts w:eastAsia="Times New Roman"/>
                <w:szCs w:val="24"/>
                <w:lang w:eastAsia="ru-RU"/>
              </w:rPr>
            </w:pPr>
            <w:r w:rsidRPr="00DA4C59">
              <w:rPr>
                <w:rFonts w:eastAsia="Times New Roman"/>
                <w:szCs w:val="24"/>
                <w:lang w:eastAsia="ru-RU"/>
              </w:rPr>
              <w:t>0</w:t>
            </w:r>
            <w:r>
              <w:rPr>
                <w:rFonts w:eastAsia="Times New Roman"/>
                <w:szCs w:val="24"/>
                <w:lang w:val="kk-KZ" w:eastAsia="ru-RU"/>
              </w:rPr>
              <w:t>,</w:t>
            </w:r>
            <w:r w:rsidRPr="00DA4C59">
              <w:rPr>
                <w:rFonts w:eastAsia="Times New Roman"/>
                <w:szCs w:val="24"/>
                <w:lang w:eastAsia="ru-RU"/>
              </w:rPr>
              <w:t>51</w:t>
            </w:r>
          </w:p>
        </w:tc>
      </w:tr>
      <w:tr w:rsidR="00DA4C59" w:rsidRPr="000C1190" w14:paraId="6D6C6327" w14:textId="77777777" w:rsidTr="00443C38">
        <w:tc>
          <w:tcPr>
            <w:tcW w:w="2009" w:type="dxa"/>
            <w:vMerge/>
            <w:hideMark/>
          </w:tcPr>
          <w:p w14:paraId="037FF395" w14:textId="77777777" w:rsidR="00DA4C59" w:rsidRPr="00DA4C59" w:rsidRDefault="00DA4C59" w:rsidP="002F33D0">
            <w:pPr>
              <w:ind w:firstLine="0"/>
              <w:jc w:val="both"/>
              <w:rPr>
                <w:rFonts w:eastAsia="Times New Roman"/>
                <w:szCs w:val="24"/>
                <w:lang w:eastAsia="ru-RU"/>
              </w:rPr>
            </w:pPr>
          </w:p>
        </w:tc>
        <w:tc>
          <w:tcPr>
            <w:tcW w:w="2544" w:type="dxa"/>
          </w:tcPr>
          <w:p w14:paraId="5EB05CD7" w14:textId="77777777" w:rsidR="00DA4C59" w:rsidRPr="00DA4C59" w:rsidRDefault="00DA4C59" w:rsidP="002F33D0">
            <w:pPr>
              <w:ind w:firstLine="0"/>
              <w:jc w:val="both"/>
              <w:rPr>
                <w:rFonts w:eastAsia="Times New Roman"/>
                <w:szCs w:val="24"/>
                <w:lang w:eastAsia="ru-RU"/>
              </w:rPr>
            </w:pPr>
            <w:r w:rsidRPr="00DA4C59">
              <w:rPr>
                <w:rFonts w:eastAsia="Times New Roman"/>
                <w:szCs w:val="24"/>
                <w:lang w:eastAsia="ru-RU"/>
              </w:rPr>
              <w:t>Наличие квалифицированных сотрудников</w:t>
            </w:r>
          </w:p>
        </w:tc>
        <w:tc>
          <w:tcPr>
            <w:tcW w:w="3429" w:type="dxa"/>
            <w:hideMark/>
          </w:tcPr>
          <w:p w14:paraId="2EE68969" w14:textId="77777777" w:rsidR="00DA4C59" w:rsidRPr="00DA4C59" w:rsidRDefault="00DA4C59" w:rsidP="002F33D0">
            <w:pPr>
              <w:ind w:firstLine="0"/>
              <w:jc w:val="both"/>
              <w:rPr>
                <w:rFonts w:eastAsia="Times New Roman"/>
                <w:szCs w:val="24"/>
                <w:lang w:eastAsia="ru-RU"/>
              </w:rPr>
            </w:pPr>
            <w:r w:rsidRPr="00DA4C59">
              <w:rPr>
                <w:rFonts w:eastAsia="Times New Roman"/>
                <w:bCs/>
                <w:szCs w:val="24"/>
                <w:lang w:eastAsia="ru-RU"/>
              </w:rPr>
              <w:t>inno_driver_expert_staff</w:t>
            </w:r>
          </w:p>
        </w:tc>
        <w:tc>
          <w:tcPr>
            <w:tcW w:w="1363" w:type="dxa"/>
            <w:hideMark/>
          </w:tcPr>
          <w:p w14:paraId="5D324ACC" w14:textId="4C225C2B" w:rsidR="00DA4C59" w:rsidRPr="00DA4C59" w:rsidRDefault="00DA4C59" w:rsidP="00EE311D">
            <w:pPr>
              <w:ind w:firstLine="0"/>
              <w:jc w:val="center"/>
              <w:rPr>
                <w:rFonts w:eastAsia="Times New Roman"/>
                <w:szCs w:val="24"/>
                <w:lang w:eastAsia="ru-RU"/>
              </w:rPr>
            </w:pPr>
            <w:r w:rsidRPr="00DA4C59">
              <w:rPr>
                <w:rFonts w:eastAsia="Times New Roman"/>
                <w:szCs w:val="24"/>
                <w:lang w:eastAsia="ru-RU"/>
              </w:rPr>
              <w:t>0</w:t>
            </w:r>
            <w:r>
              <w:rPr>
                <w:rFonts w:eastAsia="Times New Roman"/>
                <w:szCs w:val="24"/>
                <w:lang w:val="kk-KZ" w:eastAsia="ru-RU"/>
              </w:rPr>
              <w:t>,</w:t>
            </w:r>
            <w:r w:rsidRPr="00DA4C59">
              <w:rPr>
                <w:rFonts w:eastAsia="Times New Roman"/>
                <w:szCs w:val="24"/>
                <w:lang w:eastAsia="ru-RU"/>
              </w:rPr>
              <w:t>57</w:t>
            </w:r>
          </w:p>
        </w:tc>
      </w:tr>
      <w:tr w:rsidR="00DA4C59" w:rsidRPr="000C1190" w14:paraId="5CA74396" w14:textId="77777777" w:rsidTr="00443C38">
        <w:tc>
          <w:tcPr>
            <w:tcW w:w="2009" w:type="dxa"/>
            <w:vMerge/>
            <w:hideMark/>
          </w:tcPr>
          <w:p w14:paraId="7224B059" w14:textId="77777777" w:rsidR="00DA4C59" w:rsidRPr="00DA4C59" w:rsidRDefault="00DA4C59" w:rsidP="002F33D0">
            <w:pPr>
              <w:ind w:firstLine="0"/>
              <w:jc w:val="both"/>
              <w:rPr>
                <w:rFonts w:eastAsia="Times New Roman"/>
                <w:szCs w:val="24"/>
                <w:lang w:eastAsia="ru-RU"/>
              </w:rPr>
            </w:pPr>
          </w:p>
        </w:tc>
        <w:tc>
          <w:tcPr>
            <w:tcW w:w="2544" w:type="dxa"/>
          </w:tcPr>
          <w:p w14:paraId="048E36CE" w14:textId="77777777" w:rsidR="00DA4C59" w:rsidRPr="00DA4C59" w:rsidRDefault="00DA4C59" w:rsidP="002F33D0">
            <w:pPr>
              <w:ind w:firstLine="0"/>
              <w:jc w:val="both"/>
              <w:rPr>
                <w:rFonts w:eastAsia="Times New Roman"/>
                <w:szCs w:val="24"/>
                <w:lang w:eastAsia="ru-RU"/>
              </w:rPr>
            </w:pPr>
            <w:r w:rsidRPr="00DA4C59">
              <w:rPr>
                <w:rFonts w:eastAsia="Times New Roman"/>
                <w:szCs w:val="24"/>
                <w:lang w:eastAsia="ru-RU"/>
              </w:rPr>
              <w:t>Внедрение инновационной культуры</w:t>
            </w:r>
          </w:p>
        </w:tc>
        <w:tc>
          <w:tcPr>
            <w:tcW w:w="3429" w:type="dxa"/>
            <w:hideMark/>
          </w:tcPr>
          <w:p w14:paraId="5ED922AC" w14:textId="77777777" w:rsidR="00DA4C59" w:rsidRPr="00DA4C59" w:rsidRDefault="00DA4C59" w:rsidP="002F33D0">
            <w:pPr>
              <w:ind w:firstLine="0"/>
              <w:jc w:val="both"/>
              <w:rPr>
                <w:rFonts w:eastAsia="Times New Roman"/>
                <w:szCs w:val="24"/>
                <w:lang w:eastAsia="ru-RU"/>
              </w:rPr>
            </w:pPr>
            <w:r w:rsidRPr="00DA4C59">
              <w:rPr>
                <w:rFonts w:eastAsia="Times New Roman"/>
                <w:bCs/>
                <w:szCs w:val="24"/>
                <w:lang w:eastAsia="ru-RU"/>
              </w:rPr>
              <w:t>inno_driver_inno_culture</w:t>
            </w:r>
          </w:p>
        </w:tc>
        <w:tc>
          <w:tcPr>
            <w:tcW w:w="1363" w:type="dxa"/>
            <w:hideMark/>
          </w:tcPr>
          <w:p w14:paraId="4B141645" w14:textId="264A06E6" w:rsidR="00DA4C59" w:rsidRPr="00DA4C59" w:rsidRDefault="00DA4C59" w:rsidP="00EE311D">
            <w:pPr>
              <w:ind w:firstLine="0"/>
              <w:jc w:val="center"/>
              <w:rPr>
                <w:rFonts w:eastAsia="Times New Roman"/>
                <w:szCs w:val="24"/>
                <w:lang w:eastAsia="ru-RU"/>
              </w:rPr>
            </w:pPr>
            <w:r w:rsidRPr="00DA4C59">
              <w:rPr>
                <w:rFonts w:eastAsia="Times New Roman"/>
                <w:szCs w:val="24"/>
                <w:lang w:eastAsia="ru-RU"/>
              </w:rPr>
              <w:t>0</w:t>
            </w:r>
            <w:r>
              <w:rPr>
                <w:rFonts w:eastAsia="Times New Roman"/>
                <w:szCs w:val="24"/>
                <w:lang w:val="kk-KZ" w:eastAsia="ru-RU"/>
              </w:rPr>
              <w:t>,</w:t>
            </w:r>
            <w:r w:rsidRPr="00DA4C59">
              <w:rPr>
                <w:rFonts w:eastAsia="Times New Roman"/>
                <w:szCs w:val="24"/>
                <w:lang w:eastAsia="ru-RU"/>
              </w:rPr>
              <w:t>53</w:t>
            </w:r>
          </w:p>
        </w:tc>
      </w:tr>
      <w:tr w:rsidR="00DA4C59" w:rsidRPr="000C1190" w14:paraId="4284E3F7" w14:textId="77777777" w:rsidTr="00443C38">
        <w:tc>
          <w:tcPr>
            <w:tcW w:w="2009" w:type="dxa"/>
            <w:vMerge/>
            <w:hideMark/>
          </w:tcPr>
          <w:p w14:paraId="17D8A843" w14:textId="77777777" w:rsidR="00DA4C59" w:rsidRPr="00DA4C59" w:rsidRDefault="00DA4C59" w:rsidP="002F33D0">
            <w:pPr>
              <w:ind w:firstLine="0"/>
              <w:jc w:val="both"/>
              <w:rPr>
                <w:rFonts w:eastAsia="Times New Roman"/>
                <w:szCs w:val="24"/>
                <w:lang w:eastAsia="ru-RU"/>
              </w:rPr>
            </w:pPr>
          </w:p>
        </w:tc>
        <w:tc>
          <w:tcPr>
            <w:tcW w:w="2544" w:type="dxa"/>
          </w:tcPr>
          <w:p w14:paraId="6DBBD2DA" w14:textId="77777777" w:rsidR="00DA4C59" w:rsidRPr="00DA4C59" w:rsidRDefault="00DA4C59" w:rsidP="002F33D0">
            <w:pPr>
              <w:ind w:firstLine="0"/>
              <w:jc w:val="both"/>
              <w:rPr>
                <w:rFonts w:eastAsia="Times New Roman"/>
                <w:szCs w:val="24"/>
                <w:lang w:eastAsia="ru-RU"/>
              </w:rPr>
            </w:pPr>
            <w:r w:rsidRPr="00DA4C59">
              <w:rPr>
                <w:rFonts w:eastAsia="Times New Roman"/>
                <w:szCs w:val="24"/>
                <w:lang w:eastAsia="ru-RU"/>
              </w:rPr>
              <w:t>Финансовое обеспечение инноваций</w:t>
            </w:r>
          </w:p>
        </w:tc>
        <w:tc>
          <w:tcPr>
            <w:tcW w:w="3429" w:type="dxa"/>
            <w:hideMark/>
          </w:tcPr>
          <w:p w14:paraId="5994DE18" w14:textId="77777777" w:rsidR="00DA4C59" w:rsidRPr="00DA4C59" w:rsidRDefault="00DA4C59" w:rsidP="002F33D0">
            <w:pPr>
              <w:ind w:firstLine="0"/>
              <w:jc w:val="both"/>
              <w:rPr>
                <w:rFonts w:eastAsia="Times New Roman"/>
                <w:szCs w:val="24"/>
                <w:lang w:eastAsia="ru-RU"/>
              </w:rPr>
            </w:pPr>
            <w:r w:rsidRPr="00DA4C59">
              <w:rPr>
                <w:rFonts w:eastAsia="Times New Roman"/>
                <w:bCs/>
                <w:szCs w:val="24"/>
                <w:lang w:eastAsia="ru-RU"/>
              </w:rPr>
              <w:t>inno_driver_finance</w:t>
            </w:r>
          </w:p>
        </w:tc>
        <w:tc>
          <w:tcPr>
            <w:tcW w:w="1363" w:type="dxa"/>
            <w:hideMark/>
          </w:tcPr>
          <w:p w14:paraId="3F1923F2" w14:textId="7EEC52E2" w:rsidR="00DA4C59" w:rsidRPr="00DA4C59" w:rsidRDefault="00DA4C59" w:rsidP="00EE311D">
            <w:pPr>
              <w:ind w:firstLine="0"/>
              <w:jc w:val="center"/>
              <w:rPr>
                <w:rFonts w:eastAsia="Times New Roman"/>
                <w:szCs w:val="24"/>
                <w:lang w:eastAsia="ru-RU"/>
              </w:rPr>
            </w:pPr>
            <w:r w:rsidRPr="00DA4C59">
              <w:rPr>
                <w:rFonts w:eastAsia="Times New Roman"/>
                <w:szCs w:val="24"/>
                <w:lang w:eastAsia="ru-RU"/>
              </w:rPr>
              <w:t>0</w:t>
            </w:r>
            <w:r>
              <w:rPr>
                <w:rFonts w:eastAsia="Times New Roman"/>
                <w:szCs w:val="24"/>
                <w:lang w:val="kk-KZ" w:eastAsia="ru-RU"/>
              </w:rPr>
              <w:t>,</w:t>
            </w:r>
            <w:r w:rsidRPr="00DA4C59">
              <w:rPr>
                <w:rFonts w:eastAsia="Times New Roman"/>
                <w:szCs w:val="24"/>
                <w:lang w:eastAsia="ru-RU"/>
              </w:rPr>
              <w:t>45</w:t>
            </w:r>
          </w:p>
        </w:tc>
      </w:tr>
      <w:tr w:rsidR="00DA4C59" w:rsidRPr="000C1190" w14:paraId="03D7B5D7" w14:textId="77777777" w:rsidTr="00443C38">
        <w:tc>
          <w:tcPr>
            <w:tcW w:w="2009" w:type="dxa"/>
            <w:vMerge w:val="restart"/>
            <w:hideMark/>
          </w:tcPr>
          <w:p w14:paraId="7F2A4787" w14:textId="77777777" w:rsidR="00DA4C59" w:rsidRPr="00DA4C59" w:rsidRDefault="00DA4C59" w:rsidP="002F33D0">
            <w:pPr>
              <w:ind w:firstLine="0"/>
              <w:jc w:val="both"/>
              <w:rPr>
                <w:rFonts w:eastAsia="Times New Roman"/>
                <w:szCs w:val="24"/>
                <w:lang w:eastAsia="ru-RU"/>
              </w:rPr>
            </w:pPr>
            <w:r w:rsidRPr="00DA4C59">
              <w:rPr>
                <w:rFonts w:eastAsia="Times New Roman"/>
                <w:szCs w:val="24"/>
                <w:lang w:eastAsia="ru-RU"/>
              </w:rPr>
              <w:t>Барьеры инновационного развития</w:t>
            </w:r>
          </w:p>
        </w:tc>
        <w:tc>
          <w:tcPr>
            <w:tcW w:w="2544" w:type="dxa"/>
          </w:tcPr>
          <w:p w14:paraId="14070D37" w14:textId="77777777" w:rsidR="00DA4C59" w:rsidRPr="00DA4C59" w:rsidRDefault="00DA4C59" w:rsidP="002F33D0">
            <w:pPr>
              <w:ind w:firstLine="0"/>
              <w:jc w:val="both"/>
              <w:rPr>
                <w:rFonts w:eastAsia="Times New Roman"/>
                <w:szCs w:val="24"/>
                <w:lang w:eastAsia="ru-RU"/>
              </w:rPr>
            </w:pPr>
            <w:r w:rsidRPr="00DA4C59">
              <w:rPr>
                <w:rFonts w:eastAsia="Times New Roman"/>
                <w:szCs w:val="24"/>
                <w:lang w:eastAsia="ru-RU"/>
              </w:rPr>
              <w:t>Недостаток финансирования</w:t>
            </w:r>
          </w:p>
        </w:tc>
        <w:tc>
          <w:tcPr>
            <w:tcW w:w="3429" w:type="dxa"/>
            <w:hideMark/>
          </w:tcPr>
          <w:p w14:paraId="6D92C487" w14:textId="77777777" w:rsidR="00DA4C59" w:rsidRPr="00DA4C59" w:rsidRDefault="00DA4C59" w:rsidP="002F33D0">
            <w:pPr>
              <w:ind w:firstLine="0"/>
              <w:jc w:val="both"/>
              <w:rPr>
                <w:rFonts w:eastAsia="Times New Roman"/>
                <w:szCs w:val="24"/>
                <w:lang w:eastAsia="ru-RU"/>
              </w:rPr>
            </w:pPr>
            <w:r w:rsidRPr="00DA4C59">
              <w:rPr>
                <w:rFonts w:eastAsia="Times New Roman"/>
                <w:bCs/>
                <w:szCs w:val="24"/>
                <w:lang w:eastAsia="ru-RU"/>
              </w:rPr>
              <w:t>inno_obstacle_lack_funding</w:t>
            </w:r>
          </w:p>
        </w:tc>
        <w:tc>
          <w:tcPr>
            <w:tcW w:w="1363" w:type="dxa"/>
            <w:hideMark/>
          </w:tcPr>
          <w:p w14:paraId="328A6F2C" w14:textId="5A93E70A" w:rsidR="00DA4C59" w:rsidRPr="00DA4C59" w:rsidRDefault="00DA4C59" w:rsidP="00EE311D">
            <w:pPr>
              <w:ind w:firstLine="0"/>
              <w:jc w:val="center"/>
              <w:rPr>
                <w:rFonts w:eastAsia="Times New Roman"/>
                <w:szCs w:val="24"/>
                <w:lang w:eastAsia="ru-RU"/>
              </w:rPr>
            </w:pPr>
            <w:r w:rsidRPr="00DA4C59">
              <w:rPr>
                <w:rFonts w:eastAsia="Times New Roman"/>
                <w:szCs w:val="24"/>
                <w:lang w:eastAsia="ru-RU"/>
              </w:rPr>
              <w:t>0</w:t>
            </w:r>
            <w:r>
              <w:rPr>
                <w:rFonts w:eastAsia="Times New Roman"/>
                <w:szCs w:val="24"/>
                <w:lang w:val="kk-KZ" w:eastAsia="ru-RU"/>
              </w:rPr>
              <w:t>,</w:t>
            </w:r>
            <w:r w:rsidRPr="00DA4C59">
              <w:rPr>
                <w:rFonts w:eastAsia="Times New Roman"/>
                <w:szCs w:val="24"/>
                <w:lang w:eastAsia="ru-RU"/>
              </w:rPr>
              <w:t>65</w:t>
            </w:r>
          </w:p>
        </w:tc>
      </w:tr>
      <w:tr w:rsidR="00DA4C59" w:rsidRPr="000C1190" w14:paraId="2B2DDB0F" w14:textId="77777777" w:rsidTr="00443C38">
        <w:tc>
          <w:tcPr>
            <w:tcW w:w="2009" w:type="dxa"/>
            <w:vMerge/>
            <w:hideMark/>
          </w:tcPr>
          <w:p w14:paraId="0567BE31" w14:textId="77777777" w:rsidR="00DA4C59" w:rsidRPr="00DA4C59" w:rsidRDefault="00DA4C59" w:rsidP="002F33D0">
            <w:pPr>
              <w:ind w:firstLine="0"/>
              <w:jc w:val="both"/>
              <w:rPr>
                <w:rFonts w:eastAsia="Times New Roman"/>
                <w:szCs w:val="24"/>
                <w:lang w:eastAsia="ru-RU"/>
              </w:rPr>
            </w:pPr>
          </w:p>
        </w:tc>
        <w:tc>
          <w:tcPr>
            <w:tcW w:w="2544" w:type="dxa"/>
          </w:tcPr>
          <w:p w14:paraId="77F82368" w14:textId="77777777" w:rsidR="00DA4C59" w:rsidRPr="00DA4C59" w:rsidRDefault="00DA4C59" w:rsidP="002F33D0">
            <w:pPr>
              <w:ind w:firstLine="0"/>
              <w:jc w:val="both"/>
              <w:rPr>
                <w:rFonts w:eastAsia="Times New Roman"/>
                <w:szCs w:val="24"/>
                <w:lang w:eastAsia="ru-RU"/>
              </w:rPr>
            </w:pPr>
            <w:r w:rsidRPr="00DA4C59">
              <w:rPr>
                <w:rFonts w:eastAsia="Times New Roman"/>
                <w:szCs w:val="24"/>
                <w:lang w:eastAsia="ru-RU"/>
              </w:rPr>
              <w:t>Отсутствие стратегии монетизации инноваций</w:t>
            </w:r>
          </w:p>
        </w:tc>
        <w:tc>
          <w:tcPr>
            <w:tcW w:w="3429" w:type="dxa"/>
            <w:hideMark/>
          </w:tcPr>
          <w:p w14:paraId="0573432C" w14:textId="77777777" w:rsidR="00DA4C59" w:rsidRPr="00DA4C59" w:rsidRDefault="00DA4C59" w:rsidP="002F33D0">
            <w:pPr>
              <w:ind w:firstLine="0"/>
              <w:jc w:val="both"/>
              <w:rPr>
                <w:rFonts w:eastAsia="Times New Roman"/>
                <w:szCs w:val="24"/>
                <w:lang w:eastAsia="ru-RU"/>
              </w:rPr>
            </w:pPr>
            <w:r w:rsidRPr="00DA4C59">
              <w:rPr>
                <w:rFonts w:eastAsia="Times New Roman"/>
                <w:bCs/>
                <w:szCs w:val="24"/>
                <w:lang w:eastAsia="ru-RU"/>
              </w:rPr>
              <w:t>inno_obstacle_monetization</w:t>
            </w:r>
          </w:p>
        </w:tc>
        <w:tc>
          <w:tcPr>
            <w:tcW w:w="1363" w:type="dxa"/>
            <w:hideMark/>
          </w:tcPr>
          <w:p w14:paraId="31E4A229" w14:textId="08A17E1D" w:rsidR="00DA4C59" w:rsidRPr="00DA4C59" w:rsidRDefault="00DA4C59" w:rsidP="00EE311D">
            <w:pPr>
              <w:ind w:firstLine="0"/>
              <w:jc w:val="center"/>
              <w:rPr>
                <w:rFonts w:eastAsia="Times New Roman"/>
                <w:szCs w:val="24"/>
                <w:lang w:eastAsia="ru-RU"/>
              </w:rPr>
            </w:pPr>
            <w:r w:rsidRPr="00DA4C59">
              <w:rPr>
                <w:rFonts w:eastAsia="Times New Roman"/>
                <w:szCs w:val="24"/>
                <w:lang w:eastAsia="ru-RU"/>
              </w:rPr>
              <w:t>0</w:t>
            </w:r>
            <w:r>
              <w:rPr>
                <w:rFonts w:eastAsia="Times New Roman"/>
                <w:szCs w:val="24"/>
                <w:lang w:val="kk-KZ" w:eastAsia="ru-RU"/>
              </w:rPr>
              <w:t>,</w:t>
            </w:r>
            <w:r w:rsidRPr="00DA4C59">
              <w:rPr>
                <w:rFonts w:eastAsia="Times New Roman"/>
                <w:szCs w:val="24"/>
                <w:lang w:eastAsia="ru-RU"/>
              </w:rPr>
              <w:t>66</w:t>
            </w:r>
          </w:p>
        </w:tc>
      </w:tr>
      <w:tr w:rsidR="00DA4C59" w:rsidRPr="000C1190" w14:paraId="5221C526" w14:textId="77777777" w:rsidTr="00443C38">
        <w:tc>
          <w:tcPr>
            <w:tcW w:w="2009" w:type="dxa"/>
            <w:vMerge/>
            <w:hideMark/>
          </w:tcPr>
          <w:p w14:paraId="193991F6" w14:textId="77777777" w:rsidR="00DA4C59" w:rsidRPr="00DA4C59" w:rsidRDefault="00DA4C59" w:rsidP="002F33D0">
            <w:pPr>
              <w:ind w:firstLine="0"/>
              <w:jc w:val="both"/>
              <w:rPr>
                <w:rFonts w:eastAsia="Times New Roman"/>
                <w:szCs w:val="24"/>
                <w:lang w:eastAsia="ru-RU"/>
              </w:rPr>
            </w:pPr>
          </w:p>
        </w:tc>
        <w:tc>
          <w:tcPr>
            <w:tcW w:w="2544" w:type="dxa"/>
          </w:tcPr>
          <w:p w14:paraId="50A15718" w14:textId="77777777" w:rsidR="00DA4C59" w:rsidRPr="00DA4C59" w:rsidRDefault="00DA4C59" w:rsidP="002F33D0">
            <w:pPr>
              <w:ind w:firstLine="0"/>
              <w:jc w:val="both"/>
              <w:rPr>
                <w:rFonts w:eastAsia="Times New Roman"/>
                <w:szCs w:val="24"/>
                <w:lang w:eastAsia="ru-RU"/>
              </w:rPr>
            </w:pPr>
            <w:r w:rsidRPr="00DA4C59">
              <w:rPr>
                <w:rFonts w:eastAsia="Times New Roman"/>
                <w:szCs w:val="24"/>
                <w:lang w:eastAsia="ru-RU"/>
              </w:rPr>
              <w:t>Недоступность государственной поддержки</w:t>
            </w:r>
          </w:p>
        </w:tc>
        <w:tc>
          <w:tcPr>
            <w:tcW w:w="3429" w:type="dxa"/>
            <w:hideMark/>
          </w:tcPr>
          <w:p w14:paraId="58970D8E" w14:textId="77777777" w:rsidR="00DA4C59" w:rsidRPr="00DA4C59" w:rsidRDefault="00DA4C59" w:rsidP="002F33D0">
            <w:pPr>
              <w:ind w:firstLine="0"/>
              <w:jc w:val="both"/>
              <w:rPr>
                <w:rFonts w:eastAsia="Times New Roman"/>
                <w:szCs w:val="24"/>
                <w:lang w:eastAsia="ru-RU"/>
              </w:rPr>
            </w:pPr>
            <w:r w:rsidRPr="00DA4C59">
              <w:rPr>
                <w:rFonts w:eastAsia="Times New Roman"/>
                <w:bCs/>
                <w:szCs w:val="24"/>
                <w:lang w:eastAsia="ru-RU"/>
              </w:rPr>
              <w:t>inno_obstacle_gov_support</w:t>
            </w:r>
          </w:p>
        </w:tc>
        <w:tc>
          <w:tcPr>
            <w:tcW w:w="1363" w:type="dxa"/>
            <w:hideMark/>
          </w:tcPr>
          <w:p w14:paraId="35EFF89F" w14:textId="73D1C4EB" w:rsidR="00DA4C59" w:rsidRPr="00DA4C59" w:rsidRDefault="00DA4C59" w:rsidP="00EE311D">
            <w:pPr>
              <w:ind w:firstLine="0"/>
              <w:jc w:val="center"/>
              <w:rPr>
                <w:rFonts w:eastAsia="Times New Roman"/>
                <w:szCs w:val="24"/>
                <w:lang w:eastAsia="ru-RU"/>
              </w:rPr>
            </w:pPr>
            <w:r w:rsidRPr="00DA4C59">
              <w:rPr>
                <w:rFonts w:eastAsia="Times New Roman"/>
                <w:szCs w:val="24"/>
                <w:lang w:eastAsia="ru-RU"/>
              </w:rPr>
              <w:t>0</w:t>
            </w:r>
            <w:r>
              <w:rPr>
                <w:rFonts w:eastAsia="Times New Roman"/>
                <w:szCs w:val="24"/>
                <w:lang w:val="kk-KZ" w:eastAsia="ru-RU"/>
              </w:rPr>
              <w:t>,</w:t>
            </w:r>
            <w:r w:rsidRPr="00DA4C59">
              <w:rPr>
                <w:rFonts w:eastAsia="Times New Roman"/>
                <w:szCs w:val="24"/>
                <w:lang w:eastAsia="ru-RU"/>
              </w:rPr>
              <w:t>59</w:t>
            </w:r>
          </w:p>
        </w:tc>
      </w:tr>
    </w:tbl>
    <w:p w14:paraId="6E29C262" w14:textId="31AD5428" w:rsidR="003F0E8F" w:rsidRPr="003F0E8F" w:rsidRDefault="003F0E8F">
      <w:pPr>
        <w:rPr>
          <w:rFonts w:ascii="Times New Roman" w:hAnsi="Times New Roman" w:cs="Times New Roman"/>
          <w:sz w:val="28"/>
          <w:szCs w:val="28"/>
          <w:lang w:val="kk-KZ"/>
        </w:rPr>
      </w:pPr>
      <w:r w:rsidRPr="003F0E8F">
        <w:rPr>
          <w:rFonts w:ascii="Times New Roman" w:hAnsi="Times New Roman" w:cs="Times New Roman"/>
          <w:sz w:val="28"/>
          <w:szCs w:val="28"/>
          <w:lang w:val="kk-KZ"/>
        </w:rPr>
        <w:lastRenderedPageBreak/>
        <w:t>Продолжение таблицы 22</w:t>
      </w:r>
    </w:p>
    <w:tbl>
      <w:tblPr>
        <w:tblStyle w:val="a5"/>
        <w:tblW w:w="0" w:type="auto"/>
        <w:tblLayout w:type="fixed"/>
        <w:tblLook w:val="04A0" w:firstRow="1" w:lastRow="0" w:firstColumn="1" w:lastColumn="0" w:noHBand="0" w:noVBand="1"/>
      </w:tblPr>
      <w:tblGrid>
        <w:gridCol w:w="2009"/>
        <w:gridCol w:w="2544"/>
        <w:gridCol w:w="3429"/>
        <w:gridCol w:w="1363"/>
      </w:tblGrid>
      <w:tr w:rsidR="003F0E8F" w:rsidRPr="00443C38" w14:paraId="1455BA9F" w14:textId="77777777" w:rsidTr="003F0E8F">
        <w:tc>
          <w:tcPr>
            <w:tcW w:w="2009" w:type="dxa"/>
          </w:tcPr>
          <w:p w14:paraId="7D8F7984" w14:textId="77777777" w:rsidR="003F0E8F" w:rsidRPr="00443C38" w:rsidRDefault="003F0E8F" w:rsidP="00FD618C">
            <w:pPr>
              <w:ind w:firstLine="0"/>
              <w:jc w:val="center"/>
              <w:rPr>
                <w:rFonts w:eastAsia="Times New Roman"/>
                <w:bCs/>
                <w:szCs w:val="24"/>
                <w:lang w:val="kk-KZ" w:eastAsia="ru-RU"/>
              </w:rPr>
            </w:pPr>
            <w:r>
              <w:rPr>
                <w:rFonts w:eastAsia="Times New Roman"/>
                <w:bCs/>
                <w:szCs w:val="24"/>
                <w:lang w:val="kk-KZ" w:eastAsia="ru-RU"/>
              </w:rPr>
              <w:t>1</w:t>
            </w:r>
          </w:p>
        </w:tc>
        <w:tc>
          <w:tcPr>
            <w:tcW w:w="2544" w:type="dxa"/>
          </w:tcPr>
          <w:p w14:paraId="0435A901" w14:textId="77777777" w:rsidR="003F0E8F" w:rsidRPr="00DA4C59" w:rsidRDefault="003F0E8F" w:rsidP="00FD618C">
            <w:pPr>
              <w:ind w:firstLine="0"/>
              <w:jc w:val="center"/>
              <w:rPr>
                <w:rFonts w:eastAsia="Times New Roman"/>
                <w:bCs/>
                <w:color w:val="000000"/>
                <w:szCs w:val="24"/>
                <w:lang w:val="kk-KZ" w:eastAsia="ru-RU"/>
              </w:rPr>
            </w:pPr>
            <w:r>
              <w:rPr>
                <w:rFonts w:eastAsia="Times New Roman"/>
                <w:bCs/>
                <w:color w:val="000000"/>
                <w:szCs w:val="24"/>
                <w:lang w:val="kk-KZ" w:eastAsia="ru-RU"/>
              </w:rPr>
              <w:t>2</w:t>
            </w:r>
          </w:p>
        </w:tc>
        <w:tc>
          <w:tcPr>
            <w:tcW w:w="3429" w:type="dxa"/>
          </w:tcPr>
          <w:p w14:paraId="19A13C25" w14:textId="77777777" w:rsidR="003F0E8F" w:rsidRPr="00443C38" w:rsidRDefault="003F0E8F" w:rsidP="00FD618C">
            <w:pPr>
              <w:ind w:firstLine="0"/>
              <w:jc w:val="center"/>
              <w:rPr>
                <w:rFonts w:eastAsia="Times New Roman"/>
                <w:bCs/>
                <w:color w:val="000000"/>
                <w:szCs w:val="24"/>
                <w:lang w:val="kk-KZ" w:eastAsia="ru-RU"/>
              </w:rPr>
            </w:pPr>
            <w:r>
              <w:rPr>
                <w:rFonts w:eastAsia="Times New Roman"/>
                <w:bCs/>
                <w:color w:val="000000"/>
                <w:szCs w:val="24"/>
                <w:lang w:val="kk-KZ" w:eastAsia="ru-RU"/>
              </w:rPr>
              <w:t>3</w:t>
            </w:r>
          </w:p>
        </w:tc>
        <w:tc>
          <w:tcPr>
            <w:tcW w:w="1363" w:type="dxa"/>
          </w:tcPr>
          <w:p w14:paraId="598D146F" w14:textId="77777777" w:rsidR="003F0E8F" w:rsidRPr="00443C38" w:rsidRDefault="003F0E8F" w:rsidP="00FD618C">
            <w:pPr>
              <w:ind w:firstLine="0"/>
              <w:jc w:val="center"/>
              <w:rPr>
                <w:rFonts w:eastAsia="Times New Roman"/>
                <w:bCs/>
                <w:szCs w:val="24"/>
                <w:lang w:val="kk-KZ" w:eastAsia="ru-RU"/>
              </w:rPr>
            </w:pPr>
            <w:r>
              <w:rPr>
                <w:rFonts w:eastAsia="Times New Roman"/>
                <w:bCs/>
                <w:szCs w:val="24"/>
                <w:lang w:val="kk-KZ" w:eastAsia="ru-RU"/>
              </w:rPr>
              <w:t>4</w:t>
            </w:r>
          </w:p>
        </w:tc>
      </w:tr>
      <w:tr w:rsidR="00EE311D" w:rsidRPr="00443C38" w14:paraId="4CF91088" w14:textId="77777777" w:rsidTr="003F0E8F">
        <w:tc>
          <w:tcPr>
            <w:tcW w:w="2009" w:type="dxa"/>
          </w:tcPr>
          <w:p w14:paraId="7E4E81C8" w14:textId="77777777" w:rsidR="00EE311D" w:rsidRDefault="00EE311D" w:rsidP="00EE311D">
            <w:pPr>
              <w:jc w:val="center"/>
              <w:rPr>
                <w:rFonts w:eastAsia="Times New Roman"/>
                <w:bCs/>
                <w:szCs w:val="24"/>
                <w:lang w:val="kk-KZ" w:eastAsia="ru-RU"/>
              </w:rPr>
            </w:pPr>
          </w:p>
        </w:tc>
        <w:tc>
          <w:tcPr>
            <w:tcW w:w="2544" w:type="dxa"/>
          </w:tcPr>
          <w:p w14:paraId="24D5D749" w14:textId="19FA2DED" w:rsidR="00EE311D" w:rsidRDefault="00EE311D" w:rsidP="00EE311D">
            <w:pPr>
              <w:ind w:firstLine="0"/>
              <w:jc w:val="center"/>
              <w:rPr>
                <w:rFonts w:eastAsia="Times New Roman"/>
                <w:bCs/>
                <w:color w:val="000000"/>
                <w:szCs w:val="24"/>
                <w:lang w:val="kk-KZ" w:eastAsia="ru-RU"/>
              </w:rPr>
            </w:pPr>
            <w:r w:rsidRPr="00DA4C59">
              <w:rPr>
                <w:rFonts w:eastAsia="Times New Roman"/>
                <w:szCs w:val="24"/>
                <w:lang w:eastAsia="ru-RU"/>
              </w:rPr>
              <w:t>Зарегулированность инновационной среды</w:t>
            </w:r>
          </w:p>
        </w:tc>
        <w:tc>
          <w:tcPr>
            <w:tcW w:w="3429" w:type="dxa"/>
          </w:tcPr>
          <w:p w14:paraId="3AB0C849" w14:textId="2DC0A40E" w:rsidR="00EE311D" w:rsidRDefault="00EE311D" w:rsidP="00EE311D">
            <w:pPr>
              <w:ind w:firstLine="0"/>
              <w:jc w:val="center"/>
              <w:rPr>
                <w:rFonts w:eastAsia="Times New Roman"/>
                <w:bCs/>
                <w:color w:val="000000"/>
                <w:szCs w:val="24"/>
                <w:lang w:val="kk-KZ" w:eastAsia="ru-RU"/>
              </w:rPr>
            </w:pPr>
            <w:r w:rsidRPr="00DA4C59">
              <w:rPr>
                <w:rFonts w:eastAsia="Times New Roman"/>
                <w:bCs/>
                <w:szCs w:val="24"/>
                <w:lang w:eastAsia="ru-RU"/>
              </w:rPr>
              <w:t>inno_obstacle_regulation</w:t>
            </w:r>
          </w:p>
        </w:tc>
        <w:tc>
          <w:tcPr>
            <w:tcW w:w="1363" w:type="dxa"/>
          </w:tcPr>
          <w:p w14:paraId="2B007E46" w14:textId="52628773" w:rsidR="00EE311D" w:rsidRDefault="00EE311D" w:rsidP="00EE311D">
            <w:pPr>
              <w:ind w:firstLine="0"/>
              <w:jc w:val="center"/>
              <w:rPr>
                <w:rFonts w:eastAsia="Times New Roman"/>
                <w:bCs/>
                <w:szCs w:val="24"/>
                <w:lang w:val="kk-KZ" w:eastAsia="ru-RU"/>
              </w:rPr>
            </w:pPr>
            <w:r w:rsidRPr="00DA4C59">
              <w:rPr>
                <w:rFonts w:eastAsia="Times New Roman"/>
                <w:szCs w:val="24"/>
                <w:lang w:eastAsia="ru-RU"/>
              </w:rPr>
              <w:t>0</w:t>
            </w:r>
            <w:r>
              <w:rPr>
                <w:rFonts w:eastAsia="Times New Roman"/>
                <w:szCs w:val="24"/>
                <w:lang w:val="kk-KZ" w:eastAsia="ru-RU"/>
              </w:rPr>
              <w:t>,</w:t>
            </w:r>
            <w:r w:rsidRPr="00DA4C59">
              <w:rPr>
                <w:rFonts w:eastAsia="Times New Roman"/>
                <w:szCs w:val="24"/>
                <w:lang w:eastAsia="ru-RU"/>
              </w:rPr>
              <w:t>49</w:t>
            </w:r>
          </w:p>
        </w:tc>
      </w:tr>
      <w:tr w:rsidR="00EE311D" w:rsidRPr="000C1190" w14:paraId="645A1BE3" w14:textId="77777777" w:rsidTr="00443C38">
        <w:tc>
          <w:tcPr>
            <w:tcW w:w="2009" w:type="dxa"/>
            <w:vMerge w:val="restart"/>
            <w:hideMark/>
          </w:tcPr>
          <w:p w14:paraId="237E4390" w14:textId="77777777" w:rsidR="00EE311D" w:rsidRPr="00DA4C59" w:rsidRDefault="00EE311D" w:rsidP="00EE311D">
            <w:pPr>
              <w:ind w:firstLine="0"/>
              <w:jc w:val="both"/>
              <w:rPr>
                <w:rFonts w:eastAsia="Times New Roman"/>
                <w:szCs w:val="24"/>
                <w:lang w:eastAsia="ru-RU"/>
              </w:rPr>
            </w:pPr>
          </w:p>
        </w:tc>
        <w:tc>
          <w:tcPr>
            <w:tcW w:w="2544" w:type="dxa"/>
          </w:tcPr>
          <w:p w14:paraId="3DF2B2DF" w14:textId="77777777" w:rsidR="00EE311D" w:rsidRPr="00DA4C59" w:rsidRDefault="00EE311D" w:rsidP="00EE311D">
            <w:pPr>
              <w:ind w:firstLine="0"/>
              <w:jc w:val="both"/>
              <w:rPr>
                <w:rFonts w:eastAsia="Times New Roman"/>
                <w:szCs w:val="24"/>
                <w:lang w:eastAsia="ru-RU"/>
              </w:rPr>
            </w:pPr>
            <w:r w:rsidRPr="00DA4C59">
              <w:rPr>
                <w:rFonts w:eastAsia="Times New Roman"/>
                <w:szCs w:val="24"/>
                <w:lang w:eastAsia="ru-RU"/>
              </w:rPr>
              <w:t>Трудности масштабирования инновационных решений</w:t>
            </w:r>
          </w:p>
        </w:tc>
        <w:tc>
          <w:tcPr>
            <w:tcW w:w="3429" w:type="dxa"/>
            <w:hideMark/>
          </w:tcPr>
          <w:p w14:paraId="22C4DA66" w14:textId="77777777" w:rsidR="00EE311D" w:rsidRPr="00DA4C59" w:rsidRDefault="00EE311D" w:rsidP="00EE311D">
            <w:pPr>
              <w:ind w:firstLine="0"/>
              <w:jc w:val="both"/>
              <w:rPr>
                <w:rFonts w:eastAsia="Times New Roman"/>
                <w:szCs w:val="24"/>
                <w:lang w:eastAsia="ru-RU"/>
              </w:rPr>
            </w:pPr>
            <w:r w:rsidRPr="00DA4C59">
              <w:rPr>
                <w:rFonts w:eastAsia="Times New Roman"/>
                <w:bCs/>
                <w:szCs w:val="24"/>
                <w:lang w:eastAsia="ru-RU"/>
              </w:rPr>
              <w:t>inno_obstacle_scaling</w:t>
            </w:r>
          </w:p>
        </w:tc>
        <w:tc>
          <w:tcPr>
            <w:tcW w:w="1363" w:type="dxa"/>
            <w:hideMark/>
          </w:tcPr>
          <w:p w14:paraId="74FB362C" w14:textId="17F4C8AF" w:rsidR="00EE311D" w:rsidRPr="00DA4C59" w:rsidRDefault="00EE311D" w:rsidP="00EE311D">
            <w:pPr>
              <w:ind w:firstLine="0"/>
              <w:jc w:val="center"/>
              <w:rPr>
                <w:rFonts w:eastAsia="Times New Roman"/>
                <w:szCs w:val="24"/>
                <w:lang w:eastAsia="ru-RU"/>
              </w:rPr>
            </w:pPr>
            <w:r w:rsidRPr="00DA4C59">
              <w:rPr>
                <w:rFonts w:eastAsia="Times New Roman"/>
                <w:szCs w:val="24"/>
                <w:lang w:eastAsia="ru-RU"/>
              </w:rPr>
              <w:t>0</w:t>
            </w:r>
            <w:r>
              <w:rPr>
                <w:rFonts w:eastAsia="Times New Roman"/>
                <w:szCs w:val="24"/>
                <w:lang w:val="kk-KZ" w:eastAsia="ru-RU"/>
              </w:rPr>
              <w:t>,</w:t>
            </w:r>
            <w:r w:rsidRPr="00DA4C59">
              <w:rPr>
                <w:rFonts w:eastAsia="Times New Roman"/>
                <w:szCs w:val="24"/>
                <w:lang w:eastAsia="ru-RU"/>
              </w:rPr>
              <w:t>53</w:t>
            </w:r>
          </w:p>
        </w:tc>
      </w:tr>
      <w:tr w:rsidR="00EE311D" w:rsidRPr="000C1190" w14:paraId="21A27711" w14:textId="77777777" w:rsidTr="00443C38">
        <w:tc>
          <w:tcPr>
            <w:tcW w:w="2009" w:type="dxa"/>
            <w:vMerge/>
            <w:hideMark/>
          </w:tcPr>
          <w:p w14:paraId="6FECAE80" w14:textId="77777777" w:rsidR="00EE311D" w:rsidRPr="00DA4C59" w:rsidRDefault="00EE311D" w:rsidP="00EE311D">
            <w:pPr>
              <w:ind w:firstLine="0"/>
              <w:jc w:val="both"/>
              <w:rPr>
                <w:rFonts w:eastAsia="Times New Roman"/>
                <w:szCs w:val="24"/>
                <w:lang w:eastAsia="ru-RU"/>
              </w:rPr>
            </w:pPr>
          </w:p>
        </w:tc>
        <w:tc>
          <w:tcPr>
            <w:tcW w:w="2544" w:type="dxa"/>
          </w:tcPr>
          <w:p w14:paraId="65EF58F0" w14:textId="77777777" w:rsidR="00EE311D" w:rsidRPr="00DA4C59" w:rsidRDefault="00EE311D" w:rsidP="00EE311D">
            <w:pPr>
              <w:ind w:firstLine="0"/>
              <w:jc w:val="both"/>
              <w:rPr>
                <w:rFonts w:eastAsia="Times New Roman"/>
                <w:szCs w:val="24"/>
                <w:lang w:eastAsia="ru-RU"/>
              </w:rPr>
            </w:pPr>
            <w:r w:rsidRPr="00DA4C59">
              <w:rPr>
                <w:rFonts w:eastAsia="Times New Roman"/>
                <w:szCs w:val="24"/>
                <w:lang w:eastAsia="ru-RU"/>
              </w:rPr>
              <w:t>Низкая восприимчивость пользователей</w:t>
            </w:r>
          </w:p>
        </w:tc>
        <w:tc>
          <w:tcPr>
            <w:tcW w:w="3429" w:type="dxa"/>
            <w:hideMark/>
          </w:tcPr>
          <w:p w14:paraId="2A33D385" w14:textId="77777777" w:rsidR="00EE311D" w:rsidRPr="00DA4C59" w:rsidRDefault="00EE311D" w:rsidP="00EE311D">
            <w:pPr>
              <w:ind w:firstLine="0"/>
              <w:jc w:val="both"/>
              <w:rPr>
                <w:rFonts w:eastAsia="Times New Roman"/>
                <w:szCs w:val="24"/>
                <w:lang w:eastAsia="ru-RU"/>
              </w:rPr>
            </w:pPr>
            <w:r w:rsidRPr="00DA4C59">
              <w:rPr>
                <w:rFonts w:eastAsia="Times New Roman"/>
                <w:bCs/>
                <w:szCs w:val="24"/>
                <w:lang w:eastAsia="ru-RU"/>
              </w:rPr>
              <w:t>inno_obstacle_user_acceptance</w:t>
            </w:r>
          </w:p>
        </w:tc>
        <w:tc>
          <w:tcPr>
            <w:tcW w:w="1363" w:type="dxa"/>
            <w:hideMark/>
          </w:tcPr>
          <w:p w14:paraId="2146511D" w14:textId="5F090D6C" w:rsidR="00EE311D" w:rsidRPr="00DA4C59" w:rsidRDefault="00EE311D" w:rsidP="00EE311D">
            <w:pPr>
              <w:ind w:firstLine="0"/>
              <w:jc w:val="center"/>
              <w:rPr>
                <w:rFonts w:eastAsia="Times New Roman"/>
                <w:szCs w:val="24"/>
                <w:lang w:eastAsia="ru-RU"/>
              </w:rPr>
            </w:pPr>
            <w:r w:rsidRPr="00DA4C59">
              <w:rPr>
                <w:rFonts w:eastAsia="Times New Roman"/>
                <w:szCs w:val="24"/>
                <w:lang w:eastAsia="ru-RU"/>
              </w:rPr>
              <w:t>0</w:t>
            </w:r>
            <w:r>
              <w:rPr>
                <w:rFonts w:eastAsia="Times New Roman"/>
                <w:szCs w:val="24"/>
                <w:lang w:val="kk-KZ" w:eastAsia="ru-RU"/>
              </w:rPr>
              <w:t>,</w:t>
            </w:r>
            <w:r w:rsidRPr="00DA4C59">
              <w:rPr>
                <w:rFonts w:eastAsia="Times New Roman"/>
                <w:szCs w:val="24"/>
                <w:lang w:eastAsia="ru-RU"/>
              </w:rPr>
              <w:t>54</w:t>
            </w:r>
          </w:p>
        </w:tc>
      </w:tr>
      <w:tr w:rsidR="00EE311D" w:rsidRPr="000C1190" w14:paraId="6B3F855C" w14:textId="77777777" w:rsidTr="00EE311D">
        <w:trPr>
          <w:trHeight w:val="86"/>
        </w:trPr>
        <w:tc>
          <w:tcPr>
            <w:tcW w:w="9345" w:type="dxa"/>
            <w:gridSpan w:val="4"/>
          </w:tcPr>
          <w:p w14:paraId="3E15F407" w14:textId="3613BE9C" w:rsidR="00EE311D" w:rsidRPr="00443C38" w:rsidRDefault="00EE311D" w:rsidP="00EE311D">
            <w:pPr>
              <w:ind w:firstLine="459"/>
              <w:jc w:val="both"/>
              <w:rPr>
                <w:rFonts w:eastAsia="Times New Roman"/>
                <w:szCs w:val="24"/>
                <w:lang w:val="kk-KZ" w:eastAsia="ru-RU"/>
              </w:rPr>
            </w:pPr>
            <w:r w:rsidRPr="00EE311D">
              <w:rPr>
                <w:rFonts w:eastAsia="Times New Roman"/>
                <w:szCs w:val="24"/>
                <w:lang w:val="kk-KZ" w:eastAsia="ru-RU"/>
              </w:rPr>
              <w:t>Примечание – Составлено автором</w:t>
            </w:r>
          </w:p>
        </w:tc>
      </w:tr>
    </w:tbl>
    <w:p w14:paraId="70BE7D1F"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p>
    <w:p w14:paraId="061C04D5" w14:textId="1352EE00" w:rsidR="00443C38" w:rsidRDefault="00443C38"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Все факторные нагрузки превышают пороговое значение 0</w:t>
      </w:r>
      <w:r>
        <w:rPr>
          <w:rFonts w:ascii="Times New Roman" w:hAnsi="Times New Roman" w:cs="Times New Roman"/>
          <w:sz w:val="28"/>
          <w:szCs w:val="28"/>
          <w:lang w:val="kk-KZ"/>
        </w:rPr>
        <w:t>,</w:t>
      </w:r>
      <w:r w:rsidRPr="000C1190">
        <w:rPr>
          <w:rFonts w:ascii="Times New Roman" w:hAnsi="Times New Roman" w:cs="Times New Roman"/>
          <w:sz w:val="28"/>
          <w:szCs w:val="28"/>
          <w:lang w:val="kk-KZ"/>
        </w:rPr>
        <w:t>40 и являют</w:t>
      </w:r>
      <w:r w:rsidR="00E925F2">
        <w:rPr>
          <w:rFonts w:ascii="Times New Roman" w:hAnsi="Times New Roman" w:cs="Times New Roman"/>
          <w:sz w:val="28"/>
          <w:szCs w:val="28"/>
          <w:lang w:val="kk-KZ"/>
        </w:rPr>
        <w:t>ся статистически значимыми (p&lt;</w:t>
      </w:r>
      <w:r w:rsidRPr="000C1190">
        <w:rPr>
          <w:rFonts w:ascii="Times New Roman" w:hAnsi="Times New Roman" w:cs="Times New Roman"/>
          <w:sz w:val="28"/>
          <w:szCs w:val="28"/>
          <w:lang w:val="kk-KZ"/>
        </w:rPr>
        <w:t>0</w:t>
      </w:r>
      <w:r>
        <w:rPr>
          <w:rFonts w:ascii="Times New Roman" w:hAnsi="Times New Roman" w:cs="Times New Roman"/>
          <w:sz w:val="28"/>
          <w:szCs w:val="28"/>
          <w:lang w:val="kk-KZ"/>
        </w:rPr>
        <w:t>,</w:t>
      </w:r>
      <w:r w:rsidRPr="000C1190">
        <w:rPr>
          <w:rFonts w:ascii="Times New Roman" w:hAnsi="Times New Roman" w:cs="Times New Roman"/>
          <w:sz w:val="28"/>
          <w:szCs w:val="28"/>
          <w:lang w:val="kk-KZ"/>
        </w:rPr>
        <w:t>001), что подтверждает адекватность заданной структуры модели. Также полученные значения показателей подгонки модели указывают на её соответствие эмпирическим данным: CFI = 0</w:t>
      </w:r>
      <w:r>
        <w:rPr>
          <w:rFonts w:ascii="Times New Roman" w:hAnsi="Times New Roman" w:cs="Times New Roman"/>
          <w:sz w:val="28"/>
          <w:szCs w:val="28"/>
          <w:lang w:val="kk-KZ"/>
        </w:rPr>
        <w:t>,</w:t>
      </w:r>
      <w:r w:rsidRPr="000C1190">
        <w:rPr>
          <w:rFonts w:ascii="Times New Roman" w:hAnsi="Times New Roman" w:cs="Times New Roman"/>
          <w:sz w:val="28"/>
          <w:szCs w:val="28"/>
          <w:lang w:val="kk-KZ"/>
        </w:rPr>
        <w:t>979, TLI = 0</w:t>
      </w:r>
      <w:r>
        <w:rPr>
          <w:rFonts w:ascii="Times New Roman" w:hAnsi="Times New Roman" w:cs="Times New Roman"/>
          <w:sz w:val="28"/>
          <w:szCs w:val="28"/>
          <w:lang w:val="kk-KZ"/>
        </w:rPr>
        <w:t>,</w:t>
      </w:r>
      <w:r w:rsidRPr="000C1190">
        <w:rPr>
          <w:rFonts w:ascii="Times New Roman" w:hAnsi="Times New Roman" w:cs="Times New Roman"/>
          <w:sz w:val="28"/>
          <w:szCs w:val="28"/>
          <w:lang w:val="kk-KZ"/>
        </w:rPr>
        <w:t>974, RMSEA = 0</w:t>
      </w:r>
      <w:r>
        <w:rPr>
          <w:rFonts w:ascii="Times New Roman" w:hAnsi="Times New Roman" w:cs="Times New Roman"/>
          <w:sz w:val="28"/>
          <w:szCs w:val="28"/>
          <w:lang w:val="kk-KZ"/>
        </w:rPr>
        <w:t>,</w:t>
      </w:r>
      <w:r w:rsidRPr="000C1190">
        <w:rPr>
          <w:rFonts w:ascii="Times New Roman" w:hAnsi="Times New Roman" w:cs="Times New Roman"/>
          <w:sz w:val="28"/>
          <w:szCs w:val="28"/>
          <w:lang w:val="kk-KZ"/>
        </w:rPr>
        <w:t>0305, SRMR = 0</w:t>
      </w:r>
      <w:r>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047. Такие значения соответствуют общепринятым критериям хорошей модели и позволяют использовать заданные латентные переменные на следующем этапе </w:t>
      </w:r>
      <w:r>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структурного моделирования.</w:t>
      </w:r>
    </w:p>
    <w:p w14:paraId="56D30612" w14:textId="62523083"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Таким образом, проведённый подтверждающий факторный анализ (CFA) подтвердил структурную целостность и согласованность двух латентных блоков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драйверов и барьеров инновационного развития.</w:t>
      </w:r>
    </w:p>
    <w:p w14:paraId="789CCB75" w14:textId="4AE3C428"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Эти результаты легли в основу модели структурных уравнений (SEM), позволяющей комплексно оценить влияние внешних факторов на инновационный потенциал предпринимательских структур.</w:t>
      </w:r>
    </w:p>
    <w:p w14:paraId="32364F6D"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Одновременно анализ показал, что на формирование инновационной активности значительное воздействие оказывают внешние институциональные условия, включая механизмы государственной поддержки, доступность инфраструктуры и степень цифровой зрелости предприятий.</w:t>
      </w:r>
    </w:p>
    <w:p w14:paraId="6891CF41" w14:textId="7E970A00"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В связи с этим на следующем этапе целесообразно рассмотреть институциональные аспекты развития инновационного потенциала, в частности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участие предпринимательских структур в программах государственной поддержки, отражающее степень их интеграции в инновационную экосистему.</w:t>
      </w:r>
    </w:p>
    <w:p w14:paraId="3CC8D578"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Анализ участия предприятий в государственных программах позволит оценить эффективность институциональной среды и выявить институциональное неравенство, обусловленное масштабом бизнеса и уровнем информированности.</w:t>
      </w:r>
    </w:p>
    <w:p w14:paraId="6FEDF3E0" w14:textId="4D394486" w:rsidR="000C1190" w:rsidRPr="000C1190" w:rsidRDefault="000C1190" w:rsidP="002F33D0">
      <w:pPr>
        <w:spacing w:after="0" w:line="240" w:lineRule="auto"/>
        <w:ind w:firstLine="567"/>
        <w:jc w:val="both"/>
        <w:rPr>
          <w:rFonts w:ascii="Times New Roman" w:hAnsi="Times New Roman" w:cs="Times New Roman"/>
          <w:b/>
          <w:sz w:val="28"/>
          <w:szCs w:val="28"/>
        </w:rPr>
      </w:pPr>
      <w:r w:rsidRPr="000C1190">
        <w:rPr>
          <w:rFonts w:ascii="Times New Roman" w:hAnsi="Times New Roman" w:cs="Times New Roman"/>
          <w:b/>
          <w:sz w:val="28"/>
          <w:szCs w:val="28"/>
        </w:rPr>
        <w:t xml:space="preserve">2.2.2 Анализ институционального неравенства и эффективности государственной поддержки МСП </w:t>
      </w:r>
    </w:p>
    <w:p w14:paraId="16B1DDAD" w14:textId="3670BD1F"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В условиях цифровой трансформации экономики Казахстана инструменты государственной поддержки (налоговые и финансовые льготы, </w:t>
      </w:r>
      <w:r w:rsidRPr="000C1190">
        <w:rPr>
          <w:rFonts w:ascii="Times New Roman" w:hAnsi="Times New Roman" w:cs="Times New Roman"/>
          <w:sz w:val="28"/>
          <w:szCs w:val="28"/>
        </w:rPr>
        <w:lastRenderedPageBreak/>
        <w:t xml:space="preserve">грантовые и консультационные программы, инфраструктура коммерциализации и технопарки) рассматриваются как важный драйвер развития инновационного потенциала предпринимательских структур. Практика показывает, что вовлечённость в госпрограммы, качество полученного опыта и уровень информированности о доступных мерах поддержки неоднородны и зависят, среди прочего, от масштаба бизнеса. Задача этого раздела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эмпирически оценить участие, опыт участия и мотивацию к участию, а затем формализовать выявленные зависимости в виде воспроизводимой математической модели.</w:t>
      </w:r>
    </w:p>
    <w:p w14:paraId="4091EEB8" w14:textId="6B7869D1" w:rsid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Эмпирическая база исследования представлена результатами опроса 500 предпринимательских структур. В выборке учтено соотношение по размеру предприятий: 49 крупных, 100 средних и 351 малое предприятие. В качестве ключевых переменных рассматривались: факт участия в государственных программах поддержки, зафиксированный в бинарной форме (0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не участвовали, 1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участвовали); оценка опыта участия, которая выставлялась только теми респондентами, кто реально принимал участие, по шкале от 1 до 5, при этом для неучаствовавших фиксировались пропуски; индекс информированности, рассчитанный как суммарное количество известных респонденту программ; а также набор мотивационных факторов, которые отмечали только неучаствовавшие предприятия. Последние представлены девятью бинарными индикаторами, отражающими выбор конкретных стимулов, и их интегральным выражением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индексом мотивации.</w:t>
      </w:r>
    </w:p>
    <w:p w14:paraId="2337565B" w14:textId="4933CC15" w:rsidR="00D610BE" w:rsidRPr="000C1190" w:rsidRDefault="00D610BE" w:rsidP="002F33D0">
      <w:pPr>
        <w:spacing w:after="0" w:line="240" w:lineRule="auto"/>
        <w:ind w:firstLine="567"/>
        <w:jc w:val="both"/>
        <w:rPr>
          <w:rFonts w:ascii="Times New Roman" w:hAnsi="Times New Roman" w:cs="Times New Roman"/>
          <w:sz w:val="28"/>
          <w:szCs w:val="28"/>
        </w:rPr>
      </w:pPr>
      <w:r w:rsidRPr="00D610BE">
        <w:rPr>
          <w:rFonts w:ascii="Times New Roman" w:hAnsi="Times New Roman" w:cs="Times New Roman"/>
          <w:sz w:val="28"/>
          <w:szCs w:val="28"/>
        </w:rPr>
        <w:t xml:space="preserve">Для расчёта индекса информированности респондентам был предложен перечень из </w:t>
      </w:r>
      <w:r>
        <w:rPr>
          <w:rFonts w:ascii="Times New Roman" w:hAnsi="Times New Roman" w:cs="Times New Roman"/>
          <w:sz w:val="28"/>
          <w:szCs w:val="28"/>
          <w:lang w:val="kk-KZ"/>
        </w:rPr>
        <w:t>восьми</w:t>
      </w:r>
      <w:r w:rsidRPr="00D610BE">
        <w:rPr>
          <w:rFonts w:ascii="Times New Roman" w:hAnsi="Times New Roman" w:cs="Times New Roman"/>
          <w:sz w:val="28"/>
          <w:szCs w:val="28"/>
        </w:rPr>
        <w:t xml:space="preserve"> программ государственной поддержки, реализуемых в Казахстане. В него вошли: грант от QazInnovations «Коммерциализация технологий», гранты на «Технологическое развитие действующих предприятий» и «Технологическое развитие отрасли», инновационные гранты для консорциумов, а также программы в рамках проекта «Стимулирование продуктивных инноваций» </w:t>
      </w:r>
      <w:r w:rsidR="009D20AE">
        <w:rPr>
          <w:rFonts w:ascii="Times New Roman" w:hAnsi="Times New Roman" w:cs="Times New Roman"/>
          <w:sz w:val="28"/>
          <w:szCs w:val="28"/>
        </w:rPr>
        <w:t>–</w:t>
      </w:r>
      <w:r w:rsidRPr="00D610BE">
        <w:rPr>
          <w:rFonts w:ascii="Times New Roman" w:hAnsi="Times New Roman" w:cs="Times New Roman"/>
          <w:sz w:val="28"/>
          <w:szCs w:val="28"/>
        </w:rPr>
        <w:t xml:space="preserve"> «Консорциумы инклюзивных инноваций», «Консорциумы производственного сектора I: Центры компетенций» и «Консорциумы производственного сектора II». Дополнительно были включены программа Tech Orda (финансирова</w:t>
      </w:r>
      <w:r>
        <w:rPr>
          <w:rFonts w:ascii="Times New Roman" w:hAnsi="Times New Roman" w:cs="Times New Roman"/>
          <w:sz w:val="28"/>
          <w:szCs w:val="28"/>
        </w:rPr>
        <w:t xml:space="preserve">ние подготовки </w:t>
      </w:r>
      <w:r w:rsidR="0018767C">
        <w:rPr>
          <w:rFonts w:ascii="Times New Roman" w:hAnsi="Times New Roman" w:cs="Times New Roman"/>
          <w:sz w:val="28"/>
          <w:szCs w:val="28"/>
          <w:lang w:val="kk-KZ"/>
        </w:rPr>
        <w:t>И</w:t>
      </w:r>
      <w:r>
        <w:rPr>
          <w:rFonts w:ascii="Times New Roman" w:hAnsi="Times New Roman" w:cs="Times New Roman"/>
          <w:sz w:val="28"/>
          <w:szCs w:val="28"/>
        </w:rPr>
        <w:t>T-специалистов)</w:t>
      </w:r>
      <w:r w:rsidRPr="00D610BE">
        <w:rPr>
          <w:rFonts w:ascii="Times New Roman" w:hAnsi="Times New Roman" w:cs="Times New Roman"/>
          <w:sz w:val="28"/>
          <w:szCs w:val="28"/>
        </w:rPr>
        <w:t>.</w:t>
      </w:r>
    </w:p>
    <w:p w14:paraId="397FDD83" w14:textId="281A3D6F" w:rsid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Для анализа данных применялся комплекс статистических процедур. На первом этапе проводилась описательная статистика, позволяющая выявить общие закономерности распределения ответов. Для проверки ассоциаций между размером предприятия и бинарными переменными участия или выбора мотивационных факторов использовался критерий </w:t>
      </w:r>
      <w:r w:rsidR="00DA4C59" w:rsidRPr="003D1C4A">
        <w:rPr>
          <w:rFonts w:ascii="Times New Roman" w:hAnsi="Times New Roman" w:cs="Times New Roman"/>
          <w:i/>
          <w:sz w:val="28"/>
          <w:szCs w:val="28"/>
          <w:lang w:val="kk-KZ"/>
        </w:rPr>
        <w:t>х</w:t>
      </w:r>
      <w:r w:rsidRPr="000C1190">
        <w:rPr>
          <w:rFonts w:ascii="Times New Roman" w:hAnsi="Times New Roman" w:cs="Times New Roman"/>
          <w:sz w:val="28"/>
          <w:szCs w:val="28"/>
        </w:rPr>
        <w:t>² Пирсона на основе таблиц сопряжённости. Для сравнения средних значений по шкальным переменным (например, оценке опыта участия и индексу информированности) в разных группах применялся непараметрический дисперсионный анализ Kruskal</w:t>
      </w:r>
      <w:r w:rsidR="009A548D">
        <w:rPr>
          <w:rFonts w:ascii="Times New Roman" w:hAnsi="Times New Roman" w:cs="Times New Roman"/>
          <w:sz w:val="28"/>
          <w:szCs w:val="28"/>
          <w:lang w:val="kk-KZ"/>
        </w:rPr>
        <w:t>-</w:t>
      </w:r>
      <w:r w:rsidRPr="000C1190">
        <w:rPr>
          <w:rFonts w:ascii="Times New Roman" w:hAnsi="Times New Roman" w:cs="Times New Roman"/>
          <w:sz w:val="28"/>
          <w:szCs w:val="28"/>
        </w:rPr>
        <w:t>Wallis, что обусловлено ненормальным распределением данных, а также пост-hoc тесты (Dwass</w:t>
      </w:r>
      <w:r w:rsidR="009A548D">
        <w:rPr>
          <w:rFonts w:ascii="Times New Roman" w:hAnsi="Times New Roman" w:cs="Times New Roman"/>
          <w:sz w:val="28"/>
          <w:szCs w:val="28"/>
          <w:lang w:val="kk-KZ"/>
        </w:rPr>
        <w:t>-</w:t>
      </w:r>
      <w:r w:rsidRPr="000C1190">
        <w:rPr>
          <w:rFonts w:ascii="Times New Roman" w:hAnsi="Times New Roman" w:cs="Times New Roman"/>
          <w:sz w:val="28"/>
          <w:szCs w:val="28"/>
        </w:rPr>
        <w:t>Steel</w:t>
      </w:r>
      <w:r w:rsidR="009A548D">
        <w:rPr>
          <w:rFonts w:ascii="Times New Roman" w:hAnsi="Times New Roman" w:cs="Times New Roman"/>
          <w:sz w:val="28"/>
          <w:szCs w:val="28"/>
          <w:lang w:val="kk-KZ"/>
        </w:rPr>
        <w:t>-</w:t>
      </w:r>
      <w:r w:rsidRPr="000C1190">
        <w:rPr>
          <w:rFonts w:ascii="Times New Roman" w:hAnsi="Times New Roman" w:cs="Times New Roman"/>
          <w:sz w:val="28"/>
          <w:szCs w:val="28"/>
        </w:rPr>
        <w:t>Critchlow</w:t>
      </w:r>
      <w:r w:rsidR="009A548D">
        <w:rPr>
          <w:rFonts w:ascii="Times New Roman" w:hAnsi="Times New Roman" w:cs="Times New Roman"/>
          <w:sz w:val="28"/>
          <w:szCs w:val="28"/>
          <w:lang w:val="kk-KZ"/>
        </w:rPr>
        <w:t>-</w:t>
      </w:r>
      <w:r w:rsidRPr="000C1190">
        <w:rPr>
          <w:rFonts w:ascii="Times New Roman" w:hAnsi="Times New Roman" w:cs="Times New Roman"/>
          <w:sz w:val="28"/>
          <w:szCs w:val="28"/>
        </w:rPr>
        <w:t xml:space="preserve">Fligner) для уточнения парных различий. Заключительным этапом выступило построение логистической </w:t>
      </w:r>
      <w:r w:rsidRPr="000C1190">
        <w:rPr>
          <w:rFonts w:ascii="Times New Roman" w:hAnsi="Times New Roman" w:cs="Times New Roman"/>
          <w:sz w:val="28"/>
          <w:szCs w:val="28"/>
        </w:rPr>
        <w:lastRenderedPageBreak/>
        <w:t>регрессии для бинарной зависимой переменной участия в господдержке, что позволило формализовать влияние размеров предприятия, уровня информированности и мотивации на вероятность вовлечения в программы.</w:t>
      </w:r>
    </w:p>
    <w:p w14:paraId="2FC38AB9" w14:textId="3F048452" w:rsidR="00E96FDD" w:rsidRPr="000C1190" w:rsidRDefault="00E96FDD" w:rsidP="002F33D0">
      <w:pPr>
        <w:spacing w:after="0" w:line="240" w:lineRule="auto"/>
        <w:ind w:firstLine="567"/>
        <w:jc w:val="both"/>
        <w:rPr>
          <w:rFonts w:ascii="Times New Roman" w:hAnsi="Times New Roman" w:cs="Times New Roman"/>
          <w:sz w:val="28"/>
          <w:szCs w:val="28"/>
        </w:rPr>
      </w:pPr>
      <w:r w:rsidRPr="00E96FDD">
        <w:rPr>
          <w:rFonts w:ascii="Times New Roman" w:hAnsi="Times New Roman" w:cs="Times New Roman"/>
          <w:sz w:val="28"/>
          <w:szCs w:val="28"/>
        </w:rPr>
        <w:t>Сводная информация об участии предприятий различного размера в мерах го</w:t>
      </w:r>
      <w:r w:rsidR="00443C38">
        <w:rPr>
          <w:rFonts w:ascii="Times New Roman" w:hAnsi="Times New Roman" w:cs="Times New Roman"/>
          <w:sz w:val="28"/>
          <w:szCs w:val="28"/>
        </w:rPr>
        <w:t xml:space="preserve">споддержки приведена в таблице </w:t>
      </w:r>
      <w:r w:rsidR="00443C38">
        <w:rPr>
          <w:rFonts w:ascii="Times New Roman" w:hAnsi="Times New Roman" w:cs="Times New Roman"/>
          <w:sz w:val="28"/>
          <w:szCs w:val="28"/>
          <w:lang w:val="kk-KZ"/>
        </w:rPr>
        <w:t>23</w:t>
      </w:r>
      <w:r w:rsidRPr="00E96FDD">
        <w:rPr>
          <w:rFonts w:ascii="Times New Roman" w:hAnsi="Times New Roman" w:cs="Times New Roman"/>
          <w:sz w:val="28"/>
          <w:szCs w:val="28"/>
        </w:rPr>
        <w:t>, что позволяет наглядно оценить уровень вовлечённости по этой характеристике.</w:t>
      </w:r>
    </w:p>
    <w:p w14:paraId="7961CE2B" w14:textId="77777777" w:rsidR="000C1190" w:rsidRPr="000C1190" w:rsidRDefault="000C1190" w:rsidP="002F33D0">
      <w:pPr>
        <w:spacing w:after="0" w:line="240" w:lineRule="auto"/>
        <w:ind w:firstLine="567"/>
        <w:jc w:val="both"/>
        <w:rPr>
          <w:rFonts w:ascii="Times New Roman" w:hAnsi="Times New Roman" w:cs="Times New Roman"/>
          <w:sz w:val="28"/>
          <w:szCs w:val="28"/>
        </w:rPr>
      </w:pPr>
    </w:p>
    <w:p w14:paraId="382F30D2" w14:textId="15213024" w:rsidR="000C1190" w:rsidRDefault="00443C38" w:rsidP="002F33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w:t>
      </w:r>
      <w:r>
        <w:rPr>
          <w:rFonts w:ascii="Times New Roman" w:hAnsi="Times New Roman" w:cs="Times New Roman"/>
          <w:sz w:val="28"/>
          <w:szCs w:val="28"/>
          <w:lang w:val="kk-KZ"/>
        </w:rPr>
        <w:t>23</w:t>
      </w:r>
      <w:r w:rsidR="000C1190" w:rsidRPr="000C1190">
        <w:rPr>
          <w:rFonts w:ascii="Times New Roman" w:hAnsi="Times New Roman" w:cs="Times New Roman"/>
          <w:sz w:val="28"/>
          <w:szCs w:val="28"/>
          <w:lang w:val="kk-KZ"/>
        </w:rPr>
        <w:t xml:space="preserve"> – </w:t>
      </w:r>
      <w:r w:rsidR="000C1190" w:rsidRPr="000C1190">
        <w:rPr>
          <w:rFonts w:ascii="Times New Roman" w:hAnsi="Times New Roman" w:cs="Times New Roman"/>
          <w:sz w:val="28"/>
          <w:szCs w:val="28"/>
        </w:rPr>
        <w:t>Участие в госпрограммах по размерам предприятия</w:t>
      </w:r>
    </w:p>
    <w:p w14:paraId="2CA3D0CD" w14:textId="77777777" w:rsidR="00E96FDD" w:rsidRPr="00443C38" w:rsidRDefault="00E96FDD" w:rsidP="002F33D0">
      <w:pPr>
        <w:spacing w:after="0" w:line="240" w:lineRule="auto"/>
        <w:jc w:val="both"/>
        <w:rPr>
          <w:rFonts w:ascii="Times New Roman" w:hAnsi="Times New Roman" w:cs="Times New Roman"/>
          <w:sz w:val="20"/>
          <w:szCs w:val="20"/>
        </w:rPr>
      </w:pPr>
    </w:p>
    <w:tbl>
      <w:tblPr>
        <w:tblStyle w:val="a5"/>
        <w:tblW w:w="5000" w:type="pct"/>
        <w:tblLook w:val="04A0" w:firstRow="1" w:lastRow="0" w:firstColumn="1" w:lastColumn="0" w:noHBand="0" w:noVBand="1"/>
      </w:tblPr>
      <w:tblGrid>
        <w:gridCol w:w="1562"/>
        <w:gridCol w:w="2734"/>
        <w:gridCol w:w="1604"/>
        <w:gridCol w:w="3445"/>
      </w:tblGrid>
      <w:tr w:rsidR="000C1190" w:rsidRPr="000C1190" w14:paraId="2BA82B12" w14:textId="77777777" w:rsidTr="000C1190">
        <w:tc>
          <w:tcPr>
            <w:tcW w:w="836" w:type="pct"/>
            <w:hideMark/>
          </w:tcPr>
          <w:p w14:paraId="0570C308" w14:textId="77777777" w:rsidR="000C1190" w:rsidRPr="00E96FDD" w:rsidRDefault="000C1190" w:rsidP="002F33D0">
            <w:pPr>
              <w:ind w:firstLine="0"/>
              <w:jc w:val="center"/>
              <w:rPr>
                <w:rFonts w:eastAsia="Times New Roman"/>
                <w:bCs/>
                <w:szCs w:val="24"/>
                <w:lang w:eastAsia="ru-RU"/>
              </w:rPr>
            </w:pPr>
            <w:r w:rsidRPr="00E96FDD">
              <w:rPr>
                <w:rFonts w:eastAsia="Times New Roman"/>
                <w:bCs/>
                <w:szCs w:val="24"/>
                <w:lang w:eastAsia="ru-RU"/>
              </w:rPr>
              <w:t>Размер</w:t>
            </w:r>
          </w:p>
        </w:tc>
        <w:tc>
          <w:tcPr>
            <w:tcW w:w="1463" w:type="pct"/>
            <w:hideMark/>
          </w:tcPr>
          <w:p w14:paraId="51F6BC1C" w14:textId="5E952F4A" w:rsidR="000C1190" w:rsidRPr="00E96FDD" w:rsidRDefault="000C1190" w:rsidP="002F33D0">
            <w:pPr>
              <w:ind w:firstLine="0"/>
              <w:jc w:val="center"/>
              <w:rPr>
                <w:rFonts w:eastAsia="Times New Roman"/>
                <w:bCs/>
                <w:szCs w:val="24"/>
                <w:lang w:eastAsia="ru-RU"/>
              </w:rPr>
            </w:pPr>
            <w:r w:rsidRPr="00E96FDD">
              <w:rPr>
                <w:rFonts w:eastAsia="Times New Roman"/>
                <w:bCs/>
                <w:szCs w:val="24"/>
                <w:lang w:eastAsia="ru-RU"/>
              </w:rPr>
              <w:t xml:space="preserve">Участвовали </w:t>
            </w:r>
          </w:p>
        </w:tc>
        <w:tc>
          <w:tcPr>
            <w:tcW w:w="858" w:type="pct"/>
            <w:hideMark/>
          </w:tcPr>
          <w:p w14:paraId="019B4C7A" w14:textId="5A31456A" w:rsidR="000C1190" w:rsidRPr="00E96FDD" w:rsidRDefault="000C1190" w:rsidP="002F33D0">
            <w:pPr>
              <w:ind w:firstLine="0"/>
              <w:jc w:val="center"/>
              <w:rPr>
                <w:rFonts w:eastAsia="Times New Roman"/>
                <w:bCs/>
                <w:szCs w:val="24"/>
                <w:lang w:eastAsia="ru-RU"/>
              </w:rPr>
            </w:pPr>
            <w:r w:rsidRPr="00E96FDD">
              <w:rPr>
                <w:rFonts w:eastAsia="Times New Roman"/>
                <w:bCs/>
                <w:szCs w:val="24"/>
                <w:lang w:eastAsia="ru-RU"/>
              </w:rPr>
              <w:t>Всего</w:t>
            </w:r>
          </w:p>
        </w:tc>
        <w:tc>
          <w:tcPr>
            <w:tcW w:w="1843" w:type="pct"/>
            <w:hideMark/>
          </w:tcPr>
          <w:p w14:paraId="3DD190AE" w14:textId="77777777" w:rsidR="000C1190" w:rsidRPr="00E96FDD" w:rsidRDefault="000C1190" w:rsidP="002F33D0">
            <w:pPr>
              <w:ind w:firstLine="0"/>
              <w:jc w:val="center"/>
              <w:rPr>
                <w:rFonts w:eastAsia="Times New Roman"/>
                <w:bCs/>
                <w:szCs w:val="24"/>
                <w:lang w:eastAsia="ru-RU"/>
              </w:rPr>
            </w:pPr>
            <w:r w:rsidRPr="00E96FDD">
              <w:rPr>
                <w:rFonts w:eastAsia="Times New Roman"/>
                <w:bCs/>
                <w:szCs w:val="24"/>
                <w:lang w:eastAsia="ru-RU"/>
              </w:rPr>
              <w:t>Доля участвовавших</w:t>
            </w:r>
          </w:p>
        </w:tc>
      </w:tr>
      <w:tr w:rsidR="000C1190" w:rsidRPr="000C1190" w14:paraId="1396D7BC" w14:textId="77777777" w:rsidTr="000C1190">
        <w:tc>
          <w:tcPr>
            <w:tcW w:w="836" w:type="pct"/>
            <w:hideMark/>
          </w:tcPr>
          <w:p w14:paraId="6D8917E5" w14:textId="77777777" w:rsidR="000C1190" w:rsidRPr="00E96FDD" w:rsidRDefault="000C1190" w:rsidP="002F33D0">
            <w:pPr>
              <w:ind w:firstLine="0"/>
              <w:jc w:val="both"/>
              <w:rPr>
                <w:rFonts w:eastAsia="Times New Roman"/>
                <w:szCs w:val="24"/>
                <w:lang w:eastAsia="ru-RU"/>
              </w:rPr>
            </w:pPr>
            <w:r w:rsidRPr="00E96FDD">
              <w:rPr>
                <w:rFonts w:eastAsia="Times New Roman"/>
                <w:szCs w:val="24"/>
                <w:lang w:eastAsia="ru-RU"/>
              </w:rPr>
              <w:t>Крупные</w:t>
            </w:r>
          </w:p>
        </w:tc>
        <w:tc>
          <w:tcPr>
            <w:tcW w:w="1463" w:type="pct"/>
            <w:hideMark/>
          </w:tcPr>
          <w:p w14:paraId="3F669B89"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19</w:t>
            </w:r>
          </w:p>
        </w:tc>
        <w:tc>
          <w:tcPr>
            <w:tcW w:w="858" w:type="pct"/>
            <w:hideMark/>
          </w:tcPr>
          <w:p w14:paraId="5E69AD9C"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49</w:t>
            </w:r>
          </w:p>
        </w:tc>
        <w:tc>
          <w:tcPr>
            <w:tcW w:w="1843" w:type="pct"/>
            <w:hideMark/>
          </w:tcPr>
          <w:p w14:paraId="17362785"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38,8%</w:t>
            </w:r>
          </w:p>
        </w:tc>
      </w:tr>
      <w:tr w:rsidR="000C1190" w:rsidRPr="000C1190" w14:paraId="45A8C947" w14:textId="77777777" w:rsidTr="000C1190">
        <w:tc>
          <w:tcPr>
            <w:tcW w:w="836" w:type="pct"/>
            <w:hideMark/>
          </w:tcPr>
          <w:p w14:paraId="1CDF068A" w14:textId="77777777" w:rsidR="000C1190" w:rsidRPr="00E96FDD" w:rsidRDefault="000C1190" w:rsidP="002F33D0">
            <w:pPr>
              <w:ind w:firstLine="0"/>
              <w:jc w:val="both"/>
              <w:rPr>
                <w:rFonts w:eastAsia="Times New Roman"/>
                <w:szCs w:val="24"/>
                <w:lang w:eastAsia="ru-RU"/>
              </w:rPr>
            </w:pPr>
            <w:r w:rsidRPr="00E96FDD">
              <w:rPr>
                <w:rFonts w:eastAsia="Times New Roman"/>
                <w:szCs w:val="24"/>
                <w:lang w:eastAsia="ru-RU"/>
              </w:rPr>
              <w:t>Средние</w:t>
            </w:r>
          </w:p>
        </w:tc>
        <w:tc>
          <w:tcPr>
            <w:tcW w:w="1463" w:type="pct"/>
            <w:hideMark/>
          </w:tcPr>
          <w:p w14:paraId="330A9B4C"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33</w:t>
            </w:r>
          </w:p>
        </w:tc>
        <w:tc>
          <w:tcPr>
            <w:tcW w:w="858" w:type="pct"/>
            <w:hideMark/>
          </w:tcPr>
          <w:p w14:paraId="38F4912B"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100</w:t>
            </w:r>
          </w:p>
        </w:tc>
        <w:tc>
          <w:tcPr>
            <w:tcW w:w="1843" w:type="pct"/>
            <w:hideMark/>
          </w:tcPr>
          <w:p w14:paraId="1972014E"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33,0%</w:t>
            </w:r>
          </w:p>
        </w:tc>
      </w:tr>
      <w:tr w:rsidR="000C1190" w:rsidRPr="000C1190" w14:paraId="773F91C6" w14:textId="77777777" w:rsidTr="000C1190">
        <w:tc>
          <w:tcPr>
            <w:tcW w:w="836" w:type="pct"/>
            <w:hideMark/>
          </w:tcPr>
          <w:p w14:paraId="773E8E9E" w14:textId="77777777" w:rsidR="000C1190" w:rsidRPr="00E96FDD" w:rsidRDefault="000C1190" w:rsidP="002F33D0">
            <w:pPr>
              <w:ind w:firstLine="0"/>
              <w:jc w:val="both"/>
              <w:rPr>
                <w:rFonts w:eastAsia="Times New Roman"/>
                <w:szCs w:val="24"/>
                <w:lang w:eastAsia="ru-RU"/>
              </w:rPr>
            </w:pPr>
            <w:r w:rsidRPr="00E96FDD">
              <w:rPr>
                <w:rFonts w:eastAsia="Times New Roman"/>
                <w:szCs w:val="24"/>
                <w:lang w:eastAsia="ru-RU"/>
              </w:rPr>
              <w:t>Малые</w:t>
            </w:r>
          </w:p>
        </w:tc>
        <w:tc>
          <w:tcPr>
            <w:tcW w:w="1463" w:type="pct"/>
            <w:hideMark/>
          </w:tcPr>
          <w:p w14:paraId="35F23DD5"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69</w:t>
            </w:r>
          </w:p>
        </w:tc>
        <w:tc>
          <w:tcPr>
            <w:tcW w:w="858" w:type="pct"/>
            <w:hideMark/>
          </w:tcPr>
          <w:p w14:paraId="293AE6BA"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351</w:t>
            </w:r>
          </w:p>
        </w:tc>
        <w:tc>
          <w:tcPr>
            <w:tcW w:w="1843" w:type="pct"/>
            <w:hideMark/>
          </w:tcPr>
          <w:p w14:paraId="53B238F3"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19,7%</w:t>
            </w:r>
          </w:p>
        </w:tc>
      </w:tr>
      <w:tr w:rsidR="000C1190" w:rsidRPr="000C1190" w14:paraId="2D2973B1" w14:textId="77777777" w:rsidTr="000C1190">
        <w:tc>
          <w:tcPr>
            <w:tcW w:w="836" w:type="pct"/>
            <w:hideMark/>
          </w:tcPr>
          <w:p w14:paraId="5CC84E6A" w14:textId="77777777" w:rsidR="000C1190" w:rsidRPr="00E96FDD" w:rsidRDefault="000C1190" w:rsidP="002F33D0">
            <w:pPr>
              <w:ind w:firstLine="0"/>
              <w:jc w:val="both"/>
              <w:rPr>
                <w:rFonts w:eastAsia="Times New Roman"/>
                <w:szCs w:val="24"/>
                <w:lang w:eastAsia="ru-RU"/>
              </w:rPr>
            </w:pPr>
            <w:r w:rsidRPr="00E96FDD">
              <w:rPr>
                <w:rFonts w:eastAsia="Times New Roman"/>
                <w:bCs/>
                <w:szCs w:val="24"/>
                <w:lang w:eastAsia="ru-RU"/>
              </w:rPr>
              <w:t>Итого</w:t>
            </w:r>
          </w:p>
        </w:tc>
        <w:tc>
          <w:tcPr>
            <w:tcW w:w="1463" w:type="pct"/>
            <w:hideMark/>
          </w:tcPr>
          <w:p w14:paraId="0B753185" w14:textId="77777777" w:rsidR="000C1190" w:rsidRPr="00E96FDD" w:rsidRDefault="000C1190" w:rsidP="002F33D0">
            <w:pPr>
              <w:ind w:firstLine="0"/>
              <w:jc w:val="center"/>
              <w:rPr>
                <w:rFonts w:eastAsia="Times New Roman"/>
                <w:szCs w:val="24"/>
                <w:lang w:eastAsia="ru-RU"/>
              </w:rPr>
            </w:pPr>
            <w:r w:rsidRPr="00E96FDD">
              <w:rPr>
                <w:rFonts w:eastAsia="Times New Roman"/>
                <w:bCs/>
                <w:szCs w:val="24"/>
                <w:lang w:eastAsia="ru-RU"/>
              </w:rPr>
              <w:t>121</w:t>
            </w:r>
          </w:p>
        </w:tc>
        <w:tc>
          <w:tcPr>
            <w:tcW w:w="858" w:type="pct"/>
            <w:hideMark/>
          </w:tcPr>
          <w:p w14:paraId="29F97C35" w14:textId="77777777" w:rsidR="000C1190" w:rsidRPr="00E96FDD" w:rsidRDefault="000C1190" w:rsidP="002F33D0">
            <w:pPr>
              <w:ind w:firstLine="0"/>
              <w:jc w:val="center"/>
              <w:rPr>
                <w:rFonts w:eastAsia="Times New Roman"/>
                <w:szCs w:val="24"/>
                <w:lang w:eastAsia="ru-RU"/>
              </w:rPr>
            </w:pPr>
            <w:r w:rsidRPr="00E96FDD">
              <w:rPr>
                <w:rFonts w:eastAsia="Times New Roman"/>
                <w:bCs/>
                <w:szCs w:val="24"/>
                <w:lang w:eastAsia="ru-RU"/>
              </w:rPr>
              <w:t>500</w:t>
            </w:r>
          </w:p>
        </w:tc>
        <w:tc>
          <w:tcPr>
            <w:tcW w:w="1843" w:type="pct"/>
            <w:hideMark/>
          </w:tcPr>
          <w:p w14:paraId="631EBC44" w14:textId="77777777" w:rsidR="000C1190" w:rsidRPr="00E96FDD" w:rsidRDefault="000C1190" w:rsidP="002F33D0">
            <w:pPr>
              <w:ind w:firstLine="0"/>
              <w:jc w:val="center"/>
              <w:rPr>
                <w:rFonts w:eastAsia="Times New Roman"/>
                <w:szCs w:val="24"/>
                <w:lang w:eastAsia="ru-RU"/>
              </w:rPr>
            </w:pPr>
            <w:r w:rsidRPr="00E96FDD">
              <w:rPr>
                <w:rFonts w:eastAsia="Times New Roman"/>
                <w:bCs/>
                <w:szCs w:val="24"/>
                <w:lang w:eastAsia="ru-RU"/>
              </w:rPr>
              <w:t>24,2%</w:t>
            </w:r>
          </w:p>
        </w:tc>
      </w:tr>
      <w:tr w:rsidR="00443C38" w:rsidRPr="000C1190" w14:paraId="0834330C" w14:textId="77777777" w:rsidTr="00443C38">
        <w:tc>
          <w:tcPr>
            <w:tcW w:w="5000" w:type="pct"/>
            <w:gridSpan w:val="4"/>
          </w:tcPr>
          <w:p w14:paraId="7BDA7E82" w14:textId="4EDB6054" w:rsidR="00443C38" w:rsidRPr="00443C38" w:rsidRDefault="00443C38" w:rsidP="000F3C80">
            <w:pPr>
              <w:ind w:firstLine="459"/>
              <w:rPr>
                <w:rFonts w:eastAsia="Times New Roman"/>
                <w:bCs/>
                <w:szCs w:val="24"/>
                <w:lang w:val="kk-KZ" w:eastAsia="ru-RU"/>
              </w:rPr>
            </w:pPr>
            <w:r w:rsidRPr="00EE311D">
              <w:rPr>
                <w:rFonts w:eastAsia="Times New Roman"/>
                <w:bCs/>
                <w:szCs w:val="24"/>
                <w:lang w:val="kk-KZ" w:eastAsia="ru-RU"/>
              </w:rPr>
              <w:t xml:space="preserve">Примечание – </w:t>
            </w:r>
            <w:r w:rsidR="000F3C80" w:rsidRPr="00EE311D">
              <w:rPr>
                <w:rFonts w:eastAsia="Times New Roman"/>
                <w:bCs/>
                <w:szCs w:val="24"/>
                <w:lang w:val="kk-KZ" w:eastAsia="ru-RU"/>
              </w:rPr>
              <w:t>С</w:t>
            </w:r>
            <w:r w:rsidRPr="00EE311D">
              <w:rPr>
                <w:rFonts w:eastAsia="Times New Roman"/>
                <w:bCs/>
                <w:szCs w:val="24"/>
                <w:lang w:val="kk-KZ" w:eastAsia="ru-RU"/>
              </w:rPr>
              <w:t>оставлено автором</w:t>
            </w:r>
          </w:p>
        </w:tc>
      </w:tr>
    </w:tbl>
    <w:p w14:paraId="2A4811DD" w14:textId="77777777" w:rsidR="000C1190" w:rsidRPr="000C1190" w:rsidRDefault="000C1190" w:rsidP="002F33D0">
      <w:pPr>
        <w:spacing w:after="0" w:line="240" w:lineRule="auto"/>
        <w:ind w:firstLine="567"/>
        <w:jc w:val="both"/>
        <w:rPr>
          <w:rFonts w:ascii="Times New Roman" w:hAnsi="Times New Roman" w:cs="Times New Roman"/>
          <w:sz w:val="28"/>
          <w:szCs w:val="28"/>
        </w:rPr>
      </w:pPr>
    </w:p>
    <w:p w14:paraId="29E2067B" w14:textId="40A8F52F"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Резуль</w:t>
      </w:r>
      <w:r w:rsidR="00443C38">
        <w:rPr>
          <w:rFonts w:ascii="Times New Roman" w:hAnsi="Times New Roman" w:cs="Times New Roman"/>
          <w:sz w:val="28"/>
          <w:szCs w:val="28"/>
        </w:rPr>
        <w:t>таты</w:t>
      </w:r>
      <w:r w:rsidR="00443C38">
        <w:rPr>
          <w:rFonts w:ascii="Times New Roman" w:hAnsi="Times New Roman" w:cs="Times New Roman"/>
          <w:sz w:val="28"/>
          <w:szCs w:val="28"/>
          <w:lang w:val="kk-KZ"/>
        </w:rPr>
        <w:t xml:space="preserve"> </w:t>
      </w:r>
      <w:r w:rsidRPr="000C1190">
        <w:rPr>
          <w:rFonts w:ascii="Times New Roman" w:hAnsi="Times New Roman" w:cs="Times New Roman"/>
          <w:sz w:val="28"/>
          <w:szCs w:val="28"/>
        </w:rPr>
        <w:t xml:space="preserve">позволяют сделать вывод о том, что вовлечённость предпринимательских структур в программы государственной поддержки остаётся на сравнительно низком уровне: лишь около четверти респондентов сообщили о своём участии. При этом распределение по размерам демонстрирует явную тенденцию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доля вовлечённых значительно выше среди крупных предприятий (около 39%), тогда как среди средних компаний она составляет примерно треть</w:t>
      </w:r>
      <w:r w:rsidR="00E96FDD">
        <w:rPr>
          <w:rFonts w:ascii="Times New Roman" w:hAnsi="Times New Roman" w:cs="Times New Roman"/>
          <w:sz w:val="28"/>
          <w:szCs w:val="28"/>
          <w:lang w:val="kk-KZ"/>
        </w:rPr>
        <w:t xml:space="preserve"> (30</w:t>
      </w:r>
      <w:r w:rsidR="00E96FDD" w:rsidRPr="000C1190">
        <w:rPr>
          <w:rFonts w:ascii="Times New Roman" w:hAnsi="Times New Roman" w:cs="Times New Roman"/>
          <w:sz w:val="28"/>
          <w:szCs w:val="28"/>
        </w:rPr>
        <w:t>%</w:t>
      </w:r>
      <w:r w:rsidR="00E96FDD">
        <w:rPr>
          <w:rFonts w:ascii="Times New Roman" w:hAnsi="Times New Roman" w:cs="Times New Roman"/>
          <w:sz w:val="28"/>
          <w:szCs w:val="28"/>
          <w:lang w:val="kk-KZ"/>
        </w:rPr>
        <w:t>)</w:t>
      </w:r>
      <w:r w:rsidRPr="000C1190">
        <w:rPr>
          <w:rFonts w:ascii="Times New Roman" w:hAnsi="Times New Roman" w:cs="Times New Roman"/>
          <w:sz w:val="28"/>
          <w:szCs w:val="28"/>
        </w:rPr>
        <w:t xml:space="preserve">, а среди малых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менее 20%. Проверка статистической значимости различий посредством критерия </w:t>
      </w:r>
      <w:r w:rsidR="00E96FDD" w:rsidRPr="00443C38">
        <w:rPr>
          <w:rFonts w:ascii="Times New Roman" w:hAnsi="Times New Roman" w:cs="Times New Roman"/>
          <w:i/>
          <w:sz w:val="28"/>
          <w:szCs w:val="28"/>
          <w:lang w:val="kk-KZ"/>
        </w:rPr>
        <w:t>х</w:t>
      </w:r>
      <w:r w:rsidR="00443C38" w:rsidRPr="00443C38">
        <w:rPr>
          <w:rFonts w:ascii="Times New Roman" w:hAnsi="Times New Roman" w:cs="Times New Roman"/>
          <w:sz w:val="28"/>
          <w:szCs w:val="28"/>
          <w:vertAlign w:val="superscript"/>
          <w:lang w:val="kk-KZ"/>
        </w:rPr>
        <w:t>2</w:t>
      </w:r>
      <w:r w:rsidRPr="000C1190">
        <w:rPr>
          <w:rFonts w:ascii="Times New Roman" w:hAnsi="Times New Roman" w:cs="Times New Roman"/>
          <w:sz w:val="28"/>
          <w:szCs w:val="28"/>
        </w:rPr>
        <w:t xml:space="preserve"> Пирсона подтвердила наличие ассоциации между масштабом бизнеса и вероятностью участия (</w:t>
      </w:r>
      <w:r w:rsidR="00443C38" w:rsidRPr="00443C38">
        <w:rPr>
          <w:rFonts w:ascii="Times New Roman" w:hAnsi="Times New Roman" w:cs="Times New Roman"/>
          <w:i/>
          <w:sz w:val="28"/>
          <w:szCs w:val="28"/>
          <w:lang w:val="kk-KZ"/>
        </w:rPr>
        <w:t>х</w:t>
      </w:r>
      <w:r w:rsidR="00443C38" w:rsidRPr="00443C38">
        <w:rPr>
          <w:rFonts w:ascii="Times New Roman" w:hAnsi="Times New Roman" w:cs="Times New Roman"/>
          <w:sz w:val="28"/>
          <w:szCs w:val="28"/>
          <w:vertAlign w:val="superscript"/>
          <w:lang w:val="kk-KZ"/>
        </w:rPr>
        <w:t>2</w:t>
      </w:r>
      <w:r w:rsidR="00443C38">
        <w:rPr>
          <w:rFonts w:ascii="Times New Roman" w:hAnsi="Times New Roman" w:cs="Times New Roman"/>
          <w:sz w:val="28"/>
          <w:szCs w:val="28"/>
          <w:vertAlign w:val="superscript"/>
          <w:lang w:val="kk-KZ"/>
        </w:rPr>
        <w:t xml:space="preserve"> </w:t>
      </w:r>
      <w:r w:rsidR="00443C38">
        <w:rPr>
          <w:rFonts w:ascii="Times New Roman" w:hAnsi="Times New Roman" w:cs="Times New Roman"/>
          <w:sz w:val="28"/>
          <w:szCs w:val="28"/>
        </w:rPr>
        <w:t>=13,8; p</w:t>
      </w:r>
      <w:r w:rsidR="0018767C" w:rsidRPr="000C1190">
        <w:rPr>
          <w:rFonts w:ascii="Times New Roman" w:hAnsi="Times New Roman" w:cs="Times New Roman"/>
          <w:sz w:val="28"/>
          <w:szCs w:val="28"/>
        </w:rPr>
        <w:t>&lt;0,001</w:t>
      </w:r>
      <w:r w:rsidR="00E96FDD">
        <w:rPr>
          <w:rFonts w:ascii="Times New Roman" w:hAnsi="Times New Roman" w:cs="Times New Roman"/>
          <w:sz w:val="28"/>
          <w:szCs w:val="28"/>
        </w:rPr>
        <w:t xml:space="preserve">). Значение коэффициента </w:t>
      </w:r>
      <w:r w:rsidRPr="000C1190">
        <w:rPr>
          <w:rFonts w:ascii="Times New Roman" w:hAnsi="Times New Roman" w:cs="Times New Roman"/>
          <w:sz w:val="28"/>
          <w:szCs w:val="28"/>
        </w:rPr>
        <w:t>Крамера (0,166) указывает на слабую–умеренную силу связи, что означает: размер предприятия действительно влияет на вероятность вовлечения, однако не является единственным определяющим фактором. Иными словами, чем крупнее организация, тем выше её шансы воспользоваться мерами государственной поддержки, что отражает неравномерный доступ различных категорий бизнеса к институтам и инструментам стимулирования инновационной активности.</w:t>
      </w:r>
    </w:p>
    <w:p w14:paraId="5F1F6331" w14:textId="68D8AE19" w:rsidR="000C1190" w:rsidRPr="000C1190" w:rsidRDefault="00443C38"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Как видно из таблицы 2</w:t>
      </w:r>
      <w:r>
        <w:rPr>
          <w:rFonts w:ascii="Times New Roman" w:hAnsi="Times New Roman" w:cs="Times New Roman"/>
          <w:sz w:val="28"/>
          <w:szCs w:val="28"/>
          <w:lang w:val="kk-KZ"/>
        </w:rPr>
        <w:t>4</w:t>
      </w:r>
      <w:r w:rsidRPr="000C1190">
        <w:rPr>
          <w:rFonts w:ascii="Times New Roman" w:hAnsi="Times New Roman" w:cs="Times New Roman"/>
          <w:sz w:val="28"/>
          <w:szCs w:val="28"/>
        </w:rPr>
        <w:t>, в среднем уровень удовлетворённости опытом участия в программах господдержки варьируется в пределах от 3,5 до 3,9 баллов по пятибалльной шкале, что соответствует интервалу «средне</w:t>
      </w:r>
      <w:r w:rsidR="009A548D">
        <w:rPr>
          <w:rFonts w:ascii="Times New Roman" w:hAnsi="Times New Roman" w:cs="Times New Roman"/>
          <w:sz w:val="28"/>
          <w:szCs w:val="28"/>
          <w:lang w:val="kk-KZ"/>
        </w:rPr>
        <w:t>-</w:t>
      </w:r>
      <w:r w:rsidRPr="000C1190">
        <w:rPr>
          <w:rFonts w:ascii="Times New Roman" w:hAnsi="Times New Roman" w:cs="Times New Roman"/>
          <w:sz w:val="28"/>
          <w:szCs w:val="28"/>
        </w:rPr>
        <w:t>хорошо».</w:t>
      </w:r>
    </w:p>
    <w:p w14:paraId="2DA6AA09" w14:textId="77777777" w:rsidR="00E925F2" w:rsidRDefault="00E925F2" w:rsidP="002F33D0">
      <w:pPr>
        <w:spacing w:after="0" w:line="240" w:lineRule="auto"/>
        <w:jc w:val="both"/>
        <w:rPr>
          <w:rFonts w:ascii="Times New Roman" w:hAnsi="Times New Roman" w:cs="Times New Roman"/>
          <w:sz w:val="28"/>
          <w:szCs w:val="28"/>
        </w:rPr>
      </w:pPr>
    </w:p>
    <w:p w14:paraId="522D25B8" w14:textId="47CA0ECD" w:rsidR="000C1190" w:rsidRDefault="000C1190" w:rsidP="002F33D0">
      <w:pPr>
        <w:spacing w:after="0" w:line="240" w:lineRule="auto"/>
        <w:jc w:val="both"/>
        <w:rPr>
          <w:rFonts w:ascii="Times New Roman" w:hAnsi="Times New Roman" w:cs="Times New Roman"/>
          <w:sz w:val="28"/>
          <w:szCs w:val="28"/>
        </w:rPr>
      </w:pPr>
      <w:r w:rsidRPr="000C1190">
        <w:rPr>
          <w:rFonts w:ascii="Times New Roman" w:hAnsi="Times New Roman" w:cs="Times New Roman"/>
          <w:sz w:val="28"/>
          <w:szCs w:val="28"/>
        </w:rPr>
        <w:t>Таблица 2</w:t>
      </w:r>
      <w:r w:rsidR="00443C38">
        <w:rPr>
          <w:rFonts w:ascii="Times New Roman" w:hAnsi="Times New Roman" w:cs="Times New Roman"/>
          <w:sz w:val="28"/>
          <w:szCs w:val="28"/>
          <w:lang w:val="kk-KZ"/>
        </w:rPr>
        <w:t>4</w:t>
      </w:r>
      <w:r w:rsidRPr="000C1190">
        <w:rPr>
          <w:rFonts w:ascii="Times New Roman" w:hAnsi="Times New Roman" w:cs="Times New Roman"/>
          <w:sz w:val="28"/>
          <w:szCs w:val="28"/>
          <w:lang w:val="kk-KZ"/>
        </w:rPr>
        <w:t xml:space="preserve"> – </w:t>
      </w:r>
      <w:r w:rsidRPr="000C1190">
        <w:rPr>
          <w:rFonts w:ascii="Times New Roman" w:hAnsi="Times New Roman" w:cs="Times New Roman"/>
          <w:sz w:val="28"/>
          <w:szCs w:val="28"/>
        </w:rPr>
        <w:t>Удовлетворённость опытом участия по размерам (участвовавшие)</w:t>
      </w:r>
    </w:p>
    <w:p w14:paraId="048FBCD5" w14:textId="77777777" w:rsidR="00E96FDD" w:rsidRPr="00443C38" w:rsidRDefault="00E96FDD" w:rsidP="002F33D0">
      <w:pPr>
        <w:spacing w:after="0" w:line="240" w:lineRule="auto"/>
        <w:jc w:val="both"/>
        <w:rPr>
          <w:rFonts w:ascii="Times New Roman" w:hAnsi="Times New Roman" w:cs="Times New Roman"/>
          <w:sz w:val="20"/>
          <w:szCs w:val="20"/>
        </w:rPr>
      </w:pPr>
    </w:p>
    <w:tbl>
      <w:tblPr>
        <w:tblStyle w:val="a5"/>
        <w:tblW w:w="4994" w:type="pct"/>
        <w:tblLook w:val="04A0" w:firstRow="1" w:lastRow="0" w:firstColumn="1" w:lastColumn="0" w:noHBand="0" w:noVBand="1"/>
      </w:tblPr>
      <w:tblGrid>
        <w:gridCol w:w="2350"/>
        <w:gridCol w:w="1116"/>
        <w:gridCol w:w="2022"/>
        <w:gridCol w:w="1867"/>
        <w:gridCol w:w="1979"/>
      </w:tblGrid>
      <w:tr w:rsidR="0018767C" w:rsidRPr="00E96FDD" w14:paraId="5E926420" w14:textId="77777777" w:rsidTr="0018767C">
        <w:tc>
          <w:tcPr>
            <w:tcW w:w="1259" w:type="pct"/>
            <w:hideMark/>
          </w:tcPr>
          <w:p w14:paraId="290CD24C" w14:textId="77777777" w:rsidR="000C1190" w:rsidRPr="00E96FDD" w:rsidRDefault="000C1190" w:rsidP="002F33D0">
            <w:pPr>
              <w:ind w:firstLine="0"/>
              <w:jc w:val="center"/>
              <w:rPr>
                <w:rFonts w:eastAsia="Times New Roman"/>
                <w:bCs/>
                <w:szCs w:val="24"/>
                <w:lang w:eastAsia="ru-RU"/>
              </w:rPr>
            </w:pPr>
            <w:r w:rsidRPr="00E96FDD">
              <w:rPr>
                <w:rFonts w:eastAsia="Times New Roman"/>
                <w:bCs/>
                <w:szCs w:val="24"/>
                <w:lang w:eastAsia="ru-RU"/>
              </w:rPr>
              <w:t>Размер</w:t>
            </w:r>
          </w:p>
        </w:tc>
        <w:tc>
          <w:tcPr>
            <w:tcW w:w="598" w:type="pct"/>
            <w:hideMark/>
          </w:tcPr>
          <w:p w14:paraId="6BEC67E7" w14:textId="77777777" w:rsidR="000C1190" w:rsidRPr="00E96FDD" w:rsidRDefault="000C1190" w:rsidP="002F33D0">
            <w:pPr>
              <w:ind w:firstLine="0"/>
              <w:jc w:val="center"/>
              <w:rPr>
                <w:rFonts w:eastAsia="Times New Roman"/>
                <w:bCs/>
                <w:szCs w:val="24"/>
                <w:lang w:eastAsia="ru-RU"/>
              </w:rPr>
            </w:pPr>
            <w:r w:rsidRPr="00E96FDD">
              <w:rPr>
                <w:rFonts w:eastAsia="Times New Roman"/>
                <w:bCs/>
                <w:szCs w:val="24"/>
                <w:lang w:eastAsia="ru-RU"/>
              </w:rPr>
              <w:t>n</w:t>
            </w:r>
          </w:p>
        </w:tc>
        <w:tc>
          <w:tcPr>
            <w:tcW w:w="1083" w:type="pct"/>
            <w:hideMark/>
          </w:tcPr>
          <w:p w14:paraId="675AEEE5" w14:textId="77777777" w:rsidR="000C1190" w:rsidRPr="00E96FDD" w:rsidRDefault="000C1190" w:rsidP="002F33D0">
            <w:pPr>
              <w:ind w:firstLine="0"/>
              <w:jc w:val="center"/>
              <w:rPr>
                <w:rFonts w:eastAsia="Times New Roman"/>
                <w:bCs/>
                <w:szCs w:val="24"/>
                <w:lang w:eastAsia="ru-RU"/>
              </w:rPr>
            </w:pPr>
            <w:r w:rsidRPr="00E96FDD">
              <w:rPr>
                <w:rFonts w:eastAsia="Times New Roman"/>
                <w:bCs/>
                <w:szCs w:val="24"/>
                <w:lang w:eastAsia="ru-RU"/>
              </w:rPr>
              <w:t>Среднее</w:t>
            </w:r>
          </w:p>
        </w:tc>
        <w:tc>
          <w:tcPr>
            <w:tcW w:w="1000" w:type="pct"/>
            <w:hideMark/>
          </w:tcPr>
          <w:p w14:paraId="268BA946" w14:textId="2122F1F5" w:rsidR="000C1190" w:rsidRPr="0018767C" w:rsidRDefault="0018767C" w:rsidP="002F33D0">
            <w:pPr>
              <w:ind w:firstLine="0"/>
              <w:jc w:val="center"/>
              <w:rPr>
                <w:rFonts w:eastAsia="Times New Roman"/>
                <w:bCs/>
                <w:szCs w:val="24"/>
                <w:lang w:val="kk-KZ" w:eastAsia="ru-RU"/>
              </w:rPr>
            </w:pPr>
            <w:r>
              <w:rPr>
                <w:rFonts w:eastAsia="Times New Roman"/>
                <w:bCs/>
                <w:szCs w:val="24"/>
                <w:lang w:val="kk-KZ" w:eastAsia="ru-RU"/>
              </w:rPr>
              <w:t>Станд. откл.</w:t>
            </w:r>
          </w:p>
        </w:tc>
        <w:tc>
          <w:tcPr>
            <w:tcW w:w="1060" w:type="pct"/>
            <w:hideMark/>
          </w:tcPr>
          <w:p w14:paraId="56E9B35A" w14:textId="77777777" w:rsidR="000C1190" w:rsidRPr="00E96FDD" w:rsidRDefault="000C1190" w:rsidP="002F33D0">
            <w:pPr>
              <w:ind w:firstLine="0"/>
              <w:jc w:val="center"/>
              <w:rPr>
                <w:rFonts w:eastAsia="Times New Roman"/>
                <w:bCs/>
                <w:szCs w:val="24"/>
                <w:lang w:eastAsia="ru-RU"/>
              </w:rPr>
            </w:pPr>
            <w:r w:rsidRPr="00E96FDD">
              <w:rPr>
                <w:rFonts w:eastAsia="Times New Roman"/>
                <w:bCs/>
                <w:szCs w:val="24"/>
                <w:lang w:eastAsia="ru-RU"/>
              </w:rPr>
              <w:t>Медиана</w:t>
            </w:r>
          </w:p>
        </w:tc>
      </w:tr>
      <w:tr w:rsidR="0018767C" w:rsidRPr="00E96FDD" w14:paraId="676C8837" w14:textId="77777777" w:rsidTr="0018767C">
        <w:tc>
          <w:tcPr>
            <w:tcW w:w="1259" w:type="pct"/>
            <w:hideMark/>
          </w:tcPr>
          <w:p w14:paraId="31181710" w14:textId="77777777" w:rsidR="000C1190" w:rsidRPr="00E96FDD" w:rsidRDefault="000C1190" w:rsidP="002F33D0">
            <w:pPr>
              <w:ind w:firstLine="0"/>
              <w:jc w:val="both"/>
              <w:rPr>
                <w:rFonts w:eastAsia="Times New Roman"/>
                <w:szCs w:val="24"/>
                <w:lang w:eastAsia="ru-RU"/>
              </w:rPr>
            </w:pPr>
            <w:r w:rsidRPr="00E96FDD">
              <w:rPr>
                <w:rFonts w:eastAsia="Times New Roman"/>
                <w:szCs w:val="24"/>
                <w:lang w:eastAsia="ru-RU"/>
              </w:rPr>
              <w:t>Крупные</w:t>
            </w:r>
          </w:p>
        </w:tc>
        <w:tc>
          <w:tcPr>
            <w:tcW w:w="598" w:type="pct"/>
            <w:hideMark/>
          </w:tcPr>
          <w:p w14:paraId="043988D3"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19</w:t>
            </w:r>
          </w:p>
        </w:tc>
        <w:tc>
          <w:tcPr>
            <w:tcW w:w="1083" w:type="pct"/>
            <w:hideMark/>
          </w:tcPr>
          <w:p w14:paraId="2E42A91F"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3,89</w:t>
            </w:r>
          </w:p>
        </w:tc>
        <w:tc>
          <w:tcPr>
            <w:tcW w:w="1000" w:type="pct"/>
            <w:hideMark/>
          </w:tcPr>
          <w:p w14:paraId="4E5ED304"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0,94</w:t>
            </w:r>
          </w:p>
        </w:tc>
        <w:tc>
          <w:tcPr>
            <w:tcW w:w="1060" w:type="pct"/>
            <w:hideMark/>
          </w:tcPr>
          <w:p w14:paraId="26D2289B"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4</w:t>
            </w:r>
          </w:p>
        </w:tc>
      </w:tr>
      <w:tr w:rsidR="0018767C" w:rsidRPr="00E96FDD" w14:paraId="087B7EE0" w14:textId="77777777" w:rsidTr="0018767C">
        <w:tc>
          <w:tcPr>
            <w:tcW w:w="1259" w:type="pct"/>
            <w:hideMark/>
          </w:tcPr>
          <w:p w14:paraId="49B291E0" w14:textId="77777777" w:rsidR="000C1190" w:rsidRPr="00E96FDD" w:rsidRDefault="000C1190" w:rsidP="002F33D0">
            <w:pPr>
              <w:ind w:firstLine="0"/>
              <w:jc w:val="both"/>
              <w:rPr>
                <w:rFonts w:eastAsia="Times New Roman"/>
                <w:szCs w:val="24"/>
                <w:lang w:eastAsia="ru-RU"/>
              </w:rPr>
            </w:pPr>
            <w:r w:rsidRPr="00E96FDD">
              <w:rPr>
                <w:rFonts w:eastAsia="Times New Roman"/>
                <w:szCs w:val="24"/>
                <w:lang w:eastAsia="ru-RU"/>
              </w:rPr>
              <w:t>Средние</w:t>
            </w:r>
          </w:p>
        </w:tc>
        <w:tc>
          <w:tcPr>
            <w:tcW w:w="598" w:type="pct"/>
            <w:hideMark/>
          </w:tcPr>
          <w:p w14:paraId="62932DCB"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33</w:t>
            </w:r>
          </w:p>
        </w:tc>
        <w:tc>
          <w:tcPr>
            <w:tcW w:w="1083" w:type="pct"/>
            <w:hideMark/>
          </w:tcPr>
          <w:p w14:paraId="4350A268"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3,48</w:t>
            </w:r>
          </w:p>
        </w:tc>
        <w:tc>
          <w:tcPr>
            <w:tcW w:w="1000" w:type="pct"/>
            <w:hideMark/>
          </w:tcPr>
          <w:p w14:paraId="07734B92"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1,03</w:t>
            </w:r>
          </w:p>
        </w:tc>
        <w:tc>
          <w:tcPr>
            <w:tcW w:w="1060" w:type="pct"/>
            <w:hideMark/>
          </w:tcPr>
          <w:p w14:paraId="6D26E712"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4</w:t>
            </w:r>
          </w:p>
        </w:tc>
      </w:tr>
      <w:tr w:rsidR="0018767C" w:rsidRPr="00E96FDD" w14:paraId="7EC6D311" w14:textId="77777777" w:rsidTr="0018767C">
        <w:tc>
          <w:tcPr>
            <w:tcW w:w="1259" w:type="pct"/>
            <w:hideMark/>
          </w:tcPr>
          <w:p w14:paraId="04BF090E" w14:textId="77777777" w:rsidR="000C1190" w:rsidRPr="00E96FDD" w:rsidRDefault="000C1190" w:rsidP="002F33D0">
            <w:pPr>
              <w:ind w:firstLine="0"/>
              <w:jc w:val="both"/>
              <w:rPr>
                <w:rFonts w:eastAsia="Times New Roman"/>
                <w:szCs w:val="24"/>
                <w:lang w:eastAsia="ru-RU"/>
              </w:rPr>
            </w:pPr>
            <w:r w:rsidRPr="00E96FDD">
              <w:rPr>
                <w:rFonts w:eastAsia="Times New Roman"/>
                <w:szCs w:val="24"/>
                <w:lang w:eastAsia="ru-RU"/>
              </w:rPr>
              <w:t>Малые</w:t>
            </w:r>
          </w:p>
        </w:tc>
        <w:tc>
          <w:tcPr>
            <w:tcW w:w="598" w:type="pct"/>
            <w:hideMark/>
          </w:tcPr>
          <w:p w14:paraId="2FCB21F9"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69</w:t>
            </w:r>
          </w:p>
        </w:tc>
        <w:tc>
          <w:tcPr>
            <w:tcW w:w="1083" w:type="pct"/>
            <w:hideMark/>
          </w:tcPr>
          <w:p w14:paraId="1EE316AA"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3,55</w:t>
            </w:r>
          </w:p>
        </w:tc>
        <w:tc>
          <w:tcPr>
            <w:tcW w:w="1000" w:type="pct"/>
            <w:hideMark/>
          </w:tcPr>
          <w:p w14:paraId="08E93CFF"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1,05</w:t>
            </w:r>
          </w:p>
        </w:tc>
        <w:tc>
          <w:tcPr>
            <w:tcW w:w="1060" w:type="pct"/>
            <w:hideMark/>
          </w:tcPr>
          <w:p w14:paraId="76D5AFD1"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3</w:t>
            </w:r>
          </w:p>
        </w:tc>
      </w:tr>
      <w:tr w:rsidR="00443C38" w:rsidRPr="00E96FDD" w14:paraId="4CDD995D" w14:textId="77777777" w:rsidTr="00443C38">
        <w:tc>
          <w:tcPr>
            <w:tcW w:w="5000" w:type="pct"/>
            <w:gridSpan w:val="5"/>
          </w:tcPr>
          <w:p w14:paraId="1D7FDA12" w14:textId="781940EA" w:rsidR="00443C38" w:rsidRPr="00443C38" w:rsidRDefault="00443C38" w:rsidP="000F3C80">
            <w:pPr>
              <w:ind w:firstLine="459"/>
              <w:rPr>
                <w:rFonts w:eastAsia="Times New Roman"/>
                <w:szCs w:val="24"/>
                <w:lang w:val="kk-KZ" w:eastAsia="ru-RU"/>
              </w:rPr>
            </w:pPr>
            <w:r w:rsidRPr="00EE311D">
              <w:rPr>
                <w:rFonts w:eastAsia="Times New Roman"/>
                <w:szCs w:val="24"/>
                <w:lang w:val="kk-KZ" w:eastAsia="ru-RU"/>
              </w:rPr>
              <w:t xml:space="preserve">Примечание – </w:t>
            </w:r>
            <w:r w:rsidR="000F3C80" w:rsidRPr="00EE311D">
              <w:rPr>
                <w:rFonts w:eastAsia="Times New Roman"/>
                <w:szCs w:val="24"/>
                <w:lang w:val="kk-KZ" w:eastAsia="ru-RU"/>
              </w:rPr>
              <w:t>С</w:t>
            </w:r>
            <w:r w:rsidRPr="00EE311D">
              <w:rPr>
                <w:rFonts w:eastAsia="Times New Roman"/>
                <w:szCs w:val="24"/>
                <w:lang w:val="kk-KZ" w:eastAsia="ru-RU"/>
              </w:rPr>
              <w:t>оставлено автором</w:t>
            </w:r>
          </w:p>
        </w:tc>
      </w:tr>
    </w:tbl>
    <w:p w14:paraId="2C9C33FB" w14:textId="77777777" w:rsidR="000C1190" w:rsidRPr="000C1190" w:rsidRDefault="000C1190" w:rsidP="002F33D0">
      <w:pPr>
        <w:spacing w:after="0" w:line="240" w:lineRule="auto"/>
        <w:ind w:firstLine="567"/>
        <w:jc w:val="both"/>
        <w:rPr>
          <w:rFonts w:ascii="Times New Roman" w:hAnsi="Times New Roman" w:cs="Times New Roman"/>
          <w:sz w:val="28"/>
          <w:szCs w:val="28"/>
        </w:rPr>
      </w:pPr>
    </w:p>
    <w:p w14:paraId="7F82E0F2" w14:textId="67560748" w:rsidR="000C1190" w:rsidRPr="00443C38"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rPr>
        <w:t xml:space="preserve"> При этом наибольшие значения зафиксированы у крупных предприятий, тогда как малые компании оценивают взаимодействие с государственными институтами несколько ниже. Статистическая проверка с использованием критерия Kruskal</w:t>
      </w:r>
      <w:r w:rsidR="009A548D">
        <w:rPr>
          <w:rFonts w:ascii="Times New Roman" w:hAnsi="Times New Roman" w:cs="Times New Roman"/>
          <w:sz w:val="28"/>
          <w:szCs w:val="28"/>
          <w:lang w:val="kk-KZ"/>
        </w:rPr>
        <w:t>-</w:t>
      </w:r>
      <w:r w:rsidRPr="000C1190">
        <w:rPr>
          <w:rFonts w:ascii="Times New Roman" w:hAnsi="Times New Roman" w:cs="Times New Roman"/>
          <w:sz w:val="28"/>
          <w:szCs w:val="28"/>
        </w:rPr>
        <w:t>Wallis подтвердила наличие значимых различий (</w:t>
      </w:r>
      <w:r w:rsidR="00443C38" w:rsidRPr="00443C38">
        <w:rPr>
          <w:rFonts w:ascii="Times New Roman" w:hAnsi="Times New Roman" w:cs="Times New Roman"/>
          <w:i/>
          <w:sz w:val="28"/>
          <w:szCs w:val="28"/>
          <w:lang w:val="kk-KZ"/>
        </w:rPr>
        <w:t>х</w:t>
      </w:r>
      <w:r w:rsidR="00443C38" w:rsidRPr="00443C38">
        <w:rPr>
          <w:rFonts w:ascii="Times New Roman" w:hAnsi="Times New Roman" w:cs="Times New Roman"/>
          <w:sz w:val="28"/>
          <w:szCs w:val="28"/>
          <w:vertAlign w:val="superscript"/>
          <w:lang w:val="kk-KZ"/>
        </w:rPr>
        <w:t>2</w:t>
      </w:r>
      <w:r w:rsidR="00443C38">
        <w:rPr>
          <w:rFonts w:ascii="Times New Roman" w:hAnsi="Times New Roman" w:cs="Times New Roman"/>
          <w:sz w:val="28"/>
          <w:szCs w:val="28"/>
        </w:rPr>
        <w:t xml:space="preserve"> = 14,5; p</w:t>
      </w:r>
      <w:r w:rsidRPr="000C1190">
        <w:rPr>
          <w:rFonts w:ascii="Times New Roman" w:hAnsi="Times New Roman" w:cs="Times New Roman"/>
          <w:sz w:val="28"/>
          <w:szCs w:val="28"/>
        </w:rPr>
        <w:t>&lt;0,001): малые предприятия продемонстрировали достоверно более низкий уровень удовлетворённости по сравнению с крупными (p = 0,004) и средними (p = 0,017). Различий между средними и крупными организациями выявлено не было. Эти результаты отражают наличие институциональных барьеров именно для малых предпринимательских структур, которые, даже получая поддержку, сталкиваются с более высокими издержками взаимодействия и ограниченными эффектами от участия. Следовательно, наряду с самим фактом вовлечения, для оценки реальной эффективности программ поддержки необходимо учитывать и субъективное восприятие их качества, что напрямую связано с уровнем информированности о доступных инструментах.</w:t>
      </w:r>
      <w:r w:rsidR="00443C38">
        <w:rPr>
          <w:rFonts w:ascii="Times New Roman" w:hAnsi="Times New Roman" w:cs="Times New Roman"/>
          <w:sz w:val="28"/>
          <w:szCs w:val="28"/>
          <w:lang w:val="kk-KZ"/>
        </w:rPr>
        <w:t xml:space="preserve"> </w:t>
      </w:r>
    </w:p>
    <w:p w14:paraId="5AFCB007" w14:textId="0F8671AE" w:rsidR="000C1190" w:rsidRDefault="00FE65D3"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Как показывают данные таблицы </w:t>
      </w:r>
      <w:r>
        <w:rPr>
          <w:rFonts w:ascii="Times New Roman" w:hAnsi="Times New Roman" w:cs="Times New Roman"/>
          <w:sz w:val="28"/>
          <w:szCs w:val="28"/>
          <w:lang w:val="kk-KZ"/>
        </w:rPr>
        <w:t>25</w:t>
      </w:r>
      <w:r w:rsidRPr="000C1190">
        <w:rPr>
          <w:rFonts w:ascii="Times New Roman" w:hAnsi="Times New Roman" w:cs="Times New Roman"/>
          <w:sz w:val="28"/>
          <w:szCs w:val="28"/>
        </w:rPr>
        <w:t xml:space="preserve">, уровень информированности о программах государственной поддержки существенно различается в зависимости от масштаба бизнеса. </w:t>
      </w:r>
    </w:p>
    <w:p w14:paraId="62AF6650" w14:textId="77777777" w:rsidR="00FE65D3" w:rsidRPr="000C1190" w:rsidRDefault="00FE65D3" w:rsidP="002F33D0">
      <w:pPr>
        <w:spacing w:after="0" w:line="240" w:lineRule="auto"/>
        <w:ind w:firstLine="567"/>
        <w:jc w:val="both"/>
        <w:rPr>
          <w:rFonts w:ascii="Times New Roman" w:hAnsi="Times New Roman" w:cs="Times New Roman"/>
          <w:sz w:val="28"/>
          <w:szCs w:val="28"/>
        </w:rPr>
      </w:pPr>
    </w:p>
    <w:p w14:paraId="2AF9F029" w14:textId="7DA606ED" w:rsidR="000C1190" w:rsidRDefault="000C1190" w:rsidP="002F33D0">
      <w:pPr>
        <w:spacing w:after="0" w:line="240" w:lineRule="auto"/>
        <w:jc w:val="both"/>
        <w:rPr>
          <w:rFonts w:ascii="Times New Roman" w:hAnsi="Times New Roman" w:cs="Times New Roman"/>
          <w:sz w:val="28"/>
          <w:szCs w:val="28"/>
        </w:rPr>
      </w:pPr>
      <w:r w:rsidRPr="000C1190">
        <w:rPr>
          <w:rFonts w:ascii="Times New Roman" w:hAnsi="Times New Roman" w:cs="Times New Roman"/>
          <w:sz w:val="28"/>
          <w:szCs w:val="28"/>
        </w:rPr>
        <w:t xml:space="preserve">Таблица </w:t>
      </w:r>
      <w:r w:rsidR="00FE65D3">
        <w:rPr>
          <w:rFonts w:ascii="Times New Roman" w:hAnsi="Times New Roman" w:cs="Times New Roman"/>
          <w:sz w:val="28"/>
          <w:szCs w:val="28"/>
          <w:lang w:val="kk-KZ"/>
        </w:rPr>
        <w:t>25</w:t>
      </w:r>
      <w:r w:rsidR="00E96FDD" w:rsidRPr="000C1190">
        <w:rPr>
          <w:rFonts w:ascii="Times New Roman" w:hAnsi="Times New Roman" w:cs="Times New Roman"/>
          <w:sz w:val="28"/>
          <w:szCs w:val="28"/>
          <w:lang w:val="kk-KZ"/>
        </w:rPr>
        <w:t xml:space="preserve"> – </w:t>
      </w:r>
      <w:r w:rsidRPr="000C1190">
        <w:rPr>
          <w:rFonts w:ascii="Times New Roman" w:hAnsi="Times New Roman" w:cs="Times New Roman"/>
          <w:sz w:val="28"/>
          <w:szCs w:val="28"/>
        </w:rPr>
        <w:t>Индекс информированности по размерам</w:t>
      </w:r>
    </w:p>
    <w:p w14:paraId="6564AF00" w14:textId="77777777" w:rsidR="00FE65D3" w:rsidRPr="00FE65D3" w:rsidRDefault="00FE65D3" w:rsidP="002F33D0">
      <w:pPr>
        <w:spacing w:after="0" w:line="240" w:lineRule="auto"/>
        <w:jc w:val="both"/>
        <w:rPr>
          <w:rFonts w:ascii="Times New Roman" w:hAnsi="Times New Roman" w:cs="Times New Roman"/>
          <w:sz w:val="20"/>
          <w:szCs w:val="20"/>
        </w:rPr>
      </w:pPr>
    </w:p>
    <w:tbl>
      <w:tblPr>
        <w:tblStyle w:val="a5"/>
        <w:tblW w:w="5000" w:type="pct"/>
        <w:tblLook w:val="04A0" w:firstRow="1" w:lastRow="0" w:firstColumn="1" w:lastColumn="0" w:noHBand="0" w:noVBand="1"/>
      </w:tblPr>
      <w:tblGrid>
        <w:gridCol w:w="2325"/>
        <w:gridCol w:w="7020"/>
      </w:tblGrid>
      <w:tr w:rsidR="000C1190" w:rsidRPr="00E96FDD" w14:paraId="15DCC145" w14:textId="77777777" w:rsidTr="000C1190">
        <w:tc>
          <w:tcPr>
            <w:tcW w:w="1244" w:type="pct"/>
            <w:hideMark/>
          </w:tcPr>
          <w:p w14:paraId="517F12C9" w14:textId="77777777" w:rsidR="000C1190" w:rsidRPr="00E96FDD" w:rsidRDefault="000C1190" w:rsidP="002F33D0">
            <w:pPr>
              <w:ind w:firstLine="0"/>
              <w:jc w:val="center"/>
              <w:rPr>
                <w:rFonts w:eastAsia="Times New Roman"/>
                <w:bCs/>
                <w:szCs w:val="24"/>
                <w:lang w:eastAsia="ru-RU"/>
              </w:rPr>
            </w:pPr>
            <w:r w:rsidRPr="00E96FDD">
              <w:rPr>
                <w:rFonts w:eastAsia="Times New Roman"/>
                <w:bCs/>
                <w:szCs w:val="24"/>
                <w:lang w:eastAsia="ru-RU"/>
              </w:rPr>
              <w:t>Размер</w:t>
            </w:r>
          </w:p>
        </w:tc>
        <w:tc>
          <w:tcPr>
            <w:tcW w:w="3756" w:type="pct"/>
            <w:hideMark/>
          </w:tcPr>
          <w:p w14:paraId="13008436" w14:textId="77777777" w:rsidR="000C1190" w:rsidRPr="00E96FDD" w:rsidRDefault="000C1190" w:rsidP="002F33D0">
            <w:pPr>
              <w:ind w:firstLine="0"/>
              <w:jc w:val="center"/>
              <w:rPr>
                <w:rFonts w:eastAsia="Times New Roman"/>
                <w:bCs/>
                <w:szCs w:val="24"/>
                <w:lang w:eastAsia="ru-RU"/>
              </w:rPr>
            </w:pPr>
            <w:r w:rsidRPr="00E96FDD">
              <w:rPr>
                <w:rFonts w:eastAsia="Times New Roman"/>
                <w:bCs/>
                <w:szCs w:val="24"/>
                <w:lang w:eastAsia="ru-RU"/>
              </w:rPr>
              <w:t>Среднее известных программ</w:t>
            </w:r>
          </w:p>
        </w:tc>
      </w:tr>
      <w:tr w:rsidR="000C1190" w:rsidRPr="00E96FDD" w14:paraId="3934CCF3" w14:textId="77777777" w:rsidTr="000C1190">
        <w:tc>
          <w:tcPr>
            <w:tcW w:w="1244" w:type="pct"/>
            <w:hideMark/>
          </w:tcPr>
          <w:p w14:paraId="50EF29A4" w14:textId="77777777" w:rsidR="000C1190" w:rsidRPr="00E96FDD" w:rsidRDefault="000C1190" w:rsidP="002F33D0">
            <w:pPr>
              <w:ind w:firstLine="0"/>
              <w:jc w:val="both"/>
              <w:rPr>
                <w:rFonts w:eastAsia="Times New Roman"/>
                <w:szCs w:val="24"/>
                <w:lang w:eastAsia="ru-RU"/>
              </w:rPr>
            </w:pPr>
            <w:r w:rsidRPr="00E96FDD">
              <w:rPr>
                <w:rFonts w:eastAsia="Times New Roman"/>
                <w:szCs w:val="24"/>
                <w:lang w:eastAsia="ru-RU"/>
              </w:rPr>
              <w:t>Крупные</w:t>
            </w:r>
          </w:p>
        </w:tc>
        <w:tc>
          <w:tcPr>
            <w:tcW w:w="3756" w:type="pct"/>
            <w:hideMark/>
          </w:tcPr>
          <w:p w14:paraId="021D4D8D"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4,9</w:t>
            </w:r>
          </w:p>
        </w:tc>
      </w:tr>
      <w:tr w:rsidR="000C1190" w:rsidRPr="00E96FDD" w14:paraId="05E96E5F" w14:textId="77777777" w:rsidTr="000C1190">
        <w:tc>
          <w:tcPr>
            <w:tcW w:w="1244" w:type="pct"/>
            <w:hideMark/>
          </w:tcPr>
          <w:p w14:paraId="39A75EFF" w14:textId="77777777" w:rsidR="000C1190" w:rsidRPr="00E96FDD" w:rsidRDefault="000C1190" w:rsidP="002F33D0">
            <w:pPr>
              <w:ind w:firstLine="0"/>
              <w:jc w:val="both"/>
              <w:rPr>
                <w:rFonts w:eastAsia="Times New Roman"/>
                <w:szCs w:val="24"/>
                <w:lang w:eastAsia="ru-RU"/>
              </w:rPr>
            </w:pPr>
            <w:r w:rsidRPr="00E96FDD">
              <w:rPr>
                <w:rFonts w:eastAsia="Times New Roman"/>
                <w:szCs w:val="24"/>
                <w:lang w:eastAsia="ru-RU"/>
              </w:rPr>
              <w:t>Средние</w:t>
            </w:r>
          </w:p>
        </w:tc>
        <w:tc>
          <w:tcPr>
            <w:tcW w:w="3756" w:type="pct"/>
            <w:hideMark/>
          </w:tcPr>
          <w:p w14:paraId="64F42983"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3,5</w:t>
            </w:r>
          </w:p>
        </w:tc>
      </w:tr>
      <w:tr w:rsidR="000C1190" w:rsidRPr="00E96FDD" w14:paraId="4F2E5376" w14:textId="77777777" w:rsidTr="000C1190">
        <w:tc>
          <w:tcPr>
            <w:tcW w:w="1244" w:type="pct"/>
            <w:hideMark/>
          </w:tcPr>
          <w:p w14:paraId="673BD593" w14:textId="77777777" w:rsidR="000C1190" w:rsidRPr="00E96FDD" w:rsidRDefault="000C1190" w:rsidP="002F33D0">
            <w:pPr>
              <w:ind w:firstLine="0"/>
              <w:jc w:val="both"/>
              <w:rPr>
                <w:rFonts w:eastAsia="Times New Roman"/>
                <w:szCs w:val="24"/>
                <w:lang w:eastAsia="ru-RU"/>
              </w:rPr>
            </w:pPr>
            <w:r w:rsidRPr="00E96FDD">
              <w:rPr>
                <w:rFonts w:eastAsia="Times New Roman"/>
                <w:szCs w:val="24"/>
                <w:lang w:eastAsia="ru-RU"/>
              </w:rPr>
              <w:t>Малые</w:t>
            </w:r>
          </w:p>
        </w:tc>
        <w:tc>
          <w:tcPr>
            <w:tcW w:w="3756" w:type="pct"/>
            <w:hideMark/>
          </w:tcPr>
          <w:p w14:paraId="7D7D68E7" w14:textId="77777777" w:rsidR="000C1190" w:rsidRPr="00E96FDD" w:rsidRDefault="000C1190" w:rsidP="002F33D0">
            <w:pPr>
              <w:ind w:firstLine="0"/>
              <w:jc w:val="center"/>
              <w:rPr>
                <w:rFonts w:eastAsia="Times New Roman"/>
                <w:szCs w:val="24"/>
                <w:lang w:eastAsia="ru-RU"/>
              </w:rPr>
            </w:pPr>
            <w:r w:rsidRPr="00E96FDD">
              <w:rPr>
                <w:rFonts w:eastAsia="Times New Roman"/>
                <w:szCs w:val="24"/>
                <w:lang w:eastAsia="ru-RU"/>
              </w:rPr>
              <w:t>3,3</w:t>
            </w:r>
          </w:p>
        </w:tc>
      </w:tr>
      <w:tr w:rsidR="00FE65D3" w:rsidRPr="00E96FDD" w14:paraId="301DB25D" w14:textId="77777777" w:rsidTr="00FE65D3">
        <w:tc>
          <w:tcPr>
            <w:tcW w:w="5000" w:type="pct"/>
            <w:gridSpan w:val="2"/>
          </w:tcPr>
          <w:p w14:paraId="6FA88C5D" w14:textId="7061B515" w:rsidR="00FE65D3" w:rsidRPr="00E96FDD" w:rsidRDefault="00FE65D3" w:rsidP="000F3C80">
            <w:pPr>
              <w:ind w:firstLine="459"/>
              <w:rPr>
                <w:rFonts w:eastAsia="Times New Roman"/>
                <w:szCs w:val="24"/>
                <w:lang w:eastAsia="ru-RU"/>
              </w:rPr>
            </w:pPr>
            <w:r w:rsidRPr="00EE311D">
              <w:rPr>
                <w:rFonts w:eastAsia="Times New Roman"/>
                <w:szCs w:val="24"/>
                <w:lang w:val="kk-KZ" w:eastAsia="ru-RU"/>
              </w:rPr>
              <w:t xml:space="preserve">Примечание – </w:t>
            </w:r>
            <w:r w:rsidR="000F3C80" w:rsidRPr="00EE311D">
              <w:rPr>
                <w:rFonts w:eastAsia="Times New Roman"/>
                <w:szCs w:val="24"/>
                <w:lang w:val="kk-KZ" w:eastAsia="ru-RU"/>
              </w:rPr>
              <w:t>С</w:t>
            </w:r>
            <w:r w:rsidRPr="00EE311D">
              <w:rPr>
                <w:rFonts w:eastAsia="Times New Roman"/>
                <w:szCs w:val="24"/>
                <w:lang w:val="kk-KZ" w:eastAsia="ru-RU"/>
              </w:rPr>
              <w:t>оставлено автором</w:t>
            </w:r>
          </w:p>
        </w:tc>
      </w:tr>
    </w:tbl>
    <w:p w14:paraId="3F44C549" w14:textId="77777777" w:rsidR="000C1190" w:rsidRPr="000C1190" w:rsidRDefault="000C1190" w:rsidP="002F33D0">
      <w:pPr>
        <w:spacing w:after="0" w:line="240" w:lineRule="auto"/>
        <w:ind w:firstLine="567"/>
        <w:jc w:val="both"/>
        <w:rPr>
          <w:rFonts w:ascii="Times New Roman" w:hAnsi="Times New Roman" w:cs="Times New Roman"/>
          <w:sz w:val="28"/>
          <w:szCs w:val="28"/>
        </w:rPr>
      </w:pPr>
    </w:p>
    <w:p w14:paraId="4C515F2E" w14:textId="69A7E00E"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Крупные предприятия в среднем знают о 4,9 </w:t>
      </w:r>
      <w:r w:rsidR="00E96FDD">
        <w:rPr>
          <w:rFonts w:ascii="Times New Roman" w:hAnsi="Times New Roman" w:cs="Times New Roman"/>
          <w:sz w:val="28"/>
          <w:szCs w:val="28"/>
          <w:lang w:val="kk-KZ"/>
        </w:rPr>
        <w:t xml:space="preserve">из 8 </w:t>
      </w:r>
      <w:r w:rsidR="00E96FDD">
        <w:rPr>
          <w:rFonts w:ascii="Times New Roman" w:hAnsi="Times New Roman" w:cs="Times New Roman"/>
          <w:sz w:val="28"/>
          <w:szCs w:val="28"/>
        </w:rPr>
        <w:t>программ</w:t>
      </w:r>
      <w:r w:rsidRPr="000C1190">
        <w:rPr>
          <w:rFonts w:ascii="Times New Roman" w:hAnsi="Times New Roman" w:cs="Times New Roman"/>
          <w:sz w:val="28"/>
          <w:szCs w:val="28"/>
        </w:rPr>
        <w:t xml:space="preserve">, тогда как для среднего значения индекса составляет 3,5, а для малых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3,3. Критерий Kruskal–Wallis (</w:t>
      </w:r>
      <w:r w:rsidR="00FE65D3" w:rsidRPr="00443C38">
        <w:rPr>
          <w:rFonts w:ascii="Times New Roman" w:hAnsi="Times New Roman" w:cs="Times New Roman"/>
          <w:i/>
          <w:sz w:val="28"/>
          <w:szCs w:val="28"/>
          <w:lang w:val="kk-KZ"/>
        </w:rPr>
        <w:t>х</w:t>
      </w:r>
      <w:r w:rsidR="00FE65D3" w:rsidRPr="00443C38">
        <w:rPr>
          <w:rFonts w:ascii="Times New Roman" w:hAnsi="Times New Roman" w:cs="Times New Roman"/>
          <w:sz w:val="28"/>
          <w:szCs w:val="28"/>
          <w:vertAlign w:val="superscript"/>
          <w:lang w:val="kk-KZ"/>
        </w:rPr>
        <w:t>2</w:t>
      </w:r>
      <w:r w:rsidR="00FE65D3">
        <w:rPr>
          <w:rFonts w:ascii="Times New Roman" w:hAnsi="Times New Roman" w:cs="Times New Roman"/>
          <w:sz w:val="28"/>
          <w:szCs w:val="28"/>
          <w:vertAlign w:val="superscript"/>
          <w:lang w:val="kk-KZ"/>
        </w:rPr>
        <w:t xml:space="preserve"> </w:t>
      </w:r>
      <w:r w:rsidR="00FE65D3">
        <w:rPr>
          <w:rFonts w:ascii="Times New Roman" w:hAnsi="Times New Roman" w:cs="Times New Roman"/>
          <w:sz w:val="28"/>
          <w:szCs w:val="28"/>
        </w:rPr>
        <w:t>=62,7; p</w:t>
      </w:r>
      <w:r w:rsidRPr="000C1190">
        <w:rPr>
          <w:rFonts w:ascii="Times New Roman" w:hAnsi="Times New Roman" w:cs="Times New Roman"/>
          <w:sz w:val="28"/>
          <w:szCs w:val="28"/>
        </w:rPr>
        <w:t>&lt;0,001) подтвердил наличие статистически значимых различий: крупные компании демонстрируют заметно более высокий уровень осведомлённости, тогда как между малыми и средними предприятиями значимых различий не выявлено. Это позволяет сделать вывод, что доступ к информации о господдержке в большей степени сконцентрирован у крупных организаций, которые располагают более развитой институциональной инфраструктурой и кадровыми ресурсами для поиска и обработки таких данных. В то же время именно для малых компаний информационный барьер может становиться существенным ограничением не только для участия, но и для позитивного восприятия самой эффективности инструментов поддержки.</w:t>
      </w:r>
    </w:p>
    <w:p w14:paraId="68BD437F" w14:textId="57265D93"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Однако важно учитывать, что часть респондентов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это предприятия, которые не участвовали в программах и не имеют опыта взаимодействия с ними. Для этой группы был проведён отдельный анализ, направленный на выявление факторов, которые могли бы мотивировать их в будущем обратиться к государственным инструментам поддержки.</w:t>
      </w:r>
    </w:p>
    <w:p w14:paraId="3FD34C88"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lastRenderedPageBreak/>
        <w:t>Следует подчеркнуть, что индекс мотивации рассчитывался только среди респондентов, не участвовавших в господдержке, поэтому его использование в общей модели носит ограниченный характер. Более корректным подходом является проведение двухэтапного анализа: сначала оценка вероятности участия для всей выборки, а затем анализ факторов мотивации только для подвыборки неучаствовавших предприятий. В настоящем исследовании показатель мотивации использован как дополнительная переменная, позволяющая подтвердить выявленные ранее тенденции.</w:t>
      </w:r>
    </w:p>
    <w:p w14:paraId="282BDEBD" w14:textId="1D50DF78"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rPr>
        <w:t>В рамках исследования были выделены девять возможных мотивационных стимулов</w:t>
      </w:r>
      <w:r w:rsidRPr="000C1190">
        <w:rPr>
          <w:rFonts w:ascii="Times New Roman" w:hAnsi="Times New Roman" w:cs="Times New Roman"/>
          <w:sz w:val="28"/>
          <w:szCs w:val="28"/>
          <w:lang w:val="kk-KZ"/>
        </w:rPr>
        <w:t xml:space="preserve">, которые представлены в таблице </w:t>
      </w:r>
      <w:r w:rsidR="00FE65D3">
        <w:rPr>
          <w:rFonts w:ascii="Times New Roman" w:hAnsi="Times New Roman" w:cs="Times New Roman"/>
          <w:sz w:val="28"/>
          <w:szCs w:val="28"/>
          <w:lang w:val="kk-KZ"/>
        </w:rPr>
        <w:t>26</w:t>
      </w:r>
      <w:r w:rsidRPr="000C1190">
        <w:rPr>
          <w:rFonts w:ascii="Times New Roman" w:hAnsi="Times New Roman" w:cs="Times New Roman"/>
          <w:sz w:val="28"/>
          <w:szCs w:val="28"/>
          <w:lang w:val="kk-KZ"/>
        </w:rPr>
        <w:t xml:space="preserve">. </w:t>
      </w:r>
    </w:p>
    <w:p w14:paraId="360CD0A0"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p>
    <w:p w14:paraId="24AC6D68" w14:textId="23D9E2AE" w:rsidR="000C1190" w:rsidRDefault="000C1190" w:rsidP="002F33D0">
      <w:pPr>
        <w:spacing w:after="0" w:line="240" w:lineRule="auto"/>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Таблица </w:t>
      </w:r>
      <w:r w:rsidR="00FE65D3">
        <w:rPr>
          <w:rFonts w:ascii="Times New Roman" w:hAnsi="Times New Roman" w:cs="Times New Roman"/>
          <w:sz w:val="28"/>
          <w:szCs w:val="28"/>
          <w:lang w:val="kk-KZ"/>
        </w:rPr>
        <w:t>26</w:t>
      </w:r>
      <w:r w:rsidRPr="000C1190">
        <w:rPr>
          <w:rFonts w:ascii="Times New Roman" w:hAnsi="Times New Roman" w:cs="Times New Roman"/>
          <w:sz w:val="28"/>
          <w:szCs w:val="28"/>
          <w:lang w:val="kk-KZ"/>
        </w:rPr>
        <w:t xml:space="preserve"> – Мотивационные факторы, которые могли бы стимулировать участие предприятий в программах господдержки (только неучаствовавшие, n=379)</w:t>
      </w:r>
    </w:p>
    <w:p w14:paraId="54120548" w14:textId="77777777" w:rsidR="00D610BE" w:rsidRPr="00FE65D3" w:rsidRDefault="00D610BE" w:rsidP="002F33D0">
      <w:pPr>
        <w:spacing w:after="0" w:line="240" w:lineRule="auto"/>
        <w:jc w:val="both"/>
        <w:rPr>
          <w:rFonts w:ascii="Times New Roman" w:hAnsi="Times New Roman" w:cs="Times New Roman"/>
          <w:sz w:val="20"/>
          <w:szCs w:val="20"/>
          <w:lang w:val="kk-KZ"/>
        </w:rPr>
      </w:pPr>
    </w:p>
    <w:tbl>
      <w:tblPr>
        <w:tblStyle w:val="a5"/>
        <w:tblW w:w="5000" w:type="pct"/>
        <w:tblLook w:val="04A0" w:firstRow="1" w:lastRow="0" w:firstColumn="1" w:lastColumn="0" w:noHBand="0" w:noVBand="1"/>
      </w:tblPr>
      <w:tblGrid>
        <w:gridCol w:w="2867"/>
        <w:gridCol w:w="1559"/>
        <w:gridCol w:w="1701"/>
        <w:gridCol w:w="1781"/>
        <w:gridCol w:w="1437"/>
      </w:tblGrid>
      <w:tr w:rsidR="000C1190" w:rsidRPr="000C1190" w14:paraId="296B0ED4" w14:textId="77777777" w:rsidTr="000C1190">
        <w:tc>
          <w:tcPr>
            <w:tcW w:w="1534" w:type="pct"/>
            <w:hideMark/>
          </w:tcPr>
          <w:p w14:paraId="05EDFC1C" w14:textId="77777777" w:rsidR="000C1190" w:rsidRPr="00D610BE" w:rsidRDefault="000C1190" w:rsidP="002F33D0">
            <w:pPr>
              <w:ind w:firstLine="0"/>
              <w:jc w:val="center"/>
              <w:rPr>
                <w:rFonts w:eastAsia="Times New Roman"/>
                <w:bCs/>
                <w:szCs w:val="24"/>
                <w:lang w:eastAsia="ru-RU"/>
              </w:rPr>
            </w:pPr>
            <w:r w:rsidRPr="00D610BE">
              <w:rPr>
                <w:rFonts w:eastAsia="Times New Roman"/>
                <w:bCs/>
                <w:szCs w:val="24"/>
                <w:lang w:eastAsia="ru-RU"/>
              </w:rPr>
              <w:t>Фактор мотивации</w:t>
            </w:r>
          </w:p>
        </w:tc>
        <w:tc>
          <w:tcPr>
            <w:tcW w:w="834" w:type="pct"/>
            <w:hideMark/>
          </w:tcPr>
          <w:p w14:paraId="15ED8309" w14:textId="77777777" w:rsidR="000C1190" w:rsidRPr="00D610BE" w:rsidRDefault="000C1190" w:rsidP="002F33D0">
            <w:pPr>
              <w:ind w:firstLine="0"/>
              <w:jc w:val="center"/>
              <w:rPr>
                <w:rFonts w:eastAsia="Times New Roman"/>
                <w:bCs/>
                <w:szCs w:val="24"/>
                <w:lang w:eastAsia="ru-RU"/>
              </w:rPr>
            </w:pPr>
            <w:r w:rsidRPr="00D610BE">
              <w:rPr>
                <w:rFonts w:eastAsia="Times New Roman"/>
                <w:bCs/>
                <w:szCs w:val="24"/>
                <w:lang w:eastAsia="ru-RU"/>
              </w:rPr>
              <w:t>Малые (%)</w:t>
            </w:r>
          </w:p>
        </w:tc>
        <w:tc>
          <w:tcPr>
            <w:tcW w:w="910" w:type="pct"/>
            <w:hideMark/>
          </w:tcPr>
          <w:p w14:paraId="53C8A0F9" w14:textId="77777777" w:rsidR="000C1190" w:rsidRPr="00D610BE" w:rsidRDefault="000C1190" w:rsidP="002F33D0">
            <w:pPr>
              <w:ind w:firstLine="0"/>
              <w:jc w:val="center"/>
              <w:rPr>
                <w:rFonts w:eastAsia="Times New Roman"/>
                <w:bCs/>
                <w:szCs w:val="24"/>
                <w:lang w:eastAsia="ru-RU"/>
              </w:rPr>
            </w:pPr>
            <w:r w:rsidRPr="00D610BE">
              <w:rPr>
                <w:rFonts w:eastAsia="Times New Roman"/>
                <w:bCs/>
                <w:szCs w:val="24"/>
                <w:lang w:eastAsia="ru-RU"/>
              </w:rPr>
              <w:t>Средние (%)</w:t>
            </w:r>
          </w:p>
        </w:tc>
        <w:tc>
          <w:tcPr>
            <w:tcW w:w="953" w:type="pct"/>
            <w:hideMark/>
          </w:tcPr>
          <w:p w14:paraId="52D44CD8" w14:textId="77777777" w:rsidR="000C1190" w:rsidRPr="00D610BE" w:rsidRDefault="000C1190" w:rsidP="002F33D0">
            <w:pPr>
              <w:ind w:firstLine="0"/>
              <w:jc w:val="center"/>
              <w:rPr>
                <w:rFonts w:eastAsia="Times New Roman"/>
                <w:bCs/>
                <w:szCs w:val="24"/>
                <w:lang w:eastAsia="ru-RU"/>
              </w:rPr>
            </w:pPr>
            <w:r w:rsidRPr="00D610BE">
              <w:rPr>
                <w:rFonts w:eastAsia="Times New Roman"/>
                <w:bCs/>
                <w:szCs w:val="24"/>
                <w:lang w:eastAsia="ru-RU"/>
              </w:rPr>
              <w:t>Крупные (%)</w:t>
            </w:r>
          </w:p>
        </w:tc>
        <w:tc>
          <w:tcPr>
            <w:tcW w:w="769" w:type="pct"/>
            <w:hideMark/>
          </w:tcPr>
          <w:p w14:paraId="3594D2E3" w14:textId="77777777" w:rsidR="000C1190" w:rsidRPr="00D610BE" w:rsidRDefault="000C1190" w:rsidP="002F33D0">
            <w:pPr>
              <w:ind w:firstLine="0"/>
              <w:jc w:val="center"/>
              <w:rPr>
                <w:rFonts w:eastAsia="Times New Roman"/>
                <w:bCs/>
                <w:szCs w:val="24"/>
                <w:lang w:eastAsia="ru-RU"/>
              </w:rPr>
            </w:pPr>
            <w:r w:rsidRPr="00D610BE">
              <w:rPr>
                <w:rFonts w:eastAsia="Times New Roman"/>
                <w:bCs/>
                <w:szCs w:val="24"/>
                <w:lang w:eastAsia="ru-RU"/>
              </w:rPr>
              <w:t>Итого (%)</w:t>
            </w:r>
          </w:p>
        </w:tc>
      </w:tr>
      <w:tr w:rsidR="000C1190" w:rsidRPr="000C1190" w14:paraId="69002358" w14:textId="77777777" w:rsidTr="00D610BE">
        <w:tc>
          <w:tcPr>
            <w:tcW w:w="1534" w:type="pct"/>
            <w:hideMark/>
          </w:tcPr>
          <w:p w14:paraId="0B24B5FB" w14:textId="77777777" w:rsidR="000C1190" w:rsidRPr="00D610BE" w:rsidRDefault="000C1190" w:rsidP="002F33D0">
            <w:pPr>
              <w:ind w:firstLine="0"/>
              <w:jc w:val="both"/>
              <w:rPr>
                <w:rFonts w:eastAsia="Times New Roman"/>
                <w:szCs w:val="24"/>
                <w:lang w:eastAsia="ru-RU"/>
              </w:rPr>
            </w:pPr>
            <w:r w:rsidRPr="00D610BE">
              <w:rPr>
                <w:rFonts w:eastAsia="Times New Roman"/>
                <w:szCs w:val="24"/>
                <w:lang w:eastAsia="ru-RU"/>
              </w:rPr>
              <w:t>Финансовая поддержка</w:t>
            </w:r>
          </w:p>
        </w:tc>
        <w:tc>
          <w:tcPr>
            <w:tcW w:w="834" w:type="pct"/>
            <w:vAlign w:val="center"/>
            <w:hideMark/>
          </w:tcPr>
          <w:p w14:paraId="1A66254B"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21,6</w:t>
            </w:r>
          </w:p>
        </w:tc>
        <w:tc>
          <w:tcPr>
            <w:tcW w:w="910" w:type="pct"/>
            <w:vAlign w:val="center"/>
            <w:hideMark/>
          </w:tcPr>
          <w:p w14:paraId="5BB1702E"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22,0</w:t>
            </w:r>
          </w:p>
        </w:tc>
        <w:tc>
          <w:tcPr>
            <w:tcW w:w="953" w:type="pct"/>
            <w:vAlign w:val="center"/>
            <w:hideMark/>
          </w:tcPr>
          <w:p w14:paraId="41298EEB"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13,3</w:t>
            </w:r>
          </w:p>
        </w:tc>
        <w:tc>
          <w:tcPr>
            <w:tcW w:w="769" w:type="pct"/>
            <w:vAlign w:val="center"/>
            <w:hideMark/>
          </w:tcPr>
          <w:p w14:paraId="725CB106"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21,0</w:t>
            </w:r>
          </w:p>
        </w:tc>
      </w:tr>
      <w:tr w:rsidR="000C1190" w:rsidRPr="000C1190" w14:paraId="33D5B88F" w14:textId="77777777" w:rsidTr="00D610BE">
        <w:tc>
          <w:tcPr>
            <w:tcW w:w="1534" w:type="pct"/>
            <w:hideMark/>
          </w:tcPr>
          <w:p w14:paraId="4558E406" w14:textId="77777777" w:rsidR="000C1190" w:rsidRPr="00D610BE" w:rsidRDefault="000C1190" w:rsidP="002F33D0">
            <w:pPr>
              <w:ind w:firstLine="0"/>
              <w:jc w:val="both"/>
              <w:rPr>
                <w:rFonts w:eastAsia="Times New Roman"/>
                <w:szCs w:val="24"/>
                <w:lang w:eastAsia="ru-RU"/>
              </w:rPr>
            </w:pPr>
            <w:r w:rsidRPr="00D610BE">
              <w:rPr>
                <w:rFonts w:eastAsia="Times New Roman"/>
                <w:szCs w:val="24"/>
                <w:lang w:eastAsia="ru-RU"/>
              </w:rPr>
              <w:t>Налоговые льготы</w:t>
            </w:r>
          </w:p>
        </w:tc>
        <w:tc>
          <w:tcPr>
            <w:tcW w:w="834" w:type="pct"/>
            <w:vAlign w:val="center"/>
            <w:hideMark/>
          </w:tcPr>
          <w:p w14:paraId="7E309A16"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18,9</w:t>
            </w:r>
          </w:p>
        </w:tc>
        <w:tc>
          <w:tcPr>
            <w:tcW w:w="910" w:type="pct"/>
            <w:vAlign w:val="center"/>
            <w:hideMark/>
          </w:tcPr>
          <w:p w14:paraId="29942B04"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20,0</w:t>
            </w:r>
          </w:p>
        </w:tc>
        <w:tc>
          <w:tcPr>
            <w:tcW w:w="953" w:type="pct"/>
            <w:vAlign w:val="center"/>
            <w:hideMark/>
          </w:tcPr>
          <w:p w14:paraId="3442F705"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20,0</w:t>
            </w:r>
          </w:p>
        </w:tc>
        <w:tc>
          <w:tcPr>
            <w:tcW w:w="769" w:type="pct"/>
            <w:vAlign w:val="center"/>
            <w:hideMark/>
          </w:tcPr>
          <w:p w14:paraId="080B47FF"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19,2</w:t>
            </w:r>
          </w:p>
        </w:tc>
      </w:tr>
      <w:tr w:rsidR="000C1190" w:rsidRPr="000C1190" w14:paraId="30A4CF2F" w14:textId="77777777" w:rsidTr="00D610BE">
        <w:tc>
          <w:tcPr>
            <w:tcW w:w="1534" w:type="pct"/>
            <w:hideMark/>
          </w:tcPr>
          <w:p w14:paraId="29162542" w14:textId="77777777" w:rsidR="000C1190" w:rsidRPr="00D610BE" w:rsidRDefault="000C1190" w:rsidP="002F33D0">
            <w:pPr>
              <w:ind w:firstLine="0"/>
              <w:jc w:val="both"/>
              <w:rPr>
                <w:rFonts w:eastAsia="Times New Roman"/>
                <w:szCs w:val="24"/>
                <w:lang w:eastAsia="ru-RU"/>
              </w:rPr>
            </w:pPr>
            <w:r w:rsidRPr="00D610BE">
              <w:rPr>
                <w:rFonts w:eastAsia="Times New Roman"/>
                <w:szCs w:val="24"/>
                <w:lang w:eastAsia="ru-RU"/>
              </w:rPr>
              <w:t>Упрощение процедур</w:t>
            </w:r>
          </w:p>
        </w:tc>
        <w:tc>
          <w:tcPr>
            <w:tcW w:w="834" w:type="pct"/>
            <w:vAlign w:val="center"/>
            <w:hideMark/>
          </w:tcPr>
          <w:p w14:paraId="51A0309D"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15,3</w:t>
            </w:r>
          </w:p>
        </w:tc>
        <w:tc>
          <w:tcPr>
            <w:tcW w:w="910" w:type="pct"/>
            <w:vAlign w:val="center"/>
            <w:hideMark/>
          </w:tcPr>
          <w:p w14:paraId="0975D67F"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14,0</w:t>
            </w:r>
          </w:p>
        </w:tc>
        <w:tc>
          <w:tcPr>
            <w:tcW w:w="953" w:type="pct"/>
            <w:vAlign w:val="center"/>
            <w:hideMark/>
          </w:tcPr>
          <w:p w14:paraId="08B2895A"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16,7</w:t>
            </w:r>
          </w:p>
        </w:tc>
        <w:tc>
          <w:tcPr>
            <w:tcW w:w="769" w:type="pct"/>
            <w:vAlign w:val="center"/>
            <w:hideMark/>
          </w:tcPr>
          <w:p w14:paraId="444BF28C"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15,2</w:t>
            </w:r>
          </w:p>
        </w:tc>
      </w:tr>
      <w:tr w:rsidR="000C1190" w:rsidRPr="000C1190" w14:paraId="43AF39B5" w14:textId="77777777" w:rsidTr="00D610BE">
        <w:tc>
          <w:tcPr>
            <w:tcW w:w="1534" w:type="pct"/>
            <w:hideMark/>
          </w:tcPr>
          <w:p w14:paraId="3DAD0E3F" w14:textId="77777777" w:rsidR="000C1190" w:rsidRPr="00D610BE" w:rsidRDefault="000C1190" w:rsidP="002F33D0">
            <w:pPr>
              <w:ind w:firstLine="0"/>
              <w:jc w:val="both"/>
              <w:rPr>
                <w:rFonts w:eastAsia="Times New Roman"/>
                <w:szCs w:val="24"/>
                <w:lang w:eastAsia="ru-RU"/>
              </w:rPr>
            </w:pPr>
            <w:r w:rsidRPr="00D610BE">
              <w:rPr>
                <w:rFonts w:eastAsia="Times New Roman"/>
                <w:szCs w:val="24"/>
                <w:lang w:eastAsia="ru-RU"/>
              </w:rPr>
              <w:t>Прозрачность информации</w:t>
            </w:r>
          </w:p>
        </w:tc>
        <w:tc>
          <w:tcPr>
            <w:tcW w:w="834" w:type="pct"/>
            <w:vAlign w:val="center"/>
            <w:hideMark/>
          </w:tcPr>
          <w:p w14:paraId="33086E5D"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10,6</w:t>
            </w:r>
          </w:p>
        </w:tc>
        <w:tc>
          <w:tcPr>
            <w:tcW w:w="910" w:type="pct"/>
            <w:vAlign w:val="center"/>
            <w:hideMark/>
          </w:tcPr>
          <w:p w14:paraId="657EB9B4"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11,0</w:t>
            </w:r>
          </w:p>
        </w:tc>
        <w:tc>
          <w:tcPr>
            <w:tcW w:w="953" w:type="pct"/>
            <w:vAlign w:val="center"/>
            <w:hideMark/>
          </w:tcPr>
          <w:p w14:paraId="49A71903"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10,0</w:t>
            </w:r>
          </w:p>
        </w:tc>
        <w:tc>
          <w:tcPr>
            <w:tcW w:w="769" w:type="pct"/>
            <w:vAlign w:val="center"/>
            <w:hideMark/>
          </w:tcPr>
          <w:p w14:paraId="2A777423"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10,6</w:t>
            </w:r>
          </w:p>
        </w:tc>
      </w:tr>
      <w:tr w:rsidR="000C1190" w:rsidRPr="000C1190" w14:paraId="5E61A006" w14:textId="77777777" w:rsidTr="00D610BE">
        <w:tc>
          <w:tcPr>
            <w:tcW w:w="1534" w:type="pct"/>
            <w:hideMark/>
          </w:tcPr>
          <w:p w14:paraId="3445AA2C" w14:textId="77777777" w:rsidR="000C1190" w:rsidRPr="00D610BE" w:rsidRDefault="000C1190" w:rsidP="002F33D0">
            <w:pPr>
              <w:ind w:firstLine="0"/>
              <w:jc w:val="both"/>
              <w:rPr>
                <w:rFonts w:eastAsia="Times New Roman"/>
                <w:szCs w:val="24"/>
                <w:lang w:eastAsia="ru-RU"/>
              </w:rPr>
            </w:pPr>
            <w:r w:rsidRPr="00D610BE">
              <w:rPr>
                <w:rFonts w:eastAsia="Times New Roman"/>
                <w:szCs w:val="24"/>
                <w:lang w:eastAsia="ru-RU"/>
              </w:rPr>
              <w:t>Консультации</w:t>
            </w:r>
          </w:p>
        </w:tc>
        <w:tc>
          <w:tcPr>
            <w:tcW w:w="834" w:type="pct"/>
            <w:vAlign w:val="center"/>
            <w:hideMark/>
          </w:tcPr>
          <w:p w14:paraId="6F9E3685"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7,1</w:t>
            </w:r>
          </w:p>
        </w:tc>
        <w:tc>
          <w:tcPr>
            <w:tcW w:w="910" w:type="pct"/>
            <w:vAlign w:val="center"/>
            <w:hideMark/>
          </w:tcPr>
          <w:p w14:paraId="239E72AC"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7,0</w:t>
            </w:r>
          </w:p>
        </w:tc>
        <w:tc>
          <w:tcPr>
            <w:tcW w:w="953" w:type="pct"/>
            <w:vAlign w:val="center"/>
            <w:hideMark/>
          </w:tcPr>
          <w:p w14:paraId="10A1E8C2"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6,7</w:t>
            </w:r>
          </w:p>
        </w:tc>
        <w:tc>
          <w:tcPr>
            <w:tcW w:w="769" w:type="pct"/>
            <w:vAlign w:val="center"/>
            <w:hideMark/>
          </w:tcPr>
          <w:p w14:paraId="2E6B1DC3"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7,0</w:t>
            </w:r>
          </w:p>
        </w:tc>
      </w:tr>
      <w:tr w:rsidR="000C1190" w:rsidRPr="000C1190" w14:paraId="1DF22533" w14:textId="77777777" w:rsidTr="00D610BE">
        <w:tc>
          <w:tcPr>
            <w:tcW w:w="1534" w:type="pct"/>
            <w:hideMark/>
          </w:tcPr>
          <w:p w14:paraId="6244EC61" w14:textId="77777777" w:rsidR="000C1190" w:rsidRPr="00D610BE" w:rsidRDefault="000C1190" w:rsidP="002F33D0">
            <w:pPr>
              <w:ind w:firstLine="0"/>
              <w:jc w:val="both"/>
              <w:rPr>
                <w:rFonts w:eastAsia="Times New Roman"/>
                <w:szCs w:val="24"/>
                <w:lang w:eastAsia="ru-RU"/>
              </w:rPr>
            </w:pPr>
            <w:r w:rsidRPr="00D610BE">
              <w:rPr>
                <w:rFonts w:eastAsia="Times New Roman"/>
                <w:szCs w:val="24"/>
                <w:lang w:eastAsia="ru-RU"/>
              </w:rPr>
              <w:t>Обратная связь</w:t>
            </w:r>
          </w:p>
        </w:tc>
        <w:tc>
          <w:tcPr>
            <w:tcW w:w="834" w:type="pct"/>
            <w:vAlign w:val="center"/>
            <w:hideMark/>
          </w:tcPr>
          <w:p w14:paraId="092D3C27"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8,2</w:t>
            </w:r>
          </w:p>
        </w:tc>
        <w:tc>
          <w:tcPr>
            <w:tcW w:w="910" w:type="pct"/>
            <w:vAlign w:val="center"/>
            <w:hideMark/>
          </w:tcPr>
          <w:p w14:paraId="276961C3"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9,0</w:t>
            </w:r>
          </w:p>
        </w:tc>
        <w:tc>
          <w:tcPr>
            <w:tcW w:w="953" w:type="pct"/>
            <w:vAlign w:val="center"/>
            <w:hideMark/>
          </w:tcPr>
          <w:p w14:paraId="10D83528"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10,0</w:t>
            </w:r>
          </w:p>
        </w:tc>
        <w:tc>
          <w:tcPr>
            <w:tcW w:w="769" w:type="pct"/>
            <w:vAlign w:val="center"/>
            <w:hideMark/>
          </w:tcPr>
          <w:p w14:paraId="517C05AA"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8,5</w:t>
            </w:r>
          </w:p>
        </w:tc>
      </w:tr>
      <w:tr w:rsidR="000C1190" w:rsidRPr="000C1190" w14:paraId="21A43CB4" w14:textId="77777777" w:rsidTr="00D610BE">
        <w:tc>
          <w:tcPr>
            <w:tcW w:w="1534" w:type="pct"/>
            <w:hideMark/>
          </w:tcPr>
          <w:p w14:paraId="6D89D238" w14:textId="77777777" w:rsidR="000C1190" w:rsidRPr="00D610BE" w:rsidRDefault="000C1190" w:rsidP="002F33D0">
            <w:pPr>
              <w:ind w:firstLine="0"/>
              <w:jc w:val="both"/>
              <w:rPr>
                <w:rFonts w:eastAsia="Times New Roman"/>
                <w:szCs w:val="24"/>
                <w:lang w:eastAsia="ru-RU"/>
              </w:rPr>
            </w:pPr>
            <w:r w:rsidRPr="00D610BE">
              <w:rPr>
                <w:rFonts w:eastAsia="Times New Roman"/>
                <w:szCs w:val="24"/>
                <w:lang w:eastAsia="ru-RU"/>
              </w:rPr>
              <w:t>Сетевое взаимодействие</w:t>
            </w:r>
          </w:p>
        </w:tc>
        <w:tc>
          <w:tcPr>
            <w:tcW w:w="834" w:type="pct"/>
            <w:vAlign w:val="center"/>
            <w:hideMark/>
          </w:tcPr>
          <w:p w14:paraId="5B528D20"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6,4</w:t>
            </w:r>
          </w:p>
        </w:tc>
        <w:tc>
          <w:tcPr>
            <w:tcW w:w="910" w:type="pct"/>
            <w:vAlign w:val="center"/>
            <w:hideMark/>
          </w:tcPr>
          <w:p w14:paraId="08FCFC4A"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7,0</w:t>
            </w:r>
          </w:p>
        </w:tc>
        <w:tc>
          <w:tcPr>
            <w:tcW w:w="953" w:type="pct"/>
            <w:vAlign w:val="center"/>
            <w:hideMark/>
          </w:tcPr>
          <w:p w14:paraId="6C67596E"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6,7</w:t>
            </w:r>
          </w:p>
        </w:tc>
        <w:tc>
          <w:tcPr>
            <w:tcW w:w="769" w:type="pct"/>
            <w:vAlign w:val="center"/>
            <w:hideMark/>
          </w:tcPr>
          <w:p w14:paraId="53DEB3CA"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6,5</w:t>
            </w:r>
          </w:p>
        </w:tc>
      </w:tr>
      <w:tr w:rsidR="000C1190" w:rsidRPr="000C1190" w14:paraId="57D74226" w14:textId="77777777" w:rsidTr="00D610BE">
        <w:tc>
          <w:tcPr>
            <w:tcW w:w="1534" w:type="pct"/>
            <w:hideMark/>
          </w:tcPr>
          <w:p w14:paraId="34B98395" w14:textId="77777777" w:rsidR="000C1190" w:rsidRPr="00D610BE" w:rsidRDefault="000C1190" w:rsidP="002F33D0">
            <w:pPr>
              <w:ind w:firstLine="0"/>
              <w:jc w:val="both"/>
              <w:rPr>
                <w:rFonts w:eastAsia="Times New Roman"/>
                <w:szCs w:val="24"/>
                <w:lang w:eastAsia="ru-RU"/>
              </w:rPr>
            </w:pPr>
            <w:r w:rsidRPr="00D610BE">
              <w:rPr>
                <w:rFonts w:eastAsia="Times New Roman"/>
                <w:szCs w:val="24"/>
                <w:lang w:eastAsia="ru-RU"/>
              </w:rPr>
              <w:t>Публичное признание</w:t>
            </w:r>
          </w:p>
        </w:tc>
        <w:tc>
          <w:tcPr>
            <w:tcW w:w="834" w:type="pct"/>
            <w:vAlign w:val="center"/>
            <w:hideMark/>
          </w:tcPr>
          <w:p w14:paraId="4BF9BBD4"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5,7</w:t>
            </w:r>
          </w:p>
        </w:tc>
        <w:tc>
          <w:tcPr>
            <w:tcW w:w="910" w:type="pct"/>
            <w:vAlign w:val="center"/>
            <w:hideMark/>
          </w:tcPr>
          <w:p w14:paraId="46A77F8B"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6,0</w:t>
            </w:r>
          </w:p>
        </w:tc>
        <w:tc>
          <w:tcPr>
            <w:tcW w:w="953" w:type="pct"/>
            <w:vAlign w:val="center"/>
            <w:hideMark/>
          </w:tcPr>
          <w:p w14:paraId="22D4D4EF"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6,7</w:t>
            </w:r>
          </w:p>
        </w:tc>
        <w:tc>
          <w:tcPr>
            <w:tcW w:w="769" w:type="pct"/>
            <w:vAlign w:val="center"/>
            <w:hideMark/>
          </w:tcPr>
          <w:p w14:paraId="59F99BB5"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5,8</w:t>
            </w:r>
          </w:p>
        </w:tc>
      </w:tr>
      <w:tr w:rsidR="000C1190" w:rsidRPr="000C1190" w14:paraId="2C206203" w14:textId="77777777" w:rsidTr="00D610BE">
        <w:tc>
          <w:tcPr>
            <w:tcW w:w="1534" w:type="pct"/>
            <w:hideMark/>
          </w:tcPr>
          <w:p w14:paraId="78118C02" w14:textId="77777777" w:rsidR="000C1190" w:rsidRPr="00D610BE" w:rsidRDefault="000C1190" w:rsidP="002F33D0">
            <w:pPr>
              <w:ind w:firstLine="0"/>
              <w:jc w:val="both"/>
              <w:rPr>
                <w:rFonts w:eastAsia="Times New Roman"/>
                <w:szCs w:val="24"/>
                <w:lang w:eastAsia="ru-RU"/>
              </w:rPr>
            </w:pPr>
            <w:r w:rsidRPr="00D610BE">
              <w:rPr>
                <w:rFonts w:eastAsia="Times New Roman"/>
                <w:szCs w:val="24"/>
                <w:lang w:eastAsia="ru-RU"/>
              </w:rPr>
              <w:t>Международные стажировки</w:t>
            </w:r>
          </w:p>
        </w:tc>
        <w:tc>
          <w:tcPr>
            <w:tcW w:w="834" w:type="pct"/>
            <w:vAlign w:val="center"/>
            <w:hideMark/>
          </w:tcPr>
          <w:p w14:paraId="5435319F"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6,2</w:t>
            </w:r>
          </w:p>
        </w:tc>
        <w:tc>
          <w:tcPr>
            <w:tcW w:w="910" w:type="pct"/>
            <w:vAlign w:val="center"/>
            <w:hideMark/>
          </w:tcPr>
          <w:p w14:paraId="17BD7535"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3,0</w:t>
            </w:r>
          </w:p>
        </w:tc>
        <w:tc>
          <w:tcPr>
            <w:tcW w:w="953" w:type="pct"/>
            <w:vAlign w:val="center"/>
            <w:hideMark/>
          </w:tcPr>
          <w:p w14:paraId="5A4640ED"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10,0</w:t>
            </w:r>
          </w:p>
        </w:tc>
        <w:tc>
          <w:tcPr>
            <w:tcW w:w="769" w:type="pct"/>
            <w:vAlign w:val="center"/>
            <w:hideMark/>
          </w:tcPr>
          <w:p w14:paraId="5435B9A9" w14:textId="77777777" w:rsidR="000C1190" w:rsidRPr="00D610BE" w:rsidRDefault="000C1190" w:rsidP="002F33D0">
            <w:pPr>
              <w:ind w:firstLine="0"/>
              <w:jc w:val="center"/>
              <w:rPr>
                <w:rFonts w:eastAsia="Times New Roman"/>
                <w:szCs w:val="24"/>
                <w:lang w:eastAsia="ru-RU"/>
              </w:rPr>
            </w:pPr>
            <w:r w:rsidRPr="00D610BE">
              <w:rPr>
                <w:rFonts w:eastAsia="Times New Roman"/>
                <w:szCs w:val="24"/>
                <w:lang w:eastAsia="ru-RU"/>
              </w:rPr>
              <w:t>6,2</w:t>
            </w:r>
          </w:p>
        </w:tc>
      </w:tr>
      <w:tr w:rsidR="000C1190" w:rsidRPr="000C1190" w14:paraId="0FB8BC51" w14:textId="77777777" w:rsidTr="000C1190">
        <w:tc>
          <w:tcPr>
            <w:tcW w:w="5000" w:type="pct"/>
            <w:gridSpan w:val="5"/>
          </w:tcPr>
          <w:p w14:paraId="715CC9DB" w14:textId="188C2421" w:rsidR="000C1190" w:rsidRPr="00FE65D3" w:rsidRDefault="00FE65D3" w:rsidP="000F3C80">
            <w:pPr>
              <w:ind w:firstLine="459"/>
              <w:jc w:val="both"/>
              <w:rPr>
                <w:rFonts w:eastAsia="Times New Roman"/>
                <w:szCs w:val="24"/>
                <w:lang w:eastAsia="ru-RU"/>
              </w:rPr>
            </w:pPr>
            <w:r w:rsidRPr="00EE311D">
              <w:rPr>
                <w:rFonts w:eastAsia="Times New Roman"/>
                <w:szCs w:val="24"/>
                <w:lang w:eastAsia="ru-RU"/>
              </w:rPr>
              <w:t>Примечание</w:t>
            </w:r>
            <w:r w:rsidRPr="00EE311D">
              <w:rPr>
                <w:rFonts w:eastAsia="Times New Roman"/>
                <w:szCs w:val="24"/>
                <w:lang w:val="kk-KZ" w:eastAsia="ru-RU"/>
              </w:rPr>
              <w:t xml:space="preserve"> – </w:t>
            </w:r>
            <w:r w:rsidR="000F3C80" w:rsidRPr="00EE311D">
              <w:rPr>
                <w:rFonts w:eastAsia="Times New Roman"/>
                <w:szCs w:val="24"/>
                <w:lang w:val="kk-KZ" w:eastAsia="ru-RU"/>
              </w:rPr>
              <w:t>З</w:t>
            </w:r>
            <w:r w:rsidR="000C1190" w:rsidRPr="00EE311D">
              <w:rPr>
                <w:rFonts w:eastAsia="Times New Roman"/>
                <w:szCs w:val="24"/>
                <w:lang w:eastAsia="ru-RU"/>
              </w:rPr>
              <w:t>начения в процентах показывают долю респондентов, выбравших данный фактор в каждой группе предприятий</w:t>
            </w:r>
          </w:p>
        </w:tc>
      </w:tr>
    </w:tbl>
    <w:p w14:paraId="3D1D1650"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p>
    <w:p w14:paraId="1FEDDF52" w14:textId="01A09F6C" w:rsidR="000C1190" w:rsidRPr="000C1190" w:rsidRDefault="00FE65D3" w:rsidP="002F33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Н</w:t>
      </w:r>
      <w:r w:rsidR="000C1190" w:rsidRPr="000C1190">
        <w:rPr>
          <w:rFonts w:ascii="Times New Roman" w:hAnsi="Times New Roman" w:cs="Times New Roman"/>
          <w:sz w:val="28"/>
          <w:szCs w:val="28"/>
        </w:rPr>
        <w:t>аибольшим стимулом для всех категорий предприятий остаётся финансовая поддержка и налоговые льготы. Универсальный характер этих факторов подтверждает их ключевое значение в решении проблем доступа к ресурсам. В то же время для малых предприятий сравнительно более значимыми оказываются финансовые стимулы, а также возможность участия в международных стажировках, что отражает их стремление к получению дополнительных знаний и компетенций.</w:t>
      </w:r>
    </w:p>
    <w:p w14:paraId="039D019E" w14:textId="0F16C6FB"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Для проверки различий в распределении мотивационных факторов между малыми, средними и крупными предприятиями был проведён анализ сопряжённых таблиц с использованием критерия </w:t>
      </w:r>
      <w:r w:rsidR="00FE65D3" w:rsidRPr="00443C38">
        <w:rPr>
          <w:rFonts w:ascii="Times New Roman" w:hAnsi="Times New Roman" w:cs="Times New Roman"/>
          <w:i/>
          <w:sz w:val="28"/>
          <w:szCs w:val="28"/>
          <w:lang w:val="kk-KZ"/>
        </w:rPr>
        <w:t>х</w:t>
      </w:r>
      <w:r w:rsidR="00FE65D3" w:rsidRPr="00443C38">
        <w:rPr>
          <w:rFonts w:ascii="Times New Roman" w:hAnsi="Times New Roman" w:cs="Times New Roman"/>
          <w:sz w:val="28"/>
          <w:szCs w:val="28"/>
          <w:vertAlign w:val="superscript"/>
          <w:lang w:val="kk-KZ"/>
        </w:rPr>
        <w:t>2</w:t>
      </w:r>
      <w:r w:rsidRPr="000C1190">
        <w:rPr>
          <w:rFonts w:ascii="Times New Roman" w:hAnsi="Times New Roman" w:cs="Times New Roman"/>
          <w:sz w:val="28"/>
          <w:szCs w:val="28"/>
        </w:rPr>
        <w:t xml:space="preserve"> Пирсона. Большинство факторов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финансовая поддержка, налоговые льготы, упрощение процедур, консультации, прозрачность информации, а также сетевое взаимодействие, обратная связь и публичное признание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не продемонстрировали статистически значимых различий (</w:t>
      </w:r>
      <w:r w:rsidR="00D610BE" w:rsidRPr="000C1190">
        <w:rPr>
          <w:rFonts w:ascii="Times New Roman" w:hAnsi="Times New Roman" w:cs="Times New Roman"/>
          <w:sz w:val="28"/>
          <w:szCs w:val="28"/>
        </w:rPr>
        <w:t>p&gt;</w:t>
      </w:r>
      <w:r w:rsidRPr="000C1190">
        <w:rPr>
          <w:rFonts w:ascii="Times New Roman" w:hAnsi="Times New Roman" w:cs="Times New Roman"/>
          <w:sz w:val="28"/>
          <w:szCs w:val="28"/>
        </w:rPr>
        <w:t>0,05). Это означает, что данные стимулы носят универсальный характер и в равной мере важны для предприятий всех размеров.</w:t>
      </w:r>
    </w:p>
    <w:p w14:paraId="3953C00C" w14:textId="0618FFCA"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lastRenderedPageBreak/>
        <w:t xml:space="preserve">В то же время для отдельных факторов были выявлены определённые различия. Так, в случае финансовой поддержки значение </w:t>
      </w:r>
      <w:r w:rsidR="00D610BE">
        <w:rPr>
          <w:rFonts w:ascii="Times New Roman" w:hAnsi="Times New Roman" w:cs="Times New Roman"/>
          <w:sz w:val="28"/>
          <w:szCs w:val="28"/>
          <w:lang w:val="kk-KZ"/>
        </w:rPr>
        <w:t>х</w:t>
      </w:r>
      <w:r w:rsidRPr="000C1190">
        <w:rPr>
          <w:rFonts w:ascii="Times New Roman" w:hAnsi="Times New Roman" w:cs="Times New Roman"/>
          <w:sz w:val="28"/>
          <w:szCs w:val="28"/>
        </w:rPr>
        <w:t>² оказалось на грани статистической значимости (</w:t>
      </w:r>
      <w:r w:rsidR="00FE65D3" w:rsidRPr="00443C38">
        <w:rPr>
          <w:rFonts w:ascii="Times New Roman" w:hAnsi="Times New Roman" w:cs="Times New Roman"/>
          <w:i/>
          <w:sz w:val="28"/>
          <w:szCs w:val="28"/>
          <w:lang w:val="kk-KZ"/>
        </w:rPr>
        <w:t>х</w:t>
      </w:r>
      <w:r w:rsidR="00FE65D3" w:rsidRPr="00443C38">
        <w:rPr>
          <w:rFonts w:ascii="Times New Roman" w:hAnsi="Times New Roman" w:cs="Times New Roman"/>
          <w:sz w:val="28"/>
          <w:szCs w:val="28"/>
          <w:vertAlign w:val="superscript"/>
          <w:lang w:val="kk-KZ"/>
        </w:rPr>
        <w:t>2</w:t>
      </w:r>
      <w:r w:rsidRPr="000C1190">
        <w:rPr>
          <w:rFonts w:ascii="Times New Roman" w:hAnsi="Times New Roman" w:cs="Times New Roman"/>
          <w:sz w:val="28"/>
          <w:szCs w:val="28"/>
        </w:rPr>
        <w:t xml:space="preserve"> = 5,55; p = 0,062), что отражает тенденцию: малые предприятия чаще выбирают данный стимул по сравнению с крупными и средними, хотя строгого подтверждения на уровне p </w:t>
      </w:r>
      <w:r w:rsidR="0018767C" w:rsidRPr="000C1190">
        <w:rPr>
          <w:rFonts w:ascii="Times New Roman" w:hAnsi="Times New Roman" w:cs="Times New Roman"/>
          <w:sz w:val="28"/>
          <w:szCs w:val="28"/>
        </w:rPr>
        <w:t>&lt;0</w:t>
      </w:r>
      <w:r w:rsidRPr="000C1190">
        <w:rPr>
          <w:rFonts w:ascii="Times New Roman" w:hAnsi="Times New Roman" w:cs="Times New Roman"/>
          <w:sz w:val="28"/>
          <w:szCs w:val="28"/>
        </w:rPr>
        <w:t>,05 получено не было. Более выраженный результат показал фактор международных стажировок, где различия оказались статистически значимыми (</w:t>
      </w:r>
      <w:r w:rsidR="00FE65D3" w:rsidRPr="00443C38">
        <w:rPr>
          <w:rFonts w:ascii="Times New Roman" w:hAnsi="Times New Roman" w:cs="Times New Roman"/>
          <w:i/>
          <w:sz w:val="28"/>
          <w:szCs w:val="28"/>
          <w:lang w:val="kk-KZ"/>
        </w:rPr>
        <w:t>х</w:t>
      </w:r>
      <w:r w:rsidR="00FE65D3" w:rsidRPr="00443C38">
        <w:rPr>
          <w:rFonts w:ascii="Times New Roman" w:hAnsi="Times New Roman" w:cs="Times New Roman"/>
          <w:sz w:val="28"/>
          <w:szCs w:val="28"/>
          <w:vertAlign w:val="superscript"/>
          <w:lang w:val="kk-KZ"/>
        </w:rPr>
        <w:t>2</w:t>
      </w:r>
      <w:r w:rsidRPr="000C1190">
        <w:rPr>
          <w:rFonts w:ascii="Times New Roman" w:hAnsi="Times New Roman" w:cs="Times New Roman"/>
          <w:sz w:val="28"/>
          <w:szCs w:val="28"/>
        </w:rPr>
        <w:t xml:space="preserve"> = 6,15; p = 0,046). Наибольшую заинтересованность в этом стимуле продемонстрировали именно малые предприятия, тогда как среди средних доля таких респондентов была значительно ниже.</w:t>
      </w:r>
    </w:p>
    <w:p w14:paraId="5CFB684C"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Таким образом, можно заключить, что большинство мотивационных стимулов обладают универсальной значимостью для предпринимательских структур независимо от их размера. Однако малые предприятия проявляют сравнительно больший интерес к финансовым мерам и международным образовательным возможностям, что связано с ограниченностью их собственных ресурсов и потребностью в доступе к внешним источникам финансирования и знаниям. Эти результаты указывают на необходимость дифференцированного подхода: общие меры (финансы, налоги, упрощение процедур) должны сохранять универсальную доступность, тогда как для малых компаний требуется усиление компонент, связанных с обучением, стажировками и развитием человеческого капитала.</w:t>
      </w:r>
    </w:p>
    <w:p w14:paraId="33DD0094" w14:textId="77777777"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Подводя итоги проведённого анализа, можно отметить, что участие в государственных программах поддержки определяется совокупностью факторов: размера предприятия, уровня информированности о существующих инструментах, а также потенциальной мотивации к вовлечению. При этом именно малые предприятия продемонстрировали одновременно и более низкий уровень участия, и более скептическую оценку полученного опыта, и повышенный интерес к дополнительным стимулам, таким как финансовая поддержка и международные стажировки. Эти результаты указывают на наличие системных ограничений, которые не могут быть устранены только за счёт информационных кампаний и требуют комплексного подхода к проектированию механизмов поддержки.</w:t>
      </w:r>
    </w:p>
    <w:p w14:paraId="406C06DB" w14:textId="17607540"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Для формализации выявленных зависимостей и проверки их устойчивости была построена математическая модель участия в программах господдержки. В качестве зависимой переменной рассматривался бинарный показатель факта участия, принимающий значения 1 для участвовавших и 0 для неучаствовавших предприятий. В качестве предикторов были вклю</w:t>
      </w:r>
      <w:r w:rsidR="004B61BA">
        <w:rPr>
          <w:rFonts w:ascii="Times New Roman" w:hAnsi="Times New Roman" w:cs="Times New Roman"/>
          <w:sz w:val="28"/>
          <w:szCs w:val="28"/>
        </w:rPr>
        <w:t>чены: размер предприятия (</w:t>
      </w:r>
      <m:oMath>
        <m:r>
          <w:rPr>
            <w:rFonts w:ascii="Cambria Math" w:hAnsi="Cambria Math"/>
            <w:sz w:val="28"/>
            <w:szCs w:val="28"/>
            <w:lang w:val="kk-KZ"/>
          </w:rPr>
          <m:t>SIZE</m:t>
        </m:r>
      </m:oMath>
      <w:r w:rsidRPr="000C1190">
        <w:rPr>
          <w:rFonts w:ascii="Times New Roman" w:hAnsi="Times New Roman" w:cs="Times New Roman"/>
          <w:sz w:val="28"/>
          <w:szCs w:val="28"/>
        </w:rPr>
        <w:t>), индекс информированности</w:t>
      </w:r>
      <w:r w:rsidR="00FE65D3">
        <w:rPr>
          <w:rFonts w:ascii="Times New Roman" w:hAnsi="Times New Roman" w:cs="Times New Roman"/>
          <w:sz w:val="28"/>
          <w:szCs w:val="28"/>
          <w:lang w:val="kk-KZ"/>
        </w:rPr>
        <w:t xml:space="preserve"> (</w:t>
      </w:r>
      <m:oMath>
        <m:sSub>
          <m:sSubPr>
            <m:ctrlPr>
              <w:rPr>
                <w:rFonts w:ascii="Cambria Math" w:hAnsi="Cambria Math"/>
                <w:i/>
                <w:sz w:val="28"/>
                <w:szCs w:val="28"/>
                <w:lang w:val="kk-KZ"/>
              </w:rPr>
            </m:ctrlPr>
          </m:sSubPr>
          <m:e>
            <m:r>
              <w:rPr>
                <w:rFonts w:ascii="Cambria Math" w:hAnsi="Cambria Math"/>
                <w:sz w:val="28"/>
                <w:szCs w:val="28"/>
                <w:lang w:val="kk-KZ"/>
              </w:rPr>
              <m:t>AWARE</m:t>
            </m:r>
          </m:e>
          <m:sub>
            <m:r>
              <w:rPr>
                <w:rFonts w:ascii="Cambria Math" w:hAnsi="Cambria Math"/>
                <w:sz w:val="28"/>
                <w:szCs w:val="28"/>
                <w:lang w:val="kk-KZ"/>
              </w:rPr>
              <m:t>i</m:t>
            </m:r>
          </m:sub>
        </m:sSub>
      </m:oMath>
      <w:r w:rsidR="00FE65D3">
        <w:rPr>
          <w:rFonts w:ascii="Times New Roman" w:eastAsiaTheme="minorEastAsia" w:hAnsi="Times New Roman" w:cs="Times New Roman"/>
          <w:sz w:val="28"/>
          <w:szCs w:val="28"/>
          <w:lang w:val="kk-KZ"/>
        </w:rPr>
        <w:t>)</w:t>
      </w:r>
      <w:r w:rsidRPr="000C1190">
        <w:rPr>
          <w:rFonts w:ascii="Times New Roman" w:hAnsi="Times New Roman" w:cs="Times New Roman"/>
          <w:sz w:val="28"/>
          <w:szCs w:val="28"/>
        </w:rPr>
        <w:t>, а также интегральный индекс мотивации</w:t>
      </w:r>
      <w:r w:rsidR="00FE65D3">
        <w:rPr>
          <w:rFonts w:ascii="Times New Roman" w:hAnsi="Times New Roman" w:cs="Times New Roman"/>
          <w:sz w:val="28"/>
          <w:szCs w:val="28"/>
          <w:lang w:val="kk-KZ"/>
        </w:rPr>
        <w:t xml:space="preserve"> (</w:t>
      </w:r>
      <m:oMath>
        <m:sSub>
          <m:sSubPr>
            <m:ctrlPr>
              <w:rPr>
                <w:rFonts w:ascii="Cambria Math" w:hAnsi="Cambria Math"/>
                <w:i/>
                <w:sz w:val="28"/>
                <w:szCs w:val="28"/>
                <w:lang w:val="kk-KZ"/>
              </w:rPr>
            </m:ctrlPr>
          </m:sSubPr>
          <m:e>
            <m:r>
              <w:rPr>
                <w:rFonts w:ascii="Cambria Math" w:hAnsi="Cambria Math"/>
                <w:sz w:val="28"/>
                <w:szCs w:val="28"/>
                <w:lang w:val="kk-KZ"/>
              </w:rPr>
              <m:t>MOTIV</m:t>
            </m:r>
          </m:e>
          <m:sub>
            <m:r>
              <w:rPr>
                <w:rFonts w:ascii="Cambria Math" w:hAnsi="Cambria Math"/>
                <w:sz w:val="28"/>
                <w:szCs w:val="28"/>
                <w:lang w:val="kk-KZ"/>
              </w:rPr>
              <m:t>i</m:t>
            </m:r>
          </m:sub>
        </m:sSub>
      </m:oMath>
      <w:r w:rsidR="00FE65D3">
        <w:rPr>
          <w:rFonts w:ascii="Times New Roman" w:eastAsiaTheme="minorEastAsia" w:hAnsi="Times New Roman" w:cs="Times New Roman"/>
          <w:sz w:val="28"/>
          <w:szCs w:val="28"/>
          <w:lang w:val="kk-KZ"/>
        </w:rPr>
        <w:t>)</w:t>
      </w:r>
      <w:r w:rsidRPr="000C1190">
        <w:rPr>
          <w:rFonts w:ascii="Times New Roman" w:hAnsi="Times New Roman" w:cs="Times New Roman"/>
          <w:sz w:val="28"/>
          <w:szCs w:val="28"/>
        </w:rPr>
        <w:t>, рассчитанный только для неучаствовавших респондентов как сумма отмеченных факторов.</w:t>
      </w:r>
    </w:p>
    <w:p w14:paraId="0B4FD847" w14:textId="1426399C"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Таким образом, модель имеет вид логистической </w:t>
      </w:r>
      <w:r w:rsidR="004B61BA" w:rsidRPr="000C1190">
        <w:rPr>
          <w:rFonts w:ascii="Times New Roman" w:hAnsi="Times New Roman" w:cs="Times New Roman"/>
          <w:sz w:val="28"/>
          <w:szCs w:val="28"/>
        </w:rPr>
        <w:t>регрессии</w:t>
      </w:r>
      <w:r w:rsidR="004B61BA">
        <w:rPr>
          <w:rFonts w:ascii="Times New Roman" w:hAnsi="Times New Roman" w:cs="Times New Roman"/>
          <w:sz w:val="28"/>
          <w:szCs w:val="28"/>
          <w:lang w:val="kk-KZ"/>
        </w:rPr>
        <w:t>:</w:t>
      </w:r>
    </w:p>
    <w:p w14:paraId="1128D1AB" w14:textId="12ADE860" w:rsid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Общая модель</w:t>
      </w:r>
      <w:r w:rsidR="00FE65D3">
        <w:rPr>
          <w:rFonts w:ascii="Times New Roman" w:hAnsi="Times New Roman" w:cs="Times New Roman"/>
          <w:sz w:val="28"/>
          <w:szCs w:val="28"/>
          <w:lang w:val="kk-KZ"/>
        </w:rPr>
        <w:t xml:space="preserve"> (8</w:t>
      </w:r>
      <w:r w:rsidR="004B61BA">
        <w:rPr>
          <w:rFonts w:ascii="Times New Roman" w:hAnsi="Times New Roman" w:cs="Times New Roman"/>
          <w:sz w:val="28"/>
          <w:szCs w:val="28"/>
          <w:lang w:val="kk-KZ"/>
        </w:rPr>
        <w:t>)</w:t>
      </w:r>
      <w:r w:rsidRPr="000C1190">
        <w:rPr>
          <w:rFonts w:ascii="Times New Roman" w:hAnsi="Times New Roman" w:cs="Times New Roman"/>
          <w:sz w:val="28"/>
          <w:szCs w:val="28"/>
          <w:lang w:val="kk-KZ"/>
        </w:rPr>
        <w:t>:</w:t>
      </w:r>
    </w:p>
    <w:p w14:paraId="3A27B41B" w14:textId="2FF03F44" w:rsidR="004B61BA" w:rsidRDefault="004B61BA" w:rsidP="002F33D0">
      <w:pPr>
        <w:spacing w:after="0" w:line="240" w:lineRule="auto"/>
        <w:ind w:firstLine="567"/>
        <w:jc w:val="both"/>
        <w:rPr>
          <w:rFonts w:ascii="Times New Roman" w:hAnsi="Times New Roman" w:cs="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5"/>
        <w:gridCol w:w="560"/>
      </w:tblGrid>
      <w:tr w:rsidR="004B61BA" w14:paraId="1BB20C47" w14:textId="77777777" w:rsidTr="004B61BA">
        <w:tc>
          <w:tcPr>
            <w:tcW w:w="9067" w:type="dxa"/>
          </w:tcPr>
          <w:p w14:paraId="359B4B1A" w14:textId="1F6CA018" w:rsidR="004B61BA" w:rsidRPr="004B61BA" w:rsidRDefault="004B61BA" w:rsidP="002F33D0">
            <w:pPr>
              <w:ind w:hanging="108"/>
              <w:jc w:val="both"/>
              <w:rPr>
                <w:i/>
                <w:sz w:val="28"/>
                <w:szCs w:val="28"/>
                <w:lang w:val="kk-KZ"/>
              </w:rPr>
            </w:pPr>
            <m:oMathPara>
              <m:oMath>
                <m:r>
                  <w:rPr>
                    <w:rFonts w:ascii="Cambria Math" w:hAnsi="Cambria Math"/>
                    <w:sz w:val="28"/>
                    <w:szCs w:val="28"/>
                    <w:lang w:val="en-US"/>
                  </w:rPr>
                  <w:lastRenderedPageBreak/>
                  <m:t>logit</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i</m:t>
                        </m:r>
                      </m:sub>
                    </m:sSub>
                    <m:ctrlPr>
                      <w:rPr>
                        <w:rFonts w:ascii="Cambria Math" w:hAnsi="Cambria Math"/>
                        <w:i/>
                        <w:sz w:val="28"/>
                        <w:szCs w:val="28"/>
                        <w:lang w:val="kk-KZ"/>
                      </w:rPr>
                    </m:ctrlPr>
                  </m:e>
                </m:d>
                <m:r>
                  <w:rPr>
                    <w:rFonts w:ascii="Cambria Math" w:hAnsi="Cambria Math"/>
                    <w:sz w:val="28"/>
                    <w:szCs w:val="28"/>
                    <w:lang w:val="kk-KZ"/>
                  </w:rPr>
                  <m:t>=α+</m:t>
                </m:r>
                <m:sSub>
                  <m:sSubPr>
                    <m:ctrlPr>
                      <w:rPr>
                        <w:rFonts w:ascii="Cambria Math" w:hAnsi="Cambria Math"/>
                        <w:i/>
                        <w:sz w:val="28"/>
                        <w:szCs w:val="28"/>
                        <w:lang w:val="kk-KZ"/>
                      </w:rPr>
                    </m:ctrlPr>
                  </m:sSubPr>
                  <m:e>
                    <m:r>
                      <w:rPr>
                        <w:rFonts w:ascii="Cambria Math" w:hAnsi="Cambria Math"/>
                        <w:sz w:val="28"/>
                        <w:szCs w:val="28"/>
                        <w:lang w:val="kk-KZ"/>
                      </w:rPr>
                      <m:t>β</m:t>
                    </m:r>
                  </m:e>
                  <m:sub>
                    <m:r>
                      <w:rPr>
                        <w:rFonts w:ascii="Cambria Math" w:hAnsi="Cambria Math"/>
                        <w:sz w:val="28"/>
                        <w:szCs w:val="28"/>
                        <w:lang w:val="kk-KZ"/>
                      </w:rPr>
                      <m:t>S2</m:t>
                    </m:r>
                  </m:sub>
                </m:sSub>
                <m:r>
                  <w:rPr>
                    <w:rFonts w:ascii="Cambria Math" w:hAnsi="Cambria Math"/>
                    <w:sz w:val="28"/>
                    <w:szCs w:val="28"/>
                    <w:lang w:val="kk-KZ"/>
                  </w:rPr>
                  <m:t>∙SIZE</m:t>
                </m:r>
                <m:sSub>
                  <m:sSubPr>
                    <m:ctrlPr>
                      <w:rPr>
                        <w:rFonts w:ascii="Cambria Math" w:hAnsi="Cambria Math"/>
                        <w:i/>
                        <w:sz w:val="28"/>
                        <w:szCs w:val="28"/>
                        <w:lang w:val="kk-KZ"/>
                      </w:rPr>
                    </m:ctrlPr>
                  </m:sSubPr>
                  <m:e>
                    <m:r>
                      <w:rPr>
                        <w:rFonts w:ascii="Cambria Math" w:hAnsi="Cambria Math"/>
                        <w:sz w:val="28"/>
                        <w:szCs w:val="28"/>
                        <w:lang w:val="kk-KZ"/>
                      </w:rPr>
                      <m:t>2</m:t>
                    </m:r>
                  </m:e>
                  <m:sub>
                    <m:r>
                      <w:rPr>
                        <w:rFonts w:ascii="Cambria Math" w:hAnsi="Cambria Math"/>
                        <w:sz w:val="28"/>
                        <w:szCs w:val="28"/>
                        <w:lang w:val="kk-KZ"/>
                      </w:rPr>
                      <m:t>i</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β</m:t>
                    </m:r>
                  </m:e>
                  <m:sub>
                    <m:r>
                      <w:rPr>
                        <w:rFonts w:ascii="Cambria Math" w:hAnsi="Cambria Math"/>
                        <w:sz w:val="28"/>
                        <w:szCs w:val="28"/>
                        <w:lang w:val="kk-KZ"/>
                      </w:rPr>
                      <m:t>S3</m:t>
                    </m:r>
                  </m:sub>
                </m:sSub>
                <m:r>
                  <w:rPr>
                    <w:rFonts w:ascii="Cambria Math" w:hAnsi="Cambria Math"/>
                    <w:sz w:val="28"/>
                    <w:szCs w:val="28"/>
                    <w:lang w:val="kk-KZ"/>
                  </w:rPr>
                  <m:t>∙SIZE</m:t>
                </m:r>
                <m:sSub>
                  <m:sSubPr>
                    <m:ctrlPr>
                      <w:rPr>
                        <w:rFonts w:ascii="Cambria Math" w:hAnsi="Cambria Math"/>
                        <w:i/>
                        <w:sz w:val="28"/>
                        <w:szCs w:val="28"/>
                        <w:lang w:val="kk-KZ"/>
                      </w:rPr>
                    </m:ctrlPr>
                  </m:sSubPr>
                  <m:e>
                    <m:r>
                      <w:rPr>
                        <w:rFonts w:ascii="Cambria Math" w:hAnsi="Cambria Math"/>
                        <w:sz w:val="28"/>
                        <w:szCs w:val="28"/>
                        <w:lang w:val="kk-KZ"/>
                      </w:rPr>
                      <m:t>3</m:t>
                    </m:r>
                  </m:e>
                  <m:sub>
                    <m:r>
                      <w:rPr>
                        <w:rFonts w:ascii="Cambria Math" w:hAnsi="Cambria Math"/>
                        <w:sz w:val="28"/>
                        <w:szCs w:val="28"/>
                        <w:lang w:val="kk-KZ"/>
                      </w:rPr>
                      <m:t>i</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β</m:t>
                    </m:r>
                  </m:e>
                  <m:sub>
                    <m:r>
                      <w:rPr>
                        <w:rFonts w:ascii="Cambria Math" w:hAnsi="Cambria Math"/>
                        <w:sz w:val="28"/>
                        <w:szCs w:val="28"/>
                        <w:lang w:val="kk-KZ"/>
                      </w:rPr>
                      <m:t>A</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AWARE</m:t>
                    </m:r>
                  </m:e>
                  <m:sub>
                    <m:r>
                      <w:rPr>
                        <w:rFonts w:ascii="Cambria Math" w:hAnsi="Cambria Math"/>
                        <w:sz w:val="28"/>
                        <w:szCs w:val="28"/>
                        <w:lang w:val="kk-KZ"/>
                      </w:rPr>
                      <m:t>i</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β</m:t>
                    </m:r>
                  </m:e>
                  <m:sub>
                    <m:r>
                      <w:rPr>
                        <w:rFonts w:ascii="Cambria Math" w:hAnsi="Cambria Math"/>
                        <w:sz w:val="28"/>
                        <w:szCs w:val="28"/>
                        <w:lang w:val="kk-KZ"/>
                      </w:rPr>
                      <m:t>M</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MOTIV</m:t>
                    </m:r>
                  </m:e>
                  <m:sub>
                    <m:r>
                      <w:rPr>
                        <w:rFonts w:ascii="Cambria Math" w:hAnsi="Cambria Math"/>
                        <w:sz w:val="28"/>
                        <w:szCs w:val="28"/>
                        <w:lang w:val="kk-KZ"/>
                      </w:rPr>
                      <m:t>i</m:t>
                    </m:r>
                  </m:sub>
                </m:sSub>
              </m:oMath>
            </m:oMathPara>
          </w:p>
        </w:tc>
        <w:tc>
          <w:tcPr>
            <w:tcW w:w="561" w:type="dxa"/>
          </w:tcPr>
          <w:p w14:paraId="219CE962" w14:textId="12E779D5" w:rsidR="004B61BA" w:rsidRDefault="00FE65D3" w:rsidP="002F33D0">
            <w:pPr>
              <w:ind w:firstLine="0"/>
              <w:jc w:val="right"/>
              <w:rPr>
                <w:sz w:val="28"/>
                <w:szCs w:val="28"/>
                <w:lang w:val="kk-KZ"/>
              </w:rPr>
            </w:pPr>
            <w:r>
              <w:rPr>
                <w:sz w:val="28"/>
                <w:szCs w:val="28"/>
                <w:lang w:val="kk-KZ"/>
              </w:rPr>
              <w:t>(8</w:t>
            </w:r>
            <w:r w:rsidR="004B61BA">
              <w:rPr>
                <w:sz w:val="28"/>
                <w:szCs w:val="28"/>
                <w:lang w:val="kk-KZ"/>
              </w:rPr>
              <w:t>)</w:t>
            </w:r>
          </w:p>
        </w:tc>
      </w:tr>
    </w:tbl>
    <w:p w14:paraId="2EB7EC58" w14:textId="77777777" w:rsidR="004B61BA" w:rsidRPr="000C1190" w:rsidRDefault="004B61BA" w:rsidP="002F33D0">
      <w:pPr>
        <w:spacing w:after="0" w:line="240" w:lineRule="auto"/>
        <w:ind w:firstLine="567"/>
        <w:jc w:val="both"/>
        <w:rPr>
          <w:rFonts w:ascii="Times New Roman" w:hAnsi="Times New Roman" w:cs="Times New Roman"/>
          <w:sz w:val="28"/>
          <w:szCs w:val="28"/>
          <w:lang w:val="kk-KZ"/>
        </w:rPr>
      </w:pPr>
    </w:p>
    <w:p w14:paraId="09503671" w14:textId="16C0FA90" w:rsidR="000C1190" w:rsidRPr="000C1190" w:rsidRDefault="0018767C" w:rsidP="00FE65D3">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г</w:t>
      </w:r>
      <w:r w:rsidR="000C1190" w:rsidRPr="000C1190">
        <w:rPr>
          <w:rFonts w:ascii="Times New Roman" w:hAnsi="Times New Roman" w:cs="Times New Roman"/>
          <w:sz w:val="28"/>
          <w:szCs w:val="28"/>
          <w:lang w:val="kk-KZ"/>
        </w:rPr>
        <w:t>де</w:t>
      </w:r>
    </w:p>
    <w:p w14:paraId="654534D6" w14:textId="1C1ECC42" w:rsidR="000C1190" w:rsidRDefault="001D4931" w:rsidP="00FE65D3">
      <w:pPr>
        <w:spacing w:after="0" w:line="240" w:lineRule="auto"/>
        <w:ind w:firstLine="567"/>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sub>
        </m:sSub>
      </m:oMath>
      <w:r w:rsidR="000C1190" w:rsidRPr="000C1190">
        <w:rPr>
          <w:rFonts w:ascii="Times New Roman" w:eastAsiaTheme="minorEastAsia" w:hAnsi="Times New Roman" w:cs="Times New Roman"/>
          <w:sz w:val="28"/>
          <w:szCs w:val="28"/>
          <w:lang w:val="kk-KZ"/>
        </w:rPr>
        <w:t xml:space="preserve"> – вероятность участия предприятия і;</w:t>
      </w:r>
    </w:p>
    <w:p w14:paraId="648EC1C3" w14:textId="7E2CC3B5" w:rsidR="004B61BA" w:rsidRDefault="004B61BA" w:rsidP="002F33D0">
      <w:pPr>
        <w:spacing w:after="0" w:line="240" w:lineRule="auto"/>
        <w:jc w:val="both"/>
        <w:rPr>
          <w:rFonts w:ascii="Times New Roman" w:eastAsiaTheme="minorEastAsia" w:hAnsi="Times New Roman" w:cs="Times New Roman"/>
          <w:sz w:val="28"/>
          <w:szCs w:val="28"/>
          <w:lang w:val="kk-KZ"/>
        </w:rPr>
      </w:pPr>
    </w:p>
    <w:p w14:paraId="165CED25" w14:textId="7CCA63B3" w:rsidR="004B61BA" w:rsidRDefault="004B61BA" w:rsidP="002F33D0">
      <w:pPr>
        <w:spacing w:after="0" w:line="240" w:lineRule="auto"/>
        <w:ind w:firstLine="567"/>
        <w:jc w:val="both"/>
        <w:rPr>
          <w:rFonts w:ascii="Times New Roman" w:eastAsiaTheme="minorEastAsia" w:hAnsi="Times New Roman" w:cs="Times New Roman"/>
          <w:sz w:val="28"/>
          <w:szCs w:val="28"/>
          <w:lang w:val="kk-KZ"/>
        </w:rPr>
      </w:pPr>
      <w:r w:rsidRPr="004B61BA">
        <w:rPr>
          <w:rFonts w:ascii="Times New Roman" w:eastAsiaTheme="minorEastAsia" w:hAnsi="Times New Roman" w:cs="Times New Roman"/>
          <w:sz w:val="28"/>
          <w:szCs w:val="28"/>
          <w:lang w:val="kk-KZ"/>
        </w:rPr>
        <w:t>Соответствующее функциональное представление логит-модели приведено в формуле (</w:t>
      </w:r>
      <w:r w:rsidR="00FE65D3">
        <w:rPr>
          <w:rFonts w:ascii="Times New Roman" w:eastAsiaTheme="minorEastAsia" w:hAnsi="Times New Roman" w:cs="Times New Roman"/>
          <w:sz w:val="28"/>
          <w:szCs w:val="28"/>
          <w:lang w:val="kk-KZ"/>
        </w:rPr>
        <w:t>9</w:t>
      </w:r>
      <w:r w:rsidRPr="004B61BA">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5"/>
        <w:gridCol w:w="560"/>
      </w:tblGrid>
      <w:tr w:rsidR="004B61BA" w14:paraId="72881895" w14:textId="77777777" w:rsidTr="004B61BA">
        <w:tc>
          <w:tcPr>
            <w:tcW w:w="9067" w:type="dxa"/>
          </w:tcPr>
          <w:p w14:paraId="5537A210" w14:textId="77777777" w:rsidR="004B61BA" w:rsidRPr="004B61BA" w:rsidRDefault="004B61BA" w:rsidP="002F33D0">
            <w:pPr>
              <w:ind w:firstLine="0"/>
              <w:jc w:val="both"/>
              <w:rPr>
                <w:rFonts w:eastAsiaTheme="minorEastAsia"/>
                <w:sz w:val="28"/>
                <w:szCs w:val="28"/>
                <w:lang w:val="kk-KZ"/>
              </w:rPr>
            </w:pPr>
            <m:oMathPara>
              <m:oMathParaPr>
                <m:jc m:val="center"/>
              </m:oMathParaPr>
              <m:oMath>
                <m:r>
                  <w:rPr>
                    <w:rFonts w:ascii="Cambria Math" w:hAnsi="Cambria Math"/>
                    <w:sz w:val="28"/>
                    <w:szCs w:val="28"/>
                    <w:lang w:val="en-US"/>
                  </w:rPr>
                  <m:t>log</m:t>
                </m:r>
                <m:f>
                  <m:fPr>
                    <m:ctrlPr>
                      <w:rPr>
                        <w:rFonts w:ascii="Cambria Math" w:hAnsi="Cambria Math"/>
                        <w:i/>
                        <w:sz w:val="28"/>
                        <w:szCs w:val="28"/>
                        <w:lang w:val="en-US"/>
                      </w:rPr>
                    </m:ctrlPr>
                  </m:fPr>
                  <m:num>
                    <m:r>
                      <w:rPr>
                        <w:rFonts w:ascii="Cambria Math" w:hAnsi="Cambria Math"/>
                        <w:sz w:val="28"/>
                        <w:szCs w:val="28"/>
                        <w:lang w:val="en-US"/>
                      </w:rPr>
                      <m:t>P</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PART</m:t>
                            </m:r>
                          </m:e>
                          <m:sub>
                            <m:r>
                              <w:rPr>
                                <w:rFonts w:ascii="Cambria Math" w:hAnsi="Cambria Math"/>
                                <w:sz w:val="28"/>
                                <w:szCs w:val="28"/>
                                <w:lang w:val="en-US"/>
                              </w:rPr>
                              <m:t>i</m:t>
                            </m:r>
                          </m:sub>
                        </m:sSub>
                        <m:r>
                          <w:rPr>
                            <w:rFonts w:ascii="Cambria Math" w:hAnsi="Cambria Math"/>
                            <w:sz w:val="28"/>
                            <w:szCs w:val="28"/>
                            <w:lang w:val="en-US"/>
                          </w:rPr>
                          <m:t>=1</m:t>
                        </m:r>
                      </m:e>
                    </m:d>
                  </m:num>
                  <m:den>
                    <m:r>
                      <w:rPr>
                        <w:rFonts w:ascii="Cambria Math" w:hAnsi="Cambria Math"/>
                        <w:sz w:val="28"/>
                        <w:szCs w:val="28"/>
                        <w:lang w:val="en-US"/>
                      </w:rPr>
                      <m:t>1-P</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PART</m:t>
                            </m:r>
                          </m:e>
                          <m:sub>
                            <m:r>
                              <w:rPr>
                                <w:rFonts w:ascii="Cambria Math" w:hAnsi="Cambria Math"/>
                                <w:sz w:val="28"/>
                                <w:szCs w:val="28"/>
                                <w:lang w:val="en-US"/>
                              </w:rPr>
                              <m:t>i</m:t>
                            </m:r>
                          </m:sub>
                        </m:sSub>
                        <m:r>
                          <w:rPr>
                            <w:rFonts w:ascii="Cambria Math" w:hAnsi="Cambria Math"/>
                            <w:sz w:val="28"/>
                            <w:szCs w:val="28"/>
                            <w:lang w:val="en-US"/>
                          </w:rPr>
                          <m:t>=1</m:t>
                        </m:r>
                      </m:e>
                    </m:d>
                  </m:den>
                </m:f>
                <m:r>
                  <w:rPr>
                    <w:rFonts w:ascii="Cambria Math" w:hAnsi="Cambria Math"/>
                    <w:sz w:val="28"/>
                    <w:szCs w:val="28"/>
                    <w:lang w:val="kk-KZ"/>
                  </w:rPr>
                  <m:t>==α+</m:t>
                </m:r>
                <m:sSub>
                  <m:sSubPr>
                    <m:ctrlPr>
                      <w:rPr>
                        <w:rFonts w:ascii="Cambria Math" w:hAnsi="Cambria Math"/>
                        <w:i/>
                        <w:sz w:val="28"/>
                        <w:szCs w:val="28"/>
                        <w:lang w:val="kk-KZ"/>
                      </w:rPr>
                    </m:ctrlPr>
                  </m:sSubPr>
                  <m:e>
                    <m:r>
                      <w:rPr>
                        <w:rFonts w:ascii="Cambria Math" w:hAnsi="Cambria Math"/>
                        <w:sz w:val="28"/>
                        <w:szCs w:val="28"/>
                        <w:lang w:val="kk-KZ"/>
                      </w:rPr>
                      <m:t>β</m:t>
                    </m:r>
                  </m:e>
                  <m:sub>
                    <m:r>
                      <w:rPr>
                        <w:rFonts w:ascii="Cambria Math" w:hAnsi="Cambria Math"/>
                        <w:sz w:val="28"/>
                        <w:szCs w:val="28"/>
                        <w:lang w:val="kk-KZ"/>
                      </w:rPr>
                      <m:t>S2</m:t>
                    </m:r>
                  </m:sub>
                </m:sSub>
                <m:r>
                  <w:rPr>
                    <w:rFonts w:ascii="Cambria Math" w:hAnsi="Cambria Math"/>
                    <w:sz w:val="28"/>
                    <w:szCs w:val="28"/>
                    <w:lang w:val="kk-KZ"/>
                  </w:rPr>
                  <m:t>∙SIZE</m:t>
                </m:r>
                <m:sSub>
                  <m:sSubPr>
                    <m:ctrlPr>
                      <w:rPr>
                        <w:rFonts w:ascii="Cambria Math" w:hAnsi="Cambria Math"/>
                        <w:i/>
                        <w:sz w:val="28"/>
                        <w:szCs w:val="28"/>
                        <w:lang w:val="kk-KZ"/>
                      </w:rPr>
                    </m:ctrlPr>
                  </m:sSubPr>
                  <m:e>
                    <m:r>
                      <w:rPr>
                        <w:rFonts w:ascii="Cambria Math" w:hAnsi="Cambria Math"/>
                        <w:sz w:val="28"/>
                        <w:szCs w:val="28"/>
                        <w:lang w:val="kk-KZ"/>
                      </w:rPr>
                      <m:t>2</m:t>
                    </m:r>
                  </m:e>
                  <m:sub>
                    <m:r>
                      <w:rPr>
                        <w:rFonts w:ascii="Cambria Math" w:hAnsi="Cambria Math"/>
                        <w:sz w:val="28"/>
                        <w:szCs w:val="28"/>
                        <w:lang w:val="kk-KZ"/>
                      </w:rPr>
                      <m:t>i</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β</m:t>
                    </m:r>
                  </m:e>
                  <m:sub>
                    <m:r>
                      <w:rPr>
                        <w:rFonts w:ascii="Cambria Math" w:hAnsi="Cambria Math"/>
                        <w:sz w:val="28"/>
                        <w:szCs w:val="28"/>
                        <w:lang w:val="kk-KZ"/>
                      </w:rPr>
                      <m:t>S3</m:t>
                    </m:r>
                  </m:sub>
                </m:sSub>
                <m:r>
                  <w:rPr>
                    <w:rFonts w:ascii="Cambria Math" w:hAnsi="Cambria Math"/>
                    <w:sz w:val="28"/>
                    <w:szCs w:val="28"/>
                    <w:lang w:val="kk-KZ"/>
                  </w:rPr>
                  <m:t>∙SIZE</m:t>
                </m:r>
                <m:sSub>
                  <m:sSubPr>
                    <m:ctrlPr>
                      <w:rPr>
                        <w:rFonts w:ascii="Cambria Math" w:hAnsi="Cambria Math"/>
                        <w:i/>
                        <w:sz w:val="28"/>
                        <w:szCs w:val="28"/>
                        <w:lang w:val="kk-KZ"/>
                      </w:rPr>
                    </m:ctrlPr>
                  </m:sSubPr>
                  <m:e>
                    <m:r>
                      <w:rPr>
                        <w:rFonts w:ascii="Cambria Math" w:hAnsi="Cambria Math"/>
                        <w:sz w:val="28"/>
                        <w:szCs w:val="28"/>
                        <w:lang w:val="kk-KZ"/>
                      </w:rPr>
                      <m:t>3</m:t>
                    </m:r>
                  </m:e>
                  <m:sub>
                    <m:r>
                      <w:rPr>
                        <w:rFonts w:ascii="Cambria Math" w:hAnsi="Cambria Math"/>
                        <w:sz w:val="28"/>
                        <w:szCs w:val="28"/>
                        <w:lang w:val="kk-KZ"/>
                      </w:rPr>
                      <m:t>i</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β</m:t>
                    </m:r>
                  </m:e>
                  <m:sub>
                    <m:r>
                      <w:rPr>
                        <w:rFonts w:ascii="Cambria Math" w:hAnsi="Cambria Math"/>
                        <w:sz w:val="28"/>
                        <w:szCs w:val="28"/>
                        <w:lang w:val="kk-KZ"/>
                      </w:rPr>
                      <m:t>A</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AWARE</m:t>
                    </m:r>
                  </m:e>
                  <m:sub>
                    <m:r>
                      <w:rPr>
                        <w:rFonts w:ascii="Cambria Math" w:hAnsi="Cambria Math"/>
                        <w:sz w:val="28"/>
                        <w:szCs w:val="28"/>
                        <w:lang w:val="kk-KZ"/>
                      </w:rPr>
                      <m:t>i</m:t>
                    </m:r>
                  </m:sub>
                </m:sSub>
                <m:r>
                  <w:rPr>
                    <w:rFonts w:ascii="Cambria Math" w:hAnsi="Cambria Math"/>
                    <w:sz w:val="28"/>
                    <w:szCs w:val="28"/>
                    <w:lang w:val="kk-KZ"/>
                  </w:rPr>
                  <m:t>+</m:t>
                </m:r>
              </m:oMath>
            </m:oMathPara>
          </w:p>
          <w:p w14:paraId="654F42A9" w14:textId="4CB84B90" w:rsidR="004B61BA" w:rsidRPr="004B61BA" w:rsidRDefault="004B61BA" w:rsidP="002F33D0">
            <w:pPr>
              <w:ind w:firstLine="0"/>
              <w:jc w:val="both"/>
              <w:rPr>
                <w:i/>
                <w:sz w:val="28"/>
                <w:szCs w:val="28"/>
                <w:lang w:val="kk-KZ"/>
              </w:rPr>
            </w:pPr>
            <m:oMathPara>
              <m:oMathParaPr>
                <m:jc m:val="center"/>
              </m:oMathParaPr>
              <m:oMath>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β</m:t>
                    </m:r>
                  </m:e>
                  <m:sub>
                    <m:r>
                      <w:rPr>
                        <w:rFonts w:ascii="Cambria Math" w:hAnsi="Cambria Math"/>
                        <w:sz w:val="28"/>
                        <w:szCs w:val="28"/>
                        <w:lang w:val="kk-KZ"/>
                      </w:rPr>
                      <m:t>M</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MOTIV</m:t>
                    </m:r>
                  </m:e>
                  <m:sub>
                    <m:r>
                      <w:rPr>
                        <w:rFonts w:ascii="Cambria Math" w:hAnsi="Cambria Math"/>
                        <w:sz w:val="28"/>
                        <w:szCs w:val="28"/>
                        <w:lang w:val="kk-KZ"/>
                      </w:rPr>
                      <m:t>i</m:t>
                    </m:r>
                  </m:sub>
                </m:sSub>
              </m:oMath>
            </m:oMathPara>
          </w:p>
        </w:tc>
        <w:tc>
          <w:tcPr>
            <w:tcW w:w="561" w:type="dxa"/>
            <w:vAlign w:val="center"/>
          </w:tcPr>
          <w:p w14:paraId="2CBD3ADE" w14:textId="4DE660CB" w:rsidR="004B61BA" w:rsidRDefault="004B61BA" w:rsidP="00FE65D3">
            <w:pPr>
              <w:ind w:firstLine="0"/>
              <w:jc w:val="center"/>
              <w:rPr>
                <w:sz w:val="28"/>
                <w:szCs w:val="28"/>
                <w:lang w:val="kk-KZ"/>
              </w:rPr>
            </w:pPr>
            <w:r>
              <w:rPr>
                <w:sz w:val="28"/>
                <w:szCs w:val="28"/>
                <w:lang w:val="kk-KZ"/>
              </w:rPr>
              <w:t>(</w:t>
            </w:r>
            <w:r w:rsidR="00FE65D3">
              <w:rPr>
                <w:sz w:val="28"/>
                <w:szCs w:val="28"/>
                <w:lang w:val="kk-KZ"/>
              </w:rPr>
              <w:t>9</w:t>
            </w:r>
            <w:r>
              <w:rPr>
                <w:sz w:val="28"/>
                <w:szCs w:val="28"/>
                <w:lang w:val="kk-KZ"/>
              </w:rPr>
              <w:t>)</w:t>
            </w:r>
          </w:p>
        </w:tc>
      </w:tr>
    </w:tbl>
    <w:p w14:paraId="42E0AD3C" w14:textId="77777777" w:rsidR="004B61BA" w:rsidRDefault="004B61BA" w:rsidP="002F33D0">
      <w:pPr>
        <w:spacing w:after="0" w:line="240" w:lineRule="auto"/>
        <w:jc w:val="both"/>
        <w:rPr>
          <w:rFonts w:ascii="Times New Roman" w:eastAsiaTheme="minorEastAsia" w:hAnsi="Times New Roman" w:cs="Times New Roman"/>
          <w:sz w:val="28"/>
          <w:szCs w:val="28"/>
          <w:lang w:val="kk-KZ"/>
        </w:rPr>
      </w:pPr>
    </w:p>
    <w:p w14:paraId="1D31105A" w14:textId="7D8B0064" w:rsidR="000C1190" w:rsidRPr="000C1190" w:rsidRDefault="0018767C" w:rsidP="00FE65D3">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г</w:t>
      </w:r>
      <w:r w:rsidR="00FE65D3">
        <w:rPr>
          <w:rFonts w:ascii="Times New Roman" w:hAnsi="Times New Roman" w:cs="Times New Roman"/>
          <w:sz w:val="28"/>
          <w:szCs w:val="28"/>
          <w:lang w:val="kk-KZ"/>
        </w:rPr>
        <w:t>де</w:t>
      </w:r>
    </w:p>
    <w:p w14:paraId="7E4D10A7" w14:textId="77777777" w:rsidR="000C1190" w:rsidRPr="000C1190" w:rsidRDefault="000C1190" w:rsidP="00FE65D3">
      <w:pPr>
        <w:spacing w:after="0" w:line="240" w:lineRule="auto"/>
        <w:ind w:firstLine="567"/>
        <w:jc w:val="both"/>
        <w:rPr>
          <w:rFonts w:ascii="Times New Roman" w:eastAsiaTheme="minorEastAsia" w:hAnsi="Times New Roman" w:cs="Times New Roman"/>
          <w:sz w:val="28"/>
          <w:szCs w:val="28"/>
          <w:lang w:val="kk-KZ"/>
        </w:rPr>
      </w:pPr>
      <m:oMath>
        <m:r>
          <w:rPr>
            <w:rFonts w:ascii="Cambria Math" w:hAnsi="Cambria Math" w:cs="Times New Roman"/>
            <w:sz w:val="28"/>
            <w:szCs w:val="28"/>
            <w:lang w:val="en-US"/>
          </w:rPr>
          <m:t>P</m:t>
        </m:r>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PART</m:t>
            </m:r>
          </m:e>
          <m:sub>
            <m:r>
              <w:rPr>
                <w:rFonts w:ascii="Cambria Math" w:hAnsi="Cambria Math" w:cs="Times New Roman"/>
                <w:sz w:val="28"/>
                <w:szCs w:val="28"/>
                <w:lang w:val="en-US"/>
              </w:rPr>
              <m:t>i</m:t>
            </m:r>
          </m:sub>
        </m:sSub>
        <m:r>
          <w:rPr>
            <w:rFonts w:ascii="Cambria Math" w:hAnsi="Cambria Math" w:cs="Times New Roman"/>
            <w:sz w:val="28"/>
            <w:szCs w:val="28"/>
          </w:rPr>
          <m:t>=1)</m:t>
        </m:r>
      </m:oMath>
      <w:r w:rsidRPr="000C1190">
        <w:rPr>
          <w:rFonts w:ascii="Times New Roman" w:eastAsiaTheme="minorEastAsia" w:hAnsi="Times New Roman" w:cs="Times New Roman"/>
          <w:sz w:val="28"/>
          <w:szCs w:val="28"/>
        </w:rPr>
        <w:t xml:space="preserve"> – </w:t>
      </w:r>
      <w:r w:rsidRPr="000C1190">
        <w:rPr>
          <w:rFonts w:ascii="Times New Roman" w:eastAsiaTheme="minorEastAsia" w:hAnsi="Times New Roman" w:cs="Times New Roman"/>
          <w:sz w:val="28"/>
          <w:szCs w:val="28"/>
          <w:lang w:val="kk-KZ"/>
        </w:rPr>
        <w:t>вероятность участия предприятия і</w:t>
      </w:r>
      <w:r w:rsidRPr="000C1190">
        <w:rPr>
          <w:rFonts w:ascii="Times New Roman" w:eastAsiaTheme="minorEastAsia" w:hAnsi="Times New Roman" w:cs="Times New Roman"/>
          <w:sz w:val="28"/>
          <w:szCs w:val="28"/>
        </w:rPr>
        <w:t xml:space="preserve"> </w:t>
      </w:r>
      <w:r w:rsidRPr="000C1190">
        <w:rPr>
          <w:rFonts w:ascii="Times New Roman" w:eastAsiaTheme="minorEastAsia" w:hAnsi="Times New Roman" w:cs="Times New Roman"/>
          <w:sz w:val="28"/>
          <w:szCs w:val="28"/>
          <w:lang w:val="kk-KZ"/>
        </w:rPr>
        <w:t>в программе поддержки;</w:t>
      </w:r>
    </w:p>
    <w:p w14:paraId="6D84CD34" w14:textId="77777777" w:rsidR="000C1190" w:rsidRPr="000C1190" w:rsidRDefault="000C1190" w:rsidP="00FE65D3">
      <w:pPr>
        <w:spacing w:after="0" w:line="240" w:lineRule="auto"/>
        <w:ind w:firstLine="567"/>
        <w:jc w:val="both"/>
        <w:rPr>
          <w:rFonts w:ascii="Times New Roman" w:eastAsiaTheme="minorEastAsia" w:hAnsi="Times New Roman" w:cs="Times New Roman"/>
          <w:sz w:val="28"/>
          <w:szCs w:val="28"/>
          <w:lang w:val="kk-KZ"/>
        </w:rPr>
      </w:pPr>
      <m:oMath>
        <m:r>
          <w:rPr>
            <w:rFonts w:ascii="Cambria Math" w:hAnsi="Cambria Math" w:cs="Times New Roman"/>
            <w:sz w:val="28"/>
            <w:szCs w:val="28"/>
            <w:lang w:val="kk-KZ"/>
          </w:rPr>
          <m:t>SIZE</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2</m:t>
            </m:r>
          </m:e>
          <m:sub>
            <m:r>
              <w:rPr>
                <w:rFonts w:ascii="Cambria Math" w:hAnsi="Cambria Math" w:cs="Times New Roman"/>
                <w:sz w:val="28"/>
                <w:szCs w:val="28"/>
                <w:lang w:val="kk-KZ"/>
              </w:rPr>
              <m:t>i</m:t>
            </m:r>
          </m:sub>
        </m:sSub>
      </m:oMath>
      <w:r w:rsidRPr="000C1190">
        <w:rPr>
          <w:rFonts w:ascii="Times New Roman" w:eastAsiaTheme="minorEastAsia" w:hAnsi="Times New Roman" w:cs="Times New Roman"/>
          <w:sz w:val="28"/>
          <w:szCs w:val="28"/>
          <w:lang w:val="kk-KZ"/>
        </w:rPr>
        <w:t xml:space="preserve">, </w:t>
      </w:r>
      <m:oMath>
        <m:r>
          <w:rPr>
            <w:rFonts w:ascii="Cambria Math" w:hAnsi="Cambria Math" w:cs="Times New Roman"/>
            <w:sz w:val="28"/>
            <w:szCs w:val="28"/>
            <w:lang w:val="kk-KZ"/>
          </w:rPr>
          <m:t>SIZE</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3</m:t>
            </m:r>
          </m:e>
          <m:sub>
            <m:r>
              <w:rPr>
                <w:rFonts w:ascii="Cambria Math" w:hAnsi="Cambria Math" w:cs="Times New Roman"/>
                <w:sz w:val="28"/>
                <w:szCs w:val="28"/>
                <w:lang w:val="kk-KZ"/>
              </w:rPr>
              <m:t>i</m:t>
            </m:r>
          </m:sub>
        </m:sSub>
      </m:oMath>
      <w:r w:rsidRPr="000C1190">
        <w:rPr>
          <w:rFonts w:ascii="Times New Roman" w:eastAsiaTheme="minorEastAsia" w:hAnsi="Times New Roman" w:cs="Times New Roman"/>
          <w:sz w:val="28"/>
          <w:szCs w:val="28"/>
          <w:lang w:val="kk-KZ"/>
        </w:rPr>
        <w:t xml:space="preserve"> – значения переменных для малых и средних предприятий;</w:t>
      </w:r>
    </w:p>
    <w:p w14:paraId="1AC12B85" w14:textId="77777777" w:rsidR="000C1190" w:rsidRPr="000C1190" w:rsidRDefault="001D4931" w:rsidP="00FE65D3">
      <w:pPr>
        <w:spacing w:after="0" w:line="240" w:lineRule="auto"/>
        <w:ind w:firstLine="567"/>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AWARE</m:t>
            </m:r>
          </m:e>
          <m:sub>
            <m:r>
              <w:rPr>
                <w:rFonts w:ascii="Cambria Math" w:hAnsi="Cambria Math" w:cs="Times New Roman"/>
                <w:sz w:val="28"/>
                <w:szCs w:val="28"/>
                <w:lang w:val="kk-KZ"/>
              </w:rPr>
              <m:t>i</m:t>
            </m:r>
          </m:sub>
        </m:sSub>
      </m:oMath>
      <w:r w:rsidR="000C1190" w:rsidRPr="000C1190">
        <w:rPr>
          <w:rFonts w:ascii="Times New Roman" w:eastAsiaTheme="minorEastAsia" w:hAnsi="Times New Roman" w:cs="Times New Roman"/>
          <w:sz w:val="28"/>
          <w:szCs w:val="28"/>
          <w:lang w:val="kk-KZ"/>
        </w:rPr>
        <w:t xml:space="preserve"> – индекс информированности;</w:t>
      </w:r>
    </w:p>
    <w:p w14:paraId="7FAF48E1" w14:textId="77777777" w:rsidR="000C1190" w:rsidRPr="000C1190" w:rsidRDefault="001D4931" w:rsidP="00FE65D3">
      <w:pPr>
        <w:spacing w:after="0" w:line="240" w:lineRule="auto"/>
        <w:ind w:firstLine="567"/>
        <w:jc w:val="both"/>
        <w:rPr>
          <w:rFonts w:ascii="Times New Roman" w:hAnsi="Times New Roman" w:cs="Times New Roman"/>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MOTIV</m:t>
            </m:r>
          </m:e>
          <m:sub>
            <m:r>
              <w:rPr>
                <w:rFonts w:ascii="Cambria Math" w:hAnsi="Cambria Math" w:cs="Times New Roman"/>
                <w:sz w:val="28"/>
                <w:szCs w:val="28"/>
                <w:lang w:val="kk-KZ"/>
              </w:rPr>
              <m:t>i</m:t>
            </m:r>
          </m:sub>
        </m:sSub>
      </m:oMath>
      <w:r w:rsidR="000C1190" w:rsidRPr="000C1190">
        <w:rPr>
          <w:rFonts w:ascii="Times New Roman" w:eastAsiaTheme="minorEastAsia" w:hAnsi="Times New Roman" w:cs="Times New Roman"/>
          <w:sz w:val="28"/>
          <w:szCs w:val="28"/>
          <w:lang w:val="kk-KZ"/>
        </w:rPr>
        <w:t xml:space="preserve"> – индекс мотивации.</w:t>
      </w:r>
    </w:p>
    <w:p w14:paraId="028BEF74" w14:textId="77777777" w:rsidR="000C1190" w:rsidRPr="000C1190" w:rsidRDefault="000C1190" w:rsidP="002F33D0">
      <w:pPr>
        <w:spacing w:after="0" w:line="240" w:lineRule="auto"/>
        <w:ind w:firstLine="567"/>
        <w:jc w:val="both"/>
        <w:rPr>
          <w:rFonts w:ascii="Times New Roman" w:hAnsi="Times New Roman" w:cs="Times New Roman"/>
          <w:sz w:val="28"/>
          <w:szCs w:val="28"/>
        </w:rPr>
      </w:pPr>
    </w:p>
    <w:p w14:paraId="4D6DF79A" w14:textId="3E254843"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Оценка параметров осуществлялась методом максимального правдоподобия. Результаты показали, что значимым фактором выступает размер предприятия: для малых компаний вероятность участия в 2,7 раза ниже по сравнению с крупными (Exp(B)=0,363; p=0,004), тогда как различия между средними и крупными статистически незначимы. Индекс информированности, не продемонстрировал значимого влияния (Exp(B)=0,963; p=0,660). Индекс мотивации показал слабое положительное влияние, однако также не достиг статистической значимости, что отражает потенциальный, а не фактический характер этих стимулов.</w:t>
      </w:r>
    </w:p>
    <w:p w14:paraId="0EC0AD36" w14:textId="4456D044" w:rsidR="000C1190" w:rsidRPr="00FE65D3"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rPr>
        <w:t>Общая оценка качества модели по критерию правдоподобия подтвердила её статистическую значимость (</w:t>
      </w:r>
      <w:r w:rsidR="004B61BA" w:rsidRPr="00FE65D3">
        <w:rPr>
          <w:rFonts w:ascii="Times New Roman" w:hAnsi="Times New Roman" w:cs="Times New Roman"/>
          <w:i/>
          <w:sz w:val="28"/>
          <w:szCs w:val="28"/>
          <w:lang w:val="kk-KZ"/>
        </w:rPr>
        <w:t>х</w:t>
      </w:r>
      <w:r w:rsidR="00FE65D3" w:rsidRPr="00FE65D3">
        <w:rPr>
          <w:rFonts w:ascii="Times New Roman" w:hAnsi="Times New Roman" w:cs="Times New Roman"/>
          <w:sz w:val="28"/>
          <w:szCs w:val="28"/>
          <w:vertAlign w:val="superscript"/>
          <w:lang w:val="kk-KZ"/>
        </w:rPr>
        <w:t>2</w:t>
      </w:r>
      <w:r w:rsidR="00FE65D3">
        <w:rPr>
          <w:rFonts w:ascii="Times New Roman" w:hAnsi="Times New Roman" w:cs="Times New Roman"/>
          <w:sz w:val="28"/>
          <w:szCs w:val="28"/>
        </w:rPr>
        <w:t xml:space="preserve"> = 13,4; p=</w:t>
      </w:r>
      <w:r w:rsidRPr="000C1190">
        <w:rPr>
          <w:rFonts w:ascii="Times New Roman" w:hAnsi="Times New Roman" w:cs="Times New Roman"/>
          <w:sz w:val="28"/>
          <w:szCs w:val="28"/>
        </w:rPr>
        <w:t>0,004), однако значение Nagelkerke R</w:t>
      </w:r>
      <w:r w:rsidR="00FE65D3" w:rsidRPr="00FE65D3">
        <w:rPr>
          <w:rFonts w:ascii="Times New Roman" w:hAnsi="Times New Roman" w:cs="Times New Roman"/>
          <w:sz w:val="28"/>
          <w:szCs w:val="28"/>
          <w:vertAlign w:val="superscript"/>
          <w:lang w:val="kk-KZ"/>
        </w:rPr>
        <w:t>2</w:t>
      </w:r>
      <w:r w:rsidRPr="000C1190">
        <w:rPr>
          <w:rFonts w:ascii="Times New Roman" w:hAnsi="Times New Roman" w:cs="Times New Roman"/>
          <w:sz w:val="28"/>
          <w:szCs w:val="28"/>
        </w:rPr>
        <w:t xml:space="preserve"> (0,024) указывает на то, что объяснённая вариация остаётся низкой. Это означает, что участие в господдержке определяется не только рассматриваемыми факторами, но и рядом дополнительных обстоятельств (например, отраслевой спецификой, региональными условиями, уровнем цифровой зрелости и качеством взаимодействия с институтами развития).</w:t>
      </w:r>
      <w:r w:rsidR="00FE65D3">
        <w:rPr>
          <w:rFonts w:ascii="Times New Roman" w:hAnsi="Times New Roman" w:cs="Times New Roman"/>
          <w:sz w:val="28"/>
          <w:szCs w:val="28"/>
          <w:lang w:val="kk-KZ"/>
        </w:rPr>
        <w:t xml:space="preserve"> </w:t>
      </w:r>
      <w:r w:rsidR="00FE65D3" w:rsidRPr="000C1190">
        <w:rPr>
          <w:rFonts w:ascii="Times New Roman" w:hAnsi="Times New Roman" w:cs="Times New Roman"/>
          <w:sz w:val="28"/>
          <w:szCs w:val="28"/>
        </w:rPr>
        <w:t>Результаты логистической регрессии для вероятности участия в программах господдержки</w:t>
      </w:r>
      <w:r w:rsidR="00FE65D3">
        <w:rPr>
          <w:rFonts w:ascii="Times New Roman" w:hAnsi="Times New Roman" w:cs="Times New Roman"/>
          <w:sz w:val="28"/>
          <w:szCs w:val="28"/>
          <w:lang w:val="kk-KZ"/>
        </w:rPr>
        <w:t xml:space="preserve"> представлены в таблице 27</w:t>
      </w:r>
      <w:r w:rsidR="003D1C4A">
        <w:rPr>
          <w:rFonts w:ascii="Times New Roman" w:hAnsi="Times New Roman" w:cs="Times New Roman"/>
          <w:sz w:val="28"/>
          <w:szCs w:val="28"/>
          <w:lang w:val="kk-KZ"/>
        </w:rPr>
        <w:t xml:space="preserve"> (</w:t>
      </w:r>
      <w:r w:rsidR="00E96BD3">
        <w:rPr>
          <w:rFonts w:ascii="Times New Roman" w:hAnsi="Times New Roman" w:cs="Times New Roman"/>
          <w:sz w:val="28"/>
          <w:szCs w:val="28"/>
          <w:lang w:val="kk-KZ"/>
        </w:rPr>
        <w:t xml:space="preserve">Приложение </w:t>
      </w:r>
      <w:r w:rsidR="00AA67DC">
        <w:rPr>
          <w:rFonts w:ascii="Times New Roman" w:hAnsi="Times New Roman" w:cs="Times New Roman"/>
          <w:sz w:val="28"/>
          <w:szCs w:val="28"/>
          <w:lang w:val="kk-KZ"/>
        </w:rPr>
        <w:t>Н</w:t>
      </w:r>
      <w:r w:rsidR="003D1C4A">
        <w:rPr>
          <w:rFonts w:ascii="Times New Roman" w:hAnsi="Times New Roman" w:cs="Times New Roman"/>
          <w:sz w:val="28"/>
          <w:szCs w:val="28"/>
          <w:lang w:val="kk-KZ"/>
        </w:rPr>
        <w:t>)</w:t>
      </w:r>
      <w:r w:rsidR="00FE65D3">
        <w:rPr>
          <w:rFonts w:ascii="Times New Roman" w:hAnsi="Times New Roman" w:cs="Times New Roman"/>
          <w:sz w:val="28"/>
          <w:szCs w:val="28"/>
          <w:lang w:val="kk-KZ"/>
        </w:rPr>
        <w:t>.</w:t>
      </w:r>
    </w:p>
    <w:p w14:paraId="10C1A811" w14:textId="77777777" w:rsidR="000C1190" w:rsidRPr="000C1190" w:rsidRDefault="000C1190" w:rsidP="002F33D0">
      <w:pPr>
        <w:spacing w:after="0" w:line="240" w:lineRule="auto"/>
        <w:ind w:firstLine="567"/>
        <w:jc w:val="both"/>
        <w:rPr>
          <w:rFonts w:ascii="Times New Roman" w:hAnsi="Times New Roman" w:cs="Times New Roman"/>
          <w:sz w:val="28"/>
          <w:szCs w:val="28"/>
        </w:rPr>
      </w:pPr>
    </w:p>
    <w:p w14:paraId="4B891A05" w14:textId="77777777" w:rsidR="00FD618C" w:rsidRDefault="00FD618C" w:rsidP="002F33D0">
      <w:pPr>
        <w:spacing w:after="0" w:line="240" w:lineRule="auto"/>
        <w:jc w:val="both"/>
        <w:rPr>
          <w:rFonts w:ascii="Times New Roman" w:hAnsi="Times New Roman" w:cs="Times New Roman"/>
          <w:sz w:val="28"/>
          <w:szCs w:val="28"/>
        </w:rPr>
      </w:pPr>
    </w:p>
    <w:p w14:paraId="566651F9" w14:textId="77777777" w:rsidR="00FD618C" w:rsidRDefault="00FD618C" w:rsidP="002F33D0">
      <w:pPr>
        <w:spacing w:after="0" w:line="240" w:lineRule="auto"/>
        <w:jc w:val="both"/>
        <w:rPr>
          <w:rFonts w:ascii="Times New Roman" w:hAnsi="Times New Roman" w:cs="Times New Roman"/>
          <w:sz w:val="28"/>
          <w:szCs w:val="28"/>
        </w:rPr>
      </w:pPr>
    </w:p>
    <w:p w14:paraId="5444A1ED" w14:textId="77777777" w:rsidR="00FD618C" w:rsidRDefault="00FD618C" w:rsidP="002F33D0">
      <w:pPr>
        <w:spacing w:after="0" w:line="240" w:lineRule="auto"/>
        <w:jc w:val="both"/>
        <w:rPr>
          <w:rFonts w:ascii="Times New Roman" w:hAnsi="Times New Roman" w:cs="Times New Roman"/>
          <w:sz w:val="28"/>
          <w:szCs w:val="28"/>
        </w:rPr>
      </w:pPr>
    </w:p>
    <w:p w14:paraId="70595789" w14:textId="00659653" w:rsidR="000C1190" w:rsidRDefault="004B61BA" w:rsidP="002F33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Таблица </w:t>
      </w:r>
      <w:r w:rsidR="00FE65D3">
        <w:rPr>
          <w:rFonts w:ascii="Times New Roman" w:hAnsi="Times New Roman" w:cs="Times New Roman"/>
          <w:sz w:val="28"/>
          <w:szCs w:val="28"/>
          <w:lang w:val="kk-KZ"/>
        </w:rPr>
        <w:t>27</w:t>
      </w:r>
      <w:r>
        <w:rPr>
          <w:rFonts w:ascii="Times New Roman" w:hAnsi="Times New Roman" w:cs="Times New Roman"/>
          <w:sz w:val="28"/>
          <w:szCs w:val="28"/>
          <w:lang w:val="kk-KZ"/>
        </w:rPr>
        <w:t xml:space="preserve"> –</w:t>
      </w:r>
      <w:r w:rsidR="000C1190" w:rsidRPr="000C1190">
        <w:rPr>
          <w:rFonts w:ascii="Times New Roman" w:hAnsi="Times New Roman" w:cs="Times New Roman"/>
          <w:sz w:val="28"/>
          <w:szCs w:val="28"/>
        </w:rPr>
        <w:t xml:space="preserve"> Результаты логистической регрессии для вероятности участия в программах господдержки</w:t>
      </w:r>
    </w:p>
    <w:p w14:paraId="299C15B5" w14:textId="77777777" w:rsidR="004B61BA" w:rsidRPr="00FE65D3" w:rsidRDefault="004B61BA" w:rsidP="002F33D0">
      <w:pPr>
        <w:spacing w:after="0" w:line="240" w:lineRule="auto"/>
        <w:jc w:val="both"/>
        <w:rPr>
          <w:rFonts w:ascii="Times New Roman" w:hAnsi="Times New Roman" w:cs="Times New Roman"/>
          <w:sz w:val="20"/>
          <w:szCs w:val="20"/>
        </w:rPr>
      </w:pPr>
    </w:p>
    <w:tbl>
      <w:tblPr>
        <w:tblStyle w:val="a5"/>
        <w:tblW w:w="5000" w:type="pct"/>
        <w:tblLook w:val="04A0" w:firstRow="1" w:lastRow="0" w:firstColumn="1" w:lastColumn="0" w:noHBand="0" w:noVBand="1"/>
      </w:tblPr>
      <w:tblGrid>
        <w:gridCol w:w="2930"/>
        <w:gridCol w:w="1108"/>
        <w:gridCol w:w="756"/>
        <w:gridCol w:w="921"/>
        <w:gridCol w:w="892"/>
        <w:gridCol w:w="949"/>
        <w:gridCol w:w="1789"/>
      </w:tblGrid>
      <w:tr w:rsidR="000C1190" w:rsidRPr="004B61BA" w14:paraId="28687900" w14:textId="77777777" w:rsidTr="00FA2665">
        <w:tc>
          <w:tcPr>
            <w:tcW w:w="1568" w:type="pct"/>
            <w:vAlign w:val="center"/>
            <w:hideMark/>
          </w:tcPr>
          <w:p w14:paraId="2E8007ED" w14:textId="77777777" w:rsidR="000C1190" w:rsidRPr="00FE65D3" w:rsidRDefault="000C1190" w:rsidP="002F33D0">
            <w:pPr>
              <w:ind w:firstLine="0"/>
              <w:jc w:val="center"/>
              <w:rPr>
                <w:rFonts w:eastAsia="Times New Roman"/>
                <w:bCs/>
                <w:szCs w:val="24"/>
                <w:lang w:eastAsia="ru-RU"/>
              </w:rPr>
            </w:pPr>
            <w:r w:rsidRPr="00FE65D3">
              <w:rPr>
                <w:rFonts w:eastAsia="Times New Roman"/>
                <w:bCs/>
                <w:szCs w:val="24"/>
                <w:lang w:eastAsia="ru-RU"/>
              </w:rPr>
              <w:t>Переменная</w:t>
            </w:r>
          </w:p>
        </w:tc>
        <w:tc>
          <w:tcPr>
            <w:tcW w:w="593" w:type="pct"/>
            <w:vAlign w:val="center"/>
            <w:hideMark/>
          </w:tcPr>
          <w:p w14:paraId="00BCCAF8" w14:textId="77777777" w:rsidR="000C1190" w:rsidRPr="004B61BA" w:rsidRDefault="000C1190" w:rsidP="002F33D0">
            <w:pPr>
              <w:ind w:firstLine="0"/>
              <w:jc w:val="center"/>
              <w:rPr>
                <w:rFonts w:eastAsia="Times New Roman"/>
                <w:bCs/>
                <w:szCs w:val="24"/>
                <w:lang w:eastAsia="ru-RU"/>
              </w:rPr>
            </w:pPr>
            <w:r w:rsidRPr="004B61BA">
              <w:rPr>
                <w:rFonts w:eastAsia="Times New Roman"/>
                <w:bCs/>
                <w:szCs w:val="24"/>
                <w:lang w:eastAsia="ru-RU"/>
              </w:rPr>
              <w:t>B (коэф.)</w:t>
            </w:r>
          </w:p>
        </w:tc>
        <w:tc>
          <w:tcPr>
            <w:tcW w:w="404" w:type="pct"/>
            <w:vAlign w:val="center"/>
            <w:hideMark/>
          </w:tcPr>
          <w:p w14:paraId="65C34496" w14:textId="77777777" w:rsidR="000C1190" w:rsidRPr="004B61BA" w:rsidRDefault="000C1190" w:rsidP="002F33D0">
            <w:pPr>
              <w:ind w:firstLine="0"/>
              <w:jc w:val="center"/>
              <w:rPr>
                <w:rFonts w:eastAsia="Times New Roman"/>
                <w:bCs/>
                <w:szCs w:val="24"/>
                <w:lang w:eastAsia="ru-RU"/>
              </w:rPr>
            </w:pPr>
            <w:r w:rsidRPr="004B61BA">
              <w:rPr>
                <w:rFonts w:eastAsia="Times New Roman"/>
                <w:bCs/>
                <w:szCs w:val="24"/>
                <w:lang w:eastAsia="ru-RU"/>
              </w:rPr>
              <w:t>SE</w:t>
            </w:r>
          </w:p>
        </w:tc>
        <w:tc>
          <w:tcPr>
            <w:tcW w:w="493" w:type="pct"/>
            <w:vAlign w:val="center"/>
            <w:hideMark/>
          </w:tcPr>
          <w:p w14:paraId="0F2B2D0D" w14:textId="30C04DEC" w:rsidR="000C1190" w:rsidRPr="00FE65D3" w:rsidRDefault="000C1190" w:rsidP="002F33D0">
            <w:pPr>
              <w:ind w:firstLine="0"/>
              <w:jc w:val="center"/>
              <w:rPr>
                <w:rFonts w:eastAsia="Times New Roman"/>
                <w:bCs/>
                <w:szCs w:val="24"/>
                <w:lang w:eastAsia="ru-RU"/>
              </w:rPr>
            </w:pPr>
            <w:r w:rsidRPr="00FE65D3">
              <w:rPr>
                <w:rFonts w:eastAsia="Times New Roman"/>
                <w:bCs/>
                <w:szCs w:val="24"/>
                <w:lang w:eastAsia="ru-RU"/>
              </w:rPr>
              <w:t xml:space="preserve">Wald </w:t>
            </w:r>
            <w:r w:rsidR="00FA2665" w:rsidRPr="00FE65D3">
              <w:rPr>
                <w:rFonts w:eastAsia="Times New Roman"/>
                <w:bCs/>
                <w:i/>
                <w:szCs w:val="24"/>
                <w:lang w:val="kk-KZ" w:eastAsia="ru-RU"/>
              </w:rPr>
              <w:t>х</w:t>
            </w:r>
            <w:r w:rsidR="00FE65D3" w:rsidRPr="00FE65D3">
              <w:rPr>
                <w:szCs w:val="24"/>
                <w:vertAlign w:val="superscript"/>
                <w:lang w:val="kk-KZ"/>
              </w:rPr>
              <w:t>2</w:t>
            </w:r>
          </w:p>
        </w:tc>
        <w:tc>
          <w:tcPr>
            <w:tcW w:w="477" w:type="pct"/>
            <w:vAlign w:val="center"/>
            <w:hideMark/>
          </w:tcPr>
          <w:p w14:paraId="066C02A6" w14:textId="77777777" w:rsidR="000C1190" w:rsidRPr="004B61BA" w:rsidRDefault="000C1190" w:rsidP="002F33D0">
            <w:pPr>
              <w:ind w:firstLine="0"/>
              <w:jc w:val="center"/>
              <w:rPr>
                <w:rFonts w:eastAsia="Times New Roman"/>
                <w:bCs/>
                <w:szCs w:val="24"/>
                <w:lang w:eastAsia="ru-RU"/>
              </w:rPr>
            </w:pPr>
            <w:r w:rsidRPr="004B61BA">
              <w:rPr>
                <w:rFonts w:eastAsia="Times New Roman"/>
                <w:bCs/>
                <w:szCs w:val="24"/>
                <w:lang w:eastAsia="ru-RU"/>
              </w:rPr>
              <w:t>p-value</w:t>
            </w:r>
          </w:p>
        </w:tc>
        <w:tc>
          <w:tcPr>
            <w:tcW w:w="508" w:type="pct"/>
            <w:vAlign w:val="center"/>
            <w:hideMark/>
          </w:tcPr>
          <w:p w14:paraId="78AE533F" w14:textId="77777777" w:rsidR="000C1190" w:rsidRPr="004B61BA" w:rsidRDefault="000C1190" w:rsidP="002F33D0">
            <w:pPr>
              <w:ind w:firstLine="0"/>
              <w:jc w:val="center"/>
              <w:rPr>
                <w:rFonts w:eastAsia="Times New Roman"/>
                <w:bCs/>
                <w:szCs w:val="24"/>
                <w:lang w:eastAsia="ru-RU"/>
              </w:rPr>
            </w:pPr>
            <w:r w:rsidRPr="004B61BA">
              <w:rPr>
                <w:rFonts w:eastAsia="Times New Roman"/>
                <w:bCs/>
                <w:szCs w:val="24"/>
                <w:lang w:eastAsia="ru-RU"/>
              </w:rPr>
              <w:t>Exp(B)</w:t>
            </w:r>
          </w:p>
        </w:tc>
        <w:tc>
          <w:tcPr>
            <w:tcW w:w="956" w:type="pct"/>
            <w:vAlign w:val="center"/>
            <w:hideMark/>
          </w:tcPr>
          <w:p w14:paraId="52BC99E3" w14:textId="0AFDE5DF" w:rsidR="000C1190" w:rsidRPr="004B61BA" w:rsidRDefault="000C1190" w:rsidP="002F33D0">
            <w:pPr>
              <w:ind w:firstLine="0"/>
              <w:jc w:val="center"/>
              <w:rPr>
                <w:rFonts w:eastAsia="Times New Roman"/>
                <w:bCs/>
                <w:szCs w:val="24"/>
                <w:lang w:eastAsia="ru-RU"/>
              </w:rPr>
            </w:pPr>
            <w:r w:rsidRPr="004B61BA">
              <w:rPr>
                <w:rFonts w:eastAsia="Times New Roman"/>
                <w:bCs/>
                <w:szCs w:val="24"/>
                <w:lang w:eastAsia="ru-RU"/>
              </w:rPr>
              <w:t xml:space="preserve">95% </w:t>
            </w:r>
            <w:r w:rsidR="00FA2665">
              <w:rPr>
                <w:rFonts w:eastAsia="Times New Roman"/>
                <w:bCs/>
                <w:szCs w:val="24"/>
                <w:lang w:val="kk-KZ" w:eastAsia="ru-RU"/>
              </w:rPr>
              <w:t xml:space="preserve"> довер.инт.</w:t>
            </w:r>
            <w:r w:rsidRPr="004B61BA">
              <w:rPr>
                <w:rFonts w:eastAsia="Times New Roman"/>
                <w:bCs/>
                <w:szCs w:val="24"/>
                <w:lang w:eastAsia="ru-RU"/>
              </w:rPr>
              <w:t xml:space="preserve"> для Exp(B)</w:t>
            </w:r>
          </w:p>
        </w:tc>
      </w:tr>
      <w:tr w:rsidR="000C1190" w:rsidRPr="004B61BA" w14:paraId="194424E6" w14:textId="77777777" w:rsidTr="00FA2665">
        <w:tc>
          <w:tcPr>
            <w:tcW w:w="1568" w:type="pct"/>
            <w:hideMark/>
          </w:tcPr>
          <w:p w14:paraId="4AF6BF2E" w14:textId="77777777" w:rsidR="000C1190" w:rsidRPr="00FE65D3" w:rsidRDefault="000C1190" w:rsidP="002F33D0">
            <w:pPr>
              <w:ind w:firstLine="0"/>
              <w:rPr>
                <w:rFonts w:eastAsia="Times New Roman"/>
                <w:szCs w:val="24"/>
                <w:lang w:eastAsia="ru-RU"/>
              </w:rPr>
            </w:pPr>
            <w:r w:rsidRPr="00FE65D3">
              <w:rPr>
                <w:rFonts w:eastAsia="Times New Roman"/>
                <w:szCs w:val="24"/>
                <w:lang w:eastAsia="ru-RU"/>
              </w:rPr>
              <w:t>Константа</w:t>
            </w:r>
          </w:p>
        </w:tc>
        <w:tc>
          <w:tcPr>
            <w:tcW w:w="593" w:type="pct"/>
            <w:vAlign w:val="center"/>
            <w:hideMark/>
          </w:tcPr>
          <w:p w14:paraId="77111ACE"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-0,842</w:t>
            </w:r>
          </w:p>
        </w:tc>
        <w:tc>
          <w:tcPr>
            <w:tcW w:w="404" w:type="pct"/>
            <w:vAlign w:val="center"/>
            <w:hideMark/>
          </w:tcPr>
          <w:p w14:paraId="663E3B88"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0,451</w:t>
            </w:r>
          </w:p>
        </w:tc>
        <w:tc>
          <w:tcPr>
            <w:tcW w:w="493" w:type="pct"/>
            <w:vAlign w:val="center"/>
            <w:hideMark/>
          </w:tcPr>
          <w:p w14:paraId="7C7EC36B"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3,49</w:t>
            </w:r>
          </w:p>
        </w:tc>
        <w:tc>
          <w:tcPr>
            <w:tcW w:w="477" w:type="pct"/>
            <w:vAlign w:val="center"/>
            <w:hideMark/>
          </w:tcPr>
          <w:p w14:paraId="261BD91B"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0,062</w:t>
            </w:r>
          </w:p>
        </w:tc>
        <w:tc>
          <w:tcPr>
            <w:tcW w:w="508" w:type="pct"/>
            <w:vAlign w:val="center"/>
            <w:hideMark/>
          </w:tcPr>
          <w:p w14:paraId="1564B6C1"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0,431</w:t>
            </w:r>
          </w:p>
        </w:tc>
        <w:tc>
          <w:tcPr>
            <w:tcW w:w="956" w:type="pct"/>
            <w:vAlign w:val="center"/>
            <w:hideMark/>
          </w:tcPr>
          <w:p w14:paraId="53C3CAB3"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[0,183; 1,017]</w:t>
            </w:r>
          </w:p>
        </w:tc>
      </w:tr>
      <w:tr w:rsidR="000C1190" w:rsidRPr="004B61BA" w14:paraId="56CF558B" w14:textId="77777777" w:rsidTr="00FA2665">
        <w:tc>
          <w:tcPr>
            <w:tcW w:w="1568" w:type="pct"/>
            <w:hideMark/>
          </w:tcPr>
          <w:p w14:paraId="6648464C" w14:textId="64B0DAFE" w:rsidR="000C1190" w:rsidRPr="00FE65D3" w:rsidRDefault="00FE65D3" w:rsidP="00FE65D3">
            <w:pPr>
              <w:ind w:firstLine="0"/>
              <w:rPr>
                <w:rFonts w:eastAsia="Times New Roman"/>
                <w:szCs w:val="24"/>
                <w:lang w:eastAsia="ru-RU"/>
              </w:rPr>
            </w:pPr>
            <w:r w:rsidRPr="00FE65D3">
              <w:rPr>
                <w:rFonts w:eastAsia="Times New Roman"/>
                <w:szCs w:val="24"/>
                <w:lang w:eastAsia="ru-RU"/>
              </w:rPr>
              <w:t>Средние (</w:t>
            </w:r>
            <m:oMath>
              <m:r>
                <w:rPr>
                  <w:rFonts w:ascii="Cambria Math" w:hAnsi="Cambria Math"/>
                  <w:szCs w:val="24"/>
                  <w:lang w:val="kk-KZ"/>
                </w:rPr>
                <m:t>SIZE</m:t>
              </m:r>
              <m:sSub>
                <m:sSubPr>
                  <m:ctrlPr>
                    <w:rPr>
                      <w:rFonts w:ascii="Cambria Math" w:hAnsi="Cambria Math"/>
                      <w:i/>
                      <w:szCs w:val="24"/>
                      <w:lang w:val="kk-KZ"/>
                    </w:rPr>
                  </m:ctrlPr>
                </m:sSubPr>
                <m:e>
                  <m:r>
                    <w:rPr>
                      <w:rFonts w:ascii="Cambria Math" w:hAnsi="Cambria Math"/>
                      <w:szCs w:val="24"/>
                      <w:lang w:val="kk-KZ"/>
                    </w:rPr>
                    <m:t>2</m:t>
                  </m:r>
                </m:e>
                <m:sub>
                  <m:r>
                    <w:rPr>
                      <w:rFonts w:ascii="Cambria Math" w:hAnsi="Cambria Math"/>
                      <w:szCs w:val="24"/>
                      <w:lang w:val="kk-KZ"/>
                    </w:rPr>
                    <m:t>i</m:t>
                  </m:r>
                </m:sub>
              </m:sSub>
            </m:oMath>
            <w:r w:rsidR="000C1190" w:rsidRPr="00FE65D3">
              <w:rPr>
                <w:rFonts w:eastAsia="Times New Roman"/>
                <w:szCs w:val="24"/>
                <w:lang w:eastAsia="ru-RU"/>
              </w:rPr>
              <w:t>)</w:t>
            </w:r>
          </w:p>
        </w:tc>
        <w:tc>
          <w:tcPr>
            <w:tcW w:w="593" w:type="pct"/>
            <w:vAlign w:val="center"/>
            <w:hideMark/>
          </w:tcPr>
          <w:p w14:paraId="7DBDBB08"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-0,306</w:t>
            </w:r>
          </w:p>
        </w:tc>
        <w:tc>
          <w:tcPr>
            <w:tcW w:w="404" w:type="pct"/>
            <w:vAlign w:val="center"/>
            <w:hideMark/>
          </w:tcPr>
          <w:p w14:paraId="72BD118C"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0,381</w:t>
            </w:r>
          </w:p>
        </w:tc>
        <w:tc>
          <w:tcPr>
            <w:tcW w:w="493" w:type="pct"/>
            <w:vAlign w:val="center"/>
            <w:hideMark/>
          </w:tcPr>
          <w:p w14:paraId="5A571A93"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0,64</w:t>
            </w:r>
          </w:p>
        </w:tc>
        <w:tc>
          <w:tcPr>
            <w:tcW w:w="477" w:type="pct"/>
            <w:vAlign w:val="center"/>
            <w:hideMark/>
          </w:tcPr>
          <w:p w14:paraId="5AA356D6"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0,424</w:t>
            </w:r>
          </w:p>
        </w:tc>
        <w:tc>
          <w:tcPr>
            <w:tcW w:w="508" w:type="pct"/>
            <w:vAlign w:val="center"/>
            <w:hideMark/>
          </w:tcPr>
          <w:p w14:paraId="47473CFD"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0,736</w:t>
            </w:r>
          </w:p>
        </w:tc>
        <w:tc>
          <w:tcPr>
            <w:tcW w:w="956" w:type="pct"/>
            <w:vAlign w:val="center"/>
            <w:hideMark/>
          </w:tcPr>
          <w:p w14:paraId="12FB894F"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[0,348; 1,558]</w:t>
            </w:r>
          </w:p>
        </w:tc>
      </w:tr>
      <w:tr w:rsidR="000C1190" w:rsidRPr="004B61BA" w14:paraId="191BFAD6" w14:textId="77777777" w:rsidTr="00FA2665">
        <w:tc>
          <w:tcPr>
            <w:tcW w:w="1568" w:type="pct"/>
            <w:hideMark/>
          </w:tcPr>
          <w:p w14:paraId="6B119806" w14:textId="65C52495" w:rsidR="000C1190" w:rsidRPr="00FE65D3" w:rsidRDefault="00FE65D3" w:rsidP="00FE65D3">
            <w:pPr>
              <w:ind w:firstLine="0"/>
              <w:rPr>
                <w:rFonts w:eastAsia="Times New Roman"/>
                <w:szCs w:val="24"/>
                <w:lang w:eastAsia="ru-RU"/>
              </w:rPr>
            </w:pPr>
            <w:r w:rsidRPr="00FE65D3">
              <w:rPr>
                <w:rFonts w:eastAsia="Times New Roman"/>
                <w:szCs w:val="24"/>
                <w:lang w:eastAsia="ru-RU"/>
              </w:rPr>
              <w:t>Малые (</w:t>
            </w:r>
            <m:oMath>
              <m:r>
                <w:rPr>
                  <w:rFonts w:ascii="Cambria Math" w:hAnsi="Cambria Math"/>
                  <w:szCs w:val="24"/>
                  <w:lang w:val="kk-KZ"/>
                </w:rPr>
                <m:t>SIZE</m:t>
              </m:r>
              <m:sSub>
                <m:sSubPr>
                  <m:ctrlPr>
                    <w:rPr>
                      <w:rFonts w:ascii="Cambria Math" w:hAnsi="Cambria Math"/>
                      <w:i/>
                      <w:szCs w:val="24"/>
                      <w:lang w:val="kk-KZ"/>
                    </w:rPr>
                  </m:ctrlPr>
                </m:sSubPr>
                <m:e>
                  <m:r>
                    <w:rPr>
                      <w:rFonts w:ascii="Cambria Math" w:hAnsi="Cambria Math"/>
                      <w:szCs w:val="24"/>
                      <w:lang w:val="kk-KZ"/>
                    </w:rPr>
                    <m:t>3</m:t>
                  </m:r>
                </m:e>
                <m:sub>
                  <m:r>
                    <w:rPr>
                      <w:rFonts w:ascii="Cambria Math" w:hAnsi="Cambria Math"/>
                      <w:szCs w:val="24"/>
                      <w:lang w:val="kk-KZ"/>
                    </w:rPr>
                    <m:t>i</m:t>
                  </m:r>
                </m:sub>
              </m:sSub>
            </m:oMath>
            <w:r w:rsidR="000C1190" w:rsidRPr="00FE65D3">
              <w:rPr>
                <w:rFonts w:eastAsia="Times New Roman"/>
                <w:szCs w:val="24"/>
                <w:lang w:eastAsia="ru-RU"/>
              </w:rPr>
              <w:t>)</w:t>
            </w:r>
          </w:p>
        </w:tc>
        <w:tc>
          <w:tcPr>
            <w:tcW w:w="593" w:type="pct"/>
            <w:vAlign w:val="center"/>
            <w:hideMark/>
          </w:tcPr>
          <w:p w14:paraId="1D0218EA"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-1,014**</w:t>
            </w:r>
          </w:p>
        </w:tc>
        <w:tc>
          <w:tcPr>
            <w:tcW w:w="404" w:type="pct"/>
            <w:vAlign w:val="center"/>
            <w:hideMark/>
          </w:tcPr>
          <w:p w14:paraId="748290DC"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0,352</w:t>
            </w:r>
          </w:p>
        </w:tc>
        <w:tc>
          <w:tcPr>
            <w:tcW w:w="493" w:type="pct"/>
            <w:vAlign w:val="center"/>
            <w:hideMark/>
          </w:tcPr>
          <w:p w14:paraId="4FFC4F8B"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8,31</w:t>
            </w:r>
          </w:p>
        </w:tc>
        <w:tc>
          <w:tcPr>
            <w:tcW w:w="477" w:type="pct"/>
            <w:vAlign w:val="center"/>
            <w:hideMark/>
          </w:tcPr>
          <w:p w14:paraId="1D8458A5"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0,004</w:t>
            </w:r>
          </w:p>
        </w:tc>
        <w:tc>
          <w:tcPr>
            <w:tcW w:w="508" w:type="pct"/>
            <w:vAlign w:val="center"/>
            <w:hideMark/>
          </w:tcPr>
          <w:p w14:paraId="794980EA"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0,363</w:t>
            </w:r>
          </w:p>
        </w:tc>
        <w:tc>
          <w:tcPr>
            <w:tcW w:w="956" w:type="pct"/>
            <w:vAlign w:val="center"/>
            <w:hideMark/>
          </w:tcPr>
          <w:p w14:paraId="13E37C15"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[0,181; 0,729]</w:t>
            </w:r>
          </w:p>
        </w:tc>
      </w:tr>
      <w:tr w:rsidR="000C1190" w:rsidRPr="004B61BA" w14:paraId="49D043FA" w14:textId="77777777" w:rsidTr="00FA2665">
        <w:tc>
          <w:tcPr>
            <w:tcW w:w="1568" w:type="pct"/>
            <w:hideMark/>
          </w:tcPr>
          <w:p w14:paraId="6172A8F9" w14:textId="351E8E9C" w:rsidR="000C1190" w:rsidRPr="00FE65D3" w:rsidRDefault="000C1190" w:rsidP="002F33D0">
            <w:pPr>
              <w:ind w:firstLine="0"/>
              <w:rPr>
                <w:rFonts w:eastAsia="Times New Roman"/>
                <w:szCs w:val="24"/>
                <w:lang w:val="kk-KZ" w:eastAsia="ru-RU"/>
              </w:rPr>
            </w:pPr>
            <w:r w:rsidRPr="00FE65D3">
              <w:rPr>
                <w:rFonts w:eastAsia="Times New Roman"/>
                <w:szCs w:val="24"/>
                <w:lang w:eastAsia="ru-RU"/>
              </w:rPr>
              <w:t>Индекс информированности</w:t>
            </w:r>
            <w:r w:rsidRPr="00FE65D3">
              <w:rPr>
                <w:rFonts w:eastAsia="Times New Roman"/>
                <w:szCs w:val="24"/>
                <w:lang w:val="kk-KZ" w:eastAsia="ru-RU"/>
              </w:rPr>
              <w:t xml:space="preserve"> (</w:t>
            </w:r>
            <m:oMath>
              <m:sSub>
                <m:sSubPr>
                  <m:ctrlPr>
                    <w:rPr>
                      <w:rFonts w:ascii="Cambria Math" w:hAnsi="Cambria Math"/>
                      <w:i/>
                      <w:szCs w:val="24"/>
                      <w:lang w:val="kk-KZ"/>
                    </w:rPr>
                  </m:ctrlPr>
                </m:sSubPr>
                <m:e>
                  <m:r>
                    <w:rPr>
                      <w:rFonts w:ascii="Cambria Math" w:hAnsi="Cambria Math"/>
                      <w:szCs w:val="24"/>
                      <w:lang w:val="kk-KZ"/>
                    </w:rPr>
                    <m:t>AWARE</m:t>
                  </m:r>
                </m:e>
                <m:sub>
                  <m:r>
                    <w:rPr>
                      <w:rFonts w:ascii="Cambria Math" w:hAnsi="Cambria Math"/>
                      <w:szCs w:val="24"/>
                      <w:lang w:val="kk-KZ"/>
                    </w:rPr>
                    <m:t>i</m:t>
                  </m:r>
                </m:sub>
              </m:sSub>
            </m:oMath>
            <w:r w:rsidRPr="00FE65D3">
              <w:rPr>
                <w:rFonts w:eastAsia="Times New Roman"/>
                <w:szCs w:val="24"/>
                <w:lang w:val="kk-KZ" w:eastAsia="ru-RU"/>
              </w:rPr>
              <w:t>)</w:t>
            </w:r>
          </w:p>
        </w:tc>
        <w:tc>
          <w:tcPr>
            <w:tcW w:w="593" w:type="pct"/>
            <w:vAlign w:val="center"/>
            <w:hideMark/>
          </w:tcPr>
          <w:p w14:paraId="06C9525F"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-0,038</w:t>
            </w:r>
          </w:p>
        </w:tc>
        <w:tc>
          <w:tcPr>
            <w:tcW w:w="404" w:type="pct"/>
            <w:vAlign w:val="center"/>
            <w:hideMark/>
          </w:tcPr>
          <w:p w14:paraId="7469A7ED"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0,086</w:t>
            </w:r>
          </w:p>
        </w:tc>
        <w:tc>
          <w:tcPr>
            <w:tcW w:w="493" w:type="pct"/>
            <w:vAlign w:val="center"/>
            <w:hideMark/>
          </w:tcPr>
          <w:p w14:paraId="145C2FC1"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0,20</w:t>
            </w:r>
          </w:p>
        </w:tc>
        <w:tc>
          <w:tcPr>
            <w:tcW w:w="477" w:type="pct"/>
            <w:vAlign w:val="center"/>
            <w:hideMark/>
          </w:tcPr>
          <w:p w14:paraId="2FA0ADF2"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0,660</w:t>
            </w:r>
          </w:p>
        </w:tc>
        <w:tc>
          <w:tcPr>
            <w:tcW w:w="508" w:type="pct"/>
            <w:vAlign w:val="center"/>
            <w:hideMark/>
          </w:tcPr>
          <w:p w14:paraId="423DE48C"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0,963</w:t>
            </w:r>
          </w:p>
        </w:tc>
        <w:tc>
          <w:tcPr>
            <w:tcW w:w="956" w:type="pct"/>
            <w:vAlign w:val="center"/>
            <w:hideMark/>
          </w:tcPr>
          <w:p w14:paraId="5B759B36"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[0,812; 1,143]</w:t>
            </w:r>
          </w:p>
        </w:tc>
      </w:tr>
      <w:tr w:rsidR="000C1190" w:rsidRPr="004B61BA" w14:paraId="1D213682" w14:textId="77777777" w:rsidTr="00FA2665">
        <w:tc>
          <w:tcPr>
            <w:tcW w:w="1568" w:type="pct"/>
            <w:hideMark/>
          </w:tcPr>
          <w:p w14:paraId="55CCB419" w14:textId="3A4938E7" w:rsidR="000C1190" w:rsidRPr="00FE65D3" w:rsidRDefault="000C1190" w:rsidP="002F33D0">
            <w:pPr>
              <w:ind w:firstLine="0"/>
              <w:rPr>
                <w:rFonts w:eastAsia="Times New Roman"/>
                <w:szCs w:val="24"/>
                <w:lang w:val="kk-KZ" w:eastAsia="ru-RU"/>
              </w:rPr>
            </w:pPr>
            <w:r w:rsidRPr="00FE65D3">
              <w:rPr>
                <w:rFonts w:eastAsia="Times New Roman"/>
                <w:szCs w:val="24"/>
                <w:lang w:eastAsia="ru-RU"/>
              </w:rPr>
              <w:t>Индекс мотивации</w:t>
            </w:r>
            <w:r w:rsidRPr="00FE65D3">
              <w:rPr>
                <w:rFonts w:eastAsia="Times New Roman"/>
                <w:szCs w:val="24"/>
                <w:lang w:val="kk-KZ" w:eastAsia="ru-RU"/>
              </w:rPr>
              <w:t xml:space="preserve"> (</w:t>
            </w:r>
            <m:oMath>
              <m:sSub>
                <m:sSubPr>
                  <m:ctrlPr>
                    <w:rPr>
                      <w:rFonts w:ascii="Cambria Math" w:hAnsi="Cambria Math"/>
                      <w:i/>
                      <w:szCs w:val="24"/>
                      <w:lang w:val="kk-KZ"/>
                    </w:rPr>
                  </m:ctrlPr>
                </m:sSubPr>
                <m:e>
                  <m:r>
                    <w:rPr>
                      <w:rFonts w:ascii="Cambria Math" w:hAnsi="Cambria Math"/>
                      <w:szCs w:val="24"/>
                      <w:lang w:val="kk-KZ"/>
                    </w:rPr>
                    <m:t>MOTIV</m:t>
                  </m:r>
                </m:e>
                <m:sub>
                  <m:r>
                    <w:rPr>
                      <w:rFonts w:ascii="Cambria Math" w:hAnsi="Cambria Math"/>
                      <w:szCs w:val="24"/>
                      <w:lang w:val="kk-KZ"/>
                    </w:rPr>
                    <m:t>i</m:t>
                  </m:r>
                </m:sub>
              </m:sSub>
            </m:oMath>
            <w:r w:rsidRPr="00FE65D3">
              <w:rPr>
                <w:rFonts w:eastAsia="Times New Roman"/>
                <w:szCs w:val="24"/>
                <w:lang w:val="kk-KZ" w:eastAsia="ru-RU"/>
              </w:rPr>
              <w:t>)</w:t>
            </w:r>
          </w:p>
        </w:tc>
        <w:tc>
          <w:tcPr>
            <w:tcW w:w="593" w:type="pct"/>
            <w:vAlign w:val="center"/>
            <w:hideMark/>
          </w:tcPr>
          <w:p w14:paraId="2925FA9A"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0,052</w:t>
            </w:r>
          </w:p>
        </w:tc>
        <w:tc>
          <w:tcPr>
            <w:tcW w:w="404" w:type="pct"/>
            <w:vAlign w:val="center"/>
            <w:hideMark/>
          </w:tcPr>
          <w:p w14:paraId="310B9F6B"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0,067</w:t>
            </w:r>
          </w:p>
        </w:tc>
        <w:tc>
          <w:tcPr>
            <w:tcW w:w="493" w:type="pct"/>
            <w:vAlign w:val="center"/>
            <w:hideMark/>
          </w:tcPr>
          <w:p w14:paraId="25EF8B90"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0,60</w:t>
            </w:r>
          </w:p>
        </w:tc>
        <w:tc>
          <w:tcPr>
            <w:tcW w:w="477" w:type="pct"/>
            <w:vAlign w:val="center"/>
            <w:hideMark/>
          </w:tcPr>
          <w:p w14:paraId="71C9D5EC"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0,439</w:t>
            </w:r>
          </w:p>
        </w:tc>
        <w:tc>
          <w:tcPr>
            <w:tcW w:w="508" w:type="pct"/>
            <w:vAlign w:val="center"/>
            <w:hideMark/>
          </w:tcPr>
          <w:p w14:paraId="6720AAEE"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1,053</w:t>
            </w:r>
          </w:p>
        </w:tc>
        <w:tc>
          <w:tcPr>
            <w:tcW w:w="956" w:type="pct"/>
            <w:vAlign w:val="center"/>
            <w:hideMark/>
          </w:tcPr>
          <w:p w14:paraId="6B4A5163" w14:textId="77777777" w:rsidR="000C1190" w:rsidRPr="004B61BA" w:rsidRDefault="000C1190" w:rsidP="002F33D0">
            <w:pPr>
              <w:ind w:firstLine="0"/>
              <w:jc w:val="center"/>
              <w:rPr>
                <w:rFonts w:eastAsia="Times New Roman"/>
                <w:szCs w:val="24"/>
                <w:lang w:eastAsia="ru-RU"/>
              </w:rPr>
            </w:pPr>
            <w:r w:rsidRPr="004B61BA">
              <w:rPr>
                <w:rFonts w:eastAsia="Times New Roman"/>
                <w:szCs w:val="24"/>
                <w:lang w:eastAsia="ru-RU"/>
              </w:rPr>
              <w:t>[0,924; 1,200]</w:t>
            </w:r>
          </w:p>
        </w:tc>
      </w:tr>
      <w:tr w:rsidR="000C1190" w:rsidRPr="004B61BA" w14:paraId="73EA04F3" w14:textId="77777777" w:rsidTr="000C1190">
        <w:tc>
          <w:tcPr>
            <w:tcW w:w="5000" w:type="pct"/>
            <w:gridSpan w:val="7"/>
          </w:tcPr>
          <w:p w14:paraId="6B27E0DA" w14:textId="168B3B08" w:rsidR="000C1190" w:rsidRPr="00FD618C" w:rsidRDefault="00FE65D3" w:rsidP="000F3C80">
            <w:pPr>
              <w:ind w:firstLine="459"/>
              <w:jc w:val="both"/>
              <w:rPr>
                <w:rFonts w:eastAsia="Times New Roman"/>
                <w:sz w:val="22"/>
                <w:szCs w:val="24"/>
                <w:lang w:eastAsia="ru-RU"/>
              </w:rPr>
            </w:pPr>
            <w:r w:rsidRPr="00EE311D">
              <w:rPr>
                <w:rFonts w:eastAsia="Times New Roman"/>
                <w:szCs w:val="24"/>
                <w:lang w:eastAsia="ru-RU"/>
              </w:rPr>
              <w:t>Примечания</w:t>
            </w:r>
            <w:r w:rsidRPr="00EE311D">
              <w:rPr>
                <w:rFonts w:eastAsia="Times New Roman"/>
                <w:szCs w:val="24"/>
                <w:lang w:val="kk-KZ" w:eastAsia="ru-RU"/>
              </w:rPr>
              <w:t xml:space="preserve"> – </w:t>
            </w:r>
            <w:r w:rsidR="000F3C80" w:rsidRPr="00EE311D">
              <w:rPr>
                <w:rFonts w:eastAsia="Times New Roman"/>
                <w:szCs w:val="24"/>
                <w:lang w:val="kk-KZ" w:eastAsia="ru-RU"/>
              </w:rPr>
              <w:t>М</w:t>
            </w:r>
            <w:r w:rsidR="000C1190" w:rsidRPr="00EE311D">
              <w:rPr>
                <w:rFonts w:eastAsia="Times New Roman"/>
                <w:szCs w:val="24"/>
                <w:lang w:eastAsia="ru-RU"/>
              </w:rPr>
              <w:t xml:space="preserve">етод оценки </w:t>
            </w:r>
            <w:r w:rsidR="009D20AE" w:rsidRPr="00EE311D">
              <w:rPr>
                <w:rFonts w:eastAsia="Times New Roman"/>
                <w:szCs w:val="24"/>
                <w:lang w:eastAsia="ru-RU"/>
              </w:rPr>
              <w:t>–</w:t>
            </w:r>
            <w:r w:rsidR="000C1190" w:rsidRPr="00EE311D">
              <w:rPr>
                <w:rFonts w:eastAsia="Times New Roman"/>
                <w:szCs w:val="24"/>
                <w:lang w:eastAsia="ru-RU"/>
              </w:rPr>
              <w:t xml:space="preserve"> максимального правдоподобия; зависимая переменная </w:t>
            </w:r>
            <w:r w:rsidR="009D20AE" w:rsidRPr="00EE311D">
              <w:rPr>
                <w:rFonts w:eastAsia="Times New Roman"/>
                <w:szCs w:val="24"/>
                <w:lang w:eastAsia="ru-RU"/>
              </w:rPr>
              <w:t>–</w:t>
            </w:r>
            <w:r w:rsidR="000C1190" w:rsidRPr="00EE311D">
              <w:rPr>
                <w:rFonts w:eastAsia="Times New Roman"/>
                <w:szCs w:val="24"/>
                <w:lang w:eastAsia="ru-RU"/>
              </w:rPr>
              <w:t xml:space="preserve"> факт участия (0/1). Nagelkerke R</w:t>
            </w:r>
            <w:r w:rsidRPr="00EE311D">
              <w:rPr>
                <w:szCs w:val="24"/>
                <w:vertAlign w:val="superscript"/>
                <w:lang w:val="kk-KZ"/>
              </w:rPr>
              <w:t>2</w:t>
            </w:r>
            <w:r w:rsidR="000C1190" w:rsidRPr="00EE311D">
              <w:rPr>
                <w:rFonts w:eastAsia="Times New Roman"/>
                <w:szCs w:val="24"/>
                <w:lang w:eastAsia="ru-RU"/>
              </w:rPr>
              <w:t xml:space="preserve"> = 0,024; </w:t>
            </w:r>
            <w:r w:rsidR="00FA2665" w:rsidRPr="00EE311D">
              <w:rPr>
                <w:rFonts w:eastAsia="Times New Roman"/>
                <w:i/>
                <w:szCs w:val="24"/>
                <w:lang w:val="kk-KZ" w:eastAsia="ru-RU"/>
              </w:rPr>
              <w:t>х</w:t>
            </w:r>
            <w:r w:rsidRPr="00EE311D">
              <w:rPr>
                <w:szCs w:val="24"/>
                <w:vertAlign w:val="superscript"/>
                <w:lang w:val="kk-KZ"/>
              </w:rPr>
              <w:t>2</w:t>
            </w:r>
            <w:r w:rsidR="000C1190" w:rsidRPr="00EE311D">
              <w:rPr>
                <w:rFonts w:eastAsia="Times New Roman"/>
                <w:szCs w:val="24"/>
                <w:lang w:eastAsia="ru-RU"/>
              </w:rPr>
              <w:t xml:space="preserve"> модели = 13,4; p = 0,004.</w:t>
            </w:r>
            <w:r w:rsidR="00FA2665" w:rsidRPr="00EE311D">
              <w:rPr>
                <w:rFonts w:eastAsia="Times New Roman"/>
                <w:szCs w:val="24"/>
                <w:lang w:val="kk-KZ" w:eastAsia="ru-RU"/>
              </w:rPr>
              <w:t xml:space="preserve"> </w:t>
            </w:r>
            <w:r w:rsidR="000C1190" w:rsidRPr="00EE311D">
              <w:rPr>
                <w:rFonts w:eastAsia="Times New Roman"/>
                <w:szCs w:val="24"/>
                <w:lang w:eastAsia="ru-RU"/>
              </w:rPr>
              <w:t>**p &lt; 0,01.</w:t>
            </w:r>
          </w:p>
        </w:tc>
      </w:tr>
    </w:tbl>
    <w:p w14:paraId="73CCE4EC" w14:textId="77777777" w:rsidR="000C1190" w:rsidRPr="000C1190" w:rsidRDefault="000C1190" w:rsidP="002F33D0">
      <w:pPr>
        <w:spacing w:after="0" w:line="240" w:lineRule="auto"/>
        <w:ind w:firstLine="567"/>
        <w:jc w:val="both"/>
        <w:rPr>
          <w:rFonts w:ascii="Times New Roman" w:hAnsi="Times New Roman" w:cs="Times New Roman"/>
          <w:sz w:val="28"/>
          <w:szCs w:val="28"/>
        </w:rPr>
      </w:pPr>
    </w:p>
    <w:p w14:paraId="16771B50"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На основании представленных коэффициентов можно записать частные уравнения логистической регрессии для каждой категории предприятий. Это позволяет наглядно показать, как именно размер компании влияет на вероятность участия в программах государственной поддержки.</w:t>
      </w:r>
    </w:p>
    <w:p w14:paraId="725F7CFD" w14:textId="6DBA7283" w:rsidR="000C1190" w:rsidRPr="000C1190" w:rsidRDefault="000C1190" w:rsidP="007F5E68">
      <w:pPr>
        <w:pStyle w:val="a3"/>
        <w:numPr>
          <w:ilvl w:val="0"/>
          <w:numId w:val="12"/>
        </w:numPr>
        <w:tabs>
          <w:tab w:val="left" w:pos="851"/>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Крупные предприятия</w:t>
      </w:r>
      <w:r w:rsidR="00FD618C">
        <w:rPr>
          <w:rFonts w:ascii="Times New Roman" w:hAnsi="Times New Roman" w:cs="Times New Roman"/>
          <w:sz w:val="28"/>
          <w:szCs w:val="28"/>
        </w:rPr>
        <w:t xml:space="preserve"> </w:t>
      </w:r>
      <w:r w:rsidR="00FD618C">
        <w:rPr>
          <w:rFonts w:ascii="Times New Roman" w:hAnsi="Times New Roman" w:cs="Times New Roman"/>
          <w:sz w:val="28"/>
          <w:szCs w:val="28"/>
          <w:lang w:val="kk-KZ"/>
        </w:rPr>
        <w:t>(10)</w:t>
      </w:r>
      <w:r w:rsidRPr="000C1190">
        <w:rPr>
          <w:rFonts w:ascii="Times New Roman" w:hAnsi="Times New Roman" w:cs="Times New Roman"/>
          <w:sz w:val="28"/>
          <w:szCs w:val="28"/>
        </w:rPr>
        <w:t xml:space="preserve"> (базовая категория, SIZE2=0, SIZE3=0):</w:t>
      </w:r>
    </w:p>
    <w:p w14:paraId="544AE733" w14:textId="5E2698E1" w:rsidR="000C1190" w:rsidRDefault="000C1190" w:rsidP="002F33D0">
      <w:pPr>
        <w:tabs>
          <w:tab w:val="left" w:pos="851"/>
        </w:tabs>
        <w:spacing w:after="0" w:line="240" w:lineRule="auto"/>
        <w:ind w:firstLine="567"/>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2"/>
        <w:gridCol w:w="683"/>
      </w:tblGrid>
      <w:tr w:rsidR="00FA2665" w14:paraId="0401295C" w14:textId="77777777" w:rsidTr="00FA2665">
        <w:tc>
          <w:tcPr>
            <w:tcW w:w="9067" w:type="dxa"/>
          </w:tcPr>
          <w:p w14:paraId="1F3902F9" w14:textId="1BE3F6A7" w:rsidR="00FA2665" w:rsidRDefault="00FA2665" w:rsidP="002F33D0">
            <w:pPr>
              <w:tabs>
                <w:tab w:val="left" w:pos="851"/>
              </w:tabs>
              <w:ind w:firstLine="0"/>
              <w:jc w:val="both"/>
              <w:rPr>
                <w:sz w:val="28"/>
                <w:szCs w:val="28"/>
              </w:rPr>
            </w:pPr>
            <m:oMathPara>
              <m:oMath>
                <m:r>
                  <w:rPr>
                    <w:rFonts w:ascii="Cambria Math" w:hAnsi="Cambria Math"/>
                    <w:sz w:val="28"/>
                    <w:szCs w:val="28"/>
                    <w:lang w:val="en-US"/>
                  </w:rPr>
                  <m:t>logit</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крупн.</m:t>
                        </m:r>
                      </m:sub>
                    </m:sSub>
                    <m:ctrlPr>
                      <w:rPr>
                        <w:rFonts w:ascii="Cambria Math" w:hAnsi="Cambria Math"/>
                        <w:i/>
                        <w:sz w:val="28"/>
                        <w:szCs w:val="28"/>
                        <w:lang w:val="kk-KZ"/>
                      </w:rPr>
                    </m:ctrlPr>
                  </m:e>
                </m:d>
                <m:r>
                  <w:rPr>
                    <w:rFonts w:ascii="Cambria Math" w:hAnsi="Cambria Math"/>
                    <w:sz w:val="28"/>
                    <w:szCs w:val="28"/>
                    <w:lang w:val="kk-KZ"/>
                  </w:rPr>
                  <m:t>=-0,842-0,038 ∙</m:t>
                </m:r>
                <m:sSub>
                  <m:sSubPr>
                    <m:ctrlPr>
                      <w:rPr>
                        <w:rFonts w:ascii="Cambria Math" w:hAnsi="Cambria Math"/>
                        <w:i/>
                        <w:sz w:val="28"/>
                        <w:szCs w:val="28"/>
                        <w:lang w:val="kk-KZ"/>
                      </w:rPr>
                    </m:ctrlPr>
                  </m:sSubPr>
                  <m:e>
                    <m:r>
                      <w:rPr>
                        <w:rFonts w:ascii="Cambria Math" w:hAnsi="Cambria Math"/>
                        <w:sz w:val="28"/>
                        <w:szCs w:val="28"/>
                        <w:lang w:val="kk-KZ"/>
                      </w:rPr>
                      <m:t>AWARE</m:t>
                    </m:r>
                  </m:e>
                  <m:sub>
                    <m:r>
                      <w:rPr>
                        <w:rFonts w:ascii="Cambria Math" w:hAnsi="Cambria Math"/>
                        <w:sz w:val="28"/>
                        <w:szCs w:val="28"/>
                        <w:lang w:val="kk-KZ"/>
                      </w:rPr>
                      <m:t>i</m:t>
                    </m:r>
                  </m:sub>
                </m:sSub>
                <m:r>
                  <w:rPr>
                    <w:rFonts w:ascii="Cambria Math" w:hAnsi="Cambria Math"/>
                    <w:sz w:val="28"/>
                    <w:szCs w:val="28"/>
                    <w:lang w:val="kk-KZ"/>
                  </w:rPr>
                  <m:t>+0,052∙</m:t>
                </m:r>
                <m:sSub>
                  <m:sSubPr>
                    <m:ctrlPr>
                      <w:rPr>
                        <w:rFonts w:ascii="Cambria Math" w:hAnsi="Cambria Math"/>
                        <w:i/>
                        <w:sz w:val="28"/>
                        <w:szCs w:val="28"/>
                        <w:lang w:val="kk-KZ"/>
                      </w:rPr>
                    </m:ctrlPr>
                  </m:sSubPr>
                  <m:e>
                    <m:r>
                      <w:rPr>
                        <w:rFonts w:ascii="Cambria Math" w:hAnsi="Cambria Math"/>
                        <w:sz w:val="28"/>
                        <w:szCs w:val="28"/>
                        <w:lang w:val="kk-KZ"/>
                      </w:rPr>
                      <m:t>MOTIV</m:t>
                    </m:r>
                  </m:e>
                  <m:sub>
                    <m:r>
                      <w:rPr>
                        <w:rFonts w:ascii="Cambria Math" w:hAnsi="Cambria Math"/>
                        <w:sz w:val="28"/>
                        <w:szCs w:val="28"/>
                        <w:lang w:val="kk-KZ"/>
                      </w:rPr>
                      <m:t>i</m:t>
                    </m:r>
                  </m:sub>
                </m:sSub>
              </m:oMath>
            </m:oMathPara>
          </w:p>
        </w:tc>
        <w:tc>
          <w:tcPr>
            <w:tcW w:w="561" w:type="dxa"/>
          </w:tcPr>
          <w:p w14:paraId="6933D1B6" w14:textId="7FD0C6D3" w:rsidR="00FA2665" w:rsidRPr="00FA2665" w:rsidRDefault="00FA2665" w:rsidP="00FD618C">
            <w:pPr>
              <w:tabs>
                <w:tab w:val="left" w:pos="851"/>
              </w:tabs>
              <w:ind w:firstLine="0"/>
              <w:jc w:val="right"/>
              <w:rPr>
                <w:sz w:val="28"/>
                <w:szCs w:val="28"/>
                <w:lang w:val="kk-KZ"/>
              </w:rPr>
            </w:pPr>
            <w:r>
              <w:rPr>
                <w:sz w:val="28"/>
                <w:szCs w:val="28"/>
                <w:lang w:val="kk-KZ"/>
              </w:rPr>
              <w:t>(</w:t>
            </w:r>
            <w:r w:rsidR="00FD618C">
              <w:rPr>
                <w:sz w:val="28"/>
                <w:szCs w:val="28"/>
                <w:lang w:val="kk-KZ"/>
              </w:rPr>
              <w:t>10</w:t>
            </w:r>
            <w:r>
              <w:rPr>
                <w:sz w:val="28"/>
                <w:szCs w:val="28"/>
                <w:lang w:val="kk-KZ"/>
              </w:rPr>
              <w:t>)</w:t>
            </w:r>
          </w:p>
        </w:tc>
      </w:tr>
    </w:tbl>
    <w:p w14:paraId="09C3E707" w14:textId="77777777" w:rsidR="00FA2665" w:rsidRPr="000C1190" w:rsidRDefault="00FA2665" w:rsidP="002F33D0">
      <w:pPr>
        <w:tabs>
          <w:tab w:val="left" w:pos="851"/>
        </w:tabs>
        <w:spacing w:after="0" w:line="240" w:lineRule="auto"/>
        <w:ind w:firstLine="567"/>
        <w:jc w:val="both"/>
        <w:rPr>
          <w:rFonts w:ascii="Times New Roman" w:hAnsi="Times New Roman" w:cs="Times New Roman"/>
          <w:sz w:val="28"/>
          <w:szCs w:val="28"/>
        </w:rPr>
      </w:pPr>
    </w:p>
    <w:p w14:paraId="317F59D1"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Для крупных компаний вероятность участия зависит только от уровня информированности и мотивации. Поскольку коэффициенты при этих переменных статистически незначимы, можно утверждать, что шансы участия крупных предприятий остаются относительно стабильными и мало зависят от указанных факторов.</w:t>
      </w:r>
    </w:p>
    <w:p w14:paraId="7DA57CF1" w14:textId="451463E5" w:rsidR="000C1190" w:rsidRPr="000C1190" w:rsidRDefault="000C1190" w:rsidP="007F5E68">
      <w:pPr>
        <w:pStyle w:val="a3"/>
        <w:numPr>
          <w:ilvl w:val="0"/>
          <w:numId w:val="12"/>
        </w:numPr>
        <w:tabs>
          <w:tab w:val="left" w:pos="851"/>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Средние предприятия</w:t>
      </w:r>
      <w:r w:rsidR="00FD618C">
        <w:rPr>
          <w:rFonts w:ascii="Times New Roman" w:hAnsi="Times New Roman" w:cs="Times New Roman"/>
          <w:sz w:val="28"/>
          <w:szCs w:val="28"/>
          <w:lang w:val="kk-KZ"/>
        </w:rPr>
        <w:t xml:space="preserve"> (11)</w:t>
      </w:r>
      <w:r w:rsidRPr="000C1190">
        <w:rPr>
          <w:rFonts w:ascii="Times New Roman" w:hAnsi="Times New Roman" w:cs="Times New Roman"/>
          <w:sz w:val="28"/>
          <w:szCs w:val="28"/>
        </w:rPr>
        <w:t xml:space="preserve"> (SIZE2=1, SIZE3=0):</w:t>
      </w:r>
    </w:p>
    <w:p w14:paraId="50B71778" w14:textId="17C51FF5" w:rsidR="000C1190" w:rsidRDefault="000C1190" w:rsidP="002F33D0">
      <w:pPr>
        <w:tabs>
          <w:tab w:val="left" w:pos="851"/>
        </w:tabs>
        <w:spacing w:after="0" w:line="240" w:lineRule="auto"/>
        <w:ind w:firstLine="567"/>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4"/>
        <w:gridCol w:w="701"/>
      </w:tblGrid>
      <w:tr w:rsidR="00FA2665" w14:paraId="62E6CF98" w14:textId="77777777" w:rsidTr="00FA2665">
        <w:tc>
          <w:tcPr>
            <w:tcW w:w="8926" w:type="dxa"/>
          </w:tcPr>
          <w:p w14:paraId="7827D57F" w14:textId="5B59EE67" w:rsidR="00FA2665" w:rsidRDefault="00FA2665" w:rsidP="002F33D0">
            <w:pPr>
              <w:tabs>
                <w:tab w:val="left" w:pos="851"/>
              </w:tabs>
              <w:jc w:val="both"/>
              <w:rPr>
                <w:sz w:val="28"/>
                <w:szCs w:val="28"/>
              </w:rPr>
            </w:pPr>
            <m:oMathPara>
              <m:oMath>
                <m:r>
                  <w:rPr>
                    <w:rFonts w:ascii="Cambria Math" w:hAnsi="Cambria Math"/>
                    <w:sz w:val="28"/>
                    <w:szCs w:val="28"/>
                    <w:lang w:val="en-US"/>
                  </w:rPr>
                  <m:t>logit</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средн.</m:t>
                        </m:r>
                      </m:sub>
                    </m:sSub>
                    <m:ctrlPr>
                      <w:rPr>
                        <w:rFonts w:ascii="Cambria Math" w:hAnsi="Cambria Math"/>
                        <w:i/>
                        <w:sz w:val="28"/>
                        <w:szCs w:val="28"/>
                        <w:lang w:val="kk-KZ"/>
                      </w:rPr>
                    </m:ctrlPr>
                  </m:e>
                </m:d>
                <m:r>
                  <w:rPr>
                    <w:rFonts w:ascii="Cambria Math" w:hAnsi="Cambria Math"/>
                    <w:sz w:val="28"/>
                    <w:szCs w:val="28"/>
                    <w:lang w:val="kk-KZ"/>
                  </w:rPr>
                  <m:t>=-0,842-0,306-0,038 ∙</m:t>
                </m:r>
                <m:sSub>
                  <m:sSubPr>
                    <m:ctrlPr>
                      <w:rPr>
                        <w:rFonts w:ascii="Cambria Math" w:hAnsi="Cambria Math"/>
                        <w:i/>
                        <w:sz w:val="28"/>
                        <w:szCs w:val="28"/>
                        <w:lang w:val="kk-KZ"/>
                      </w:rPr>
                    </m:ctrlPr>
                  </m:sSubPr>
                  <m:e>
                    <m:r>
                      <w:rPr>
                        <w:rFonts w:ascii="Cambria Math" w:hAnsi="Cambria Math"/>
                        <w:sz w:val="28"/>
                        <w:szCs w:val="28"/>
                        <w:lang w:val="kk-KZ"/>
                      </w:rPr>
                      <m:t>AWARE</m:t>
                    </m:r>
                  </m:e>
                  <m:sub>
                    <m:r>
                      <w:rPr>
                        <w:rFonts w:ascii="Cambria Math" w:hAnsi="Cambria Math"/>
                        <w:sz w:val="28"/>
                        <w:szCs w:val="28"/>
                        <w:lang w:val="kk-KZ"/>
                      </w:rPr>
                      <m:t>i</m:t>
                    </m:r>
                  </m:sub>
                </m:sSub>
                <m:r>
                  <w:rPr>
                    <w:rFonts w:ascii="Cambria Math" w:hAnsi="Cambria Math"/>
                    <w:sz w:val="28"/>
                    <w:szCs w:val="28"/>
                    <w:lang w:val="kk-KZ"/>
                  </w:rPr>
                  <m:t>+0,052∙</m:t>
                </m:r>
                <m:sSub>
                  <m:sSubPr>
                    <m:ctrlPr>
                      <w:rPr>
                        <w:rFonts w:ascii="Cambria Math" w:hAnsi="Cambria Math"/>
                        <w:i/>
                        <w:sz w:val="28"/>
                        <w:szCs w:val="28"/>
                        <w:lang w:val="kk-KZ"/>
                      </w:rPr>
                    </m:ctrlPr>
                  </m:sSubPr>
                  <m:e>
                    <m:r>
                      <w:rPr>
                        <w:rFonts w:ascii="Cambria Math" w:hAnsi="Cambria Math"/>
                        <w:sz w:val="28"/>
                        <w:szCs w:val="28"/>
                        <w:lang w:val="kk-KZ"/>
                      </w:rPr>
                      <m:t>MOTIV</m:t>
                    </m:r>
                  </m:e>
                  <m:sub>
                    <m:r>
                      <w:rPr>
                        <w:rFonts w:ascii="Cambria Math" w:hAnsi="Cambria Math"/>
                        <w:sz w:val="28"/>
                        <w:szCs w:val="28"/>
                        <w:lang w:val="kk-KZ"/>
                      </w:rPr>
                      <m:t>i</m:t>
                    </m:r>
                  </m:sub>
                </m:sSub>
              </m:oMath>
            </m:oMathPara>
          </w:p>
        </w:tc>
        <w:tc>
          <w:tcPr>
            <w:tcW w:w="702" w:type="dxa"/>
          </w:tcPr>
          <w:p w14:paraId="2B367302" w14:textId="2CD8769D" w:rsidR="00FA2665" w:rsidRPr="00FA2665" w:rsidRDefault="00FA2665" w:rsidP="00FD618C">
            <w:pPr>
              <w:tabs>
                <w:tab w:val="left" w:pos="851"/>
              </w:tabs>
              <w:ind w:firstLine="0"/>
              <w:jc w:val="right"/>
              <w:rPr>
                <w:sz w:val="28"/>
                <w:szCs w:val="28"/>
                <w:lang w:val="kk-KZ"/>
              </w:rPr>
            </w:pPr>
            <w:r>
              <w:rPr>
                <w:sz w:val="28"/>
                <w:szCs w:val="28"/>
                <w:lang w:val="kk-KZ"/>
              </w:rPr>
              <w:t>(</w:t>
            </w:r>
            <w:r w:rsidR="00FD618C">
              <w:rPr>
                <w:sz w:val="28"/>
                <w:szCs w:val="28"/>
                <w:lang w:val="kk-KZ"/>
              </w:rPr>
              <w:t>11</w:t>
            </w:r>
            <w:r>
              <w:rPr>
                <w:sz w:val="28"/>
                <w:szCs w:val="28"/>
                <w:lang w:val="kk-KZ"/>
              </w:rPr>
              <w:t>)</w:t>
            </w:r>
          </w:p>
        </w:tc>
      </w:tr>
    </w:tbl>
    <w:p w14:paraId="0067C204" w14:textId="77777777" w:rsidR="00FA2665" w:rsidRPr="000C1190" w:rsidRDefault="00FA2665" w:rsidP="002F33D0">
      <w:pPr>
        <w:tabs>
          <w:tab w:val="left" w:pos="851"/>
        </w:tabs>
        <w:spacing w:after="0" w:line="240" w:lineRule="auto"/>
        <w:ind w:firstLine="567"/>
        <w:jc w:val="both"/>
        <w:rPr>
          <w:rFonts w:ascii="Times New Roman" w:hAnsi="Times New Roman" w:cs="Times New Roman"/>
          <w:sz w:val="28"/>
          <w:szCs w:val="28"/>
        </w:rPr>
      </w:pPr>
    </w:p>
    <w:p w14:paraId="41FCCCC9"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Для средних предприятий в модель добавляется смещение на</w:t>
      </w:r>
      <w:r w:rsidRPr="000C1190">
        <w:rPr>
          <w:rFonts w:ascii="Times New Roman" w:hAnsi="Times New Roman" w:cs="Times New Roman"/>
          <w:sz w:val="28"/>
          <w:szCs w:val="28"/>
          <w:lang w:val="kk-KZ"/>
        </w:rPr>
        <w:t xml:space="preserve"> </w:t>
      </w:r>
      <w:r w:rsidRPr="000C1190">
        <w:rPr>
          <w:rFonts w:ascii="Times New Roman" w:hAnsi="Times New Roman" w:cs="Times New Roman"/>
          <w:sz w:val="28"/>
          <w:szCs w:val="28"/>
        </w:rPr>
        <w:t>−0,306, что уменьшает вероятность участия по сравнению с крупными. Однако этот эффект статистически незначим (p = 0,424), поэтому различия между крупными и средними предприятиями нельзя считать подтверждёнными.</w:t>
      </w:r>
    </w:p>
    <w:p w14:paraId="1A49166F" w14:textId="6B986AB0" w:rsidR="000C1190" w:rsidRPr="000C1190" w:rsidRDefault="000C1190" w:rsidP="007F5E68">
      <w:pPr>
        <w:pStyle w:val="a3"/>
        <w:numPr>
          <w:ilvl w:val="0"/>
          <w:numId w:val="12"/>
        </w:numPr>
        <w:tabs>
          <w:tab w:val="left" w:pos="851"/>
        </w:tabs>
        <w:spacing w:after="0" w:line="240" w:lineRule="auto"/>
        <w:ind w:left="0" w:firstLine="567"/>
        <w:jc w:val="both"/>
        <w:rPr>
          <w:rFonts w:ascii="Times New Roman" w:hAnsi="Times New Roman" w:cs="Times New Roman"/>
          <w:sz w:val="28"/>
          <w:szCs w:val="28"/>
        </w:rPr>
      </w:pPr>
      <w:r w:rsidRPr="000C1190">
        <w:rPr>
          <w:rFonts w:ascii="Times New Roman" w:hAnsi="Times New Roman" w:cs="Times New Roman"/>
          <w:sz w:val="28"/>
          <w:szCs w:val="28"/>
        </w:rPr>
        <w:t>Малые предприятия</w:t>
      </w:r>
      <w:r w:rsidR="00FD618C">
        <w:rPr>
          <w:rFonts w:ascii="Times New Roman" w:hAnsi="Times New Roman" w:cs="Times New Roman"/>
          <w:sz w:val="28"/>
          <w:szCs w:val="28"/>
          <w:lang w:val="kk-KZ"/>
        </w:rPr>
        <w:t xml:space="preserve"> (12)</w:t>
      </w:r>
      <w:r w:rsidRPr="000C1190">
        <w:rPr>
          <w:rFonts w:ascii="Times New Roman" w:hAnsi="Times New Roman" w:cs="Times New Roman"/>
          <w:sz w:val="28"/>
          <w:szCs w:val="28"/>
        </w:rPr>
        <w:t xml:space="preserve"> (SIZE2=0</w:t>
      </w:r>
      <w:r w:rsidRPr="000C1190">
        <w:rPr>
          <w:rFonts w:ascii="Times New Roman" w:hAnsi="Times New Roman" w:cs="Times New Roman"/>
          <w:sz w:val="28"/>
          <w:szCs w:val="28"/>
          <w:lang w:val="kk-KZ"/>
        </w:rPr>
        <w:t xml:space="preserve">, </w:t>
      </w:r>
      <w:r w:rsidRPr="000C1190">
        <w:rPr>
          <w:rFonts w:ascii="Times New Roman" w:hAnsi="Times New Roman" w:cs="Times New Roman"/>
          <w:sz w:val="28"/>
          <w:szCs w:val="28"/>
        </w:rPr>
        <w:t>SIZE3=1):</w:t>
      </w:r>
    </w:p>
    <w:p w14:paraId="00EE6AE2" w14:textId="137AB13D" w:rsidR="000C1190" w:rsidRDefault="000C1190" w:rsidP="002F33D0">
      <w:pPr>
        <w:tabs>
          <w:tab w:val="left" w:pos="851"/>
        </w:tabs>
        <w:spacing w:after="0" w:line="240" w:lineRule="auto"/>
        <w:ind w:firstLine="567"/>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4"/>
        <w:gridCol w:w="701"/>
      </w:tblGrid>
      <w:tr w:rsidR="00FA2665" w14:paraId="08C5DBEC" w14:textId="77777777" w:rsidTr="00FA2665">
        <w:tc>
          <w:tcPr>
            <w:tcW w:w="8926" w:type="dxa"/>
          </w:tcPr>
          <w:p w14:paraId="24ED6295" w14:textId="2655C993" w:rsidR="00FA2665" w:rsidRPr="00FA2665" w:rsidRDefault="00FA2665" w:rsidP="002F33D0">
            <w:pPr>
              <w:tabs>
                <w:tab w:val="left" w:pos="851"/>
              </w:tabs>
              <w:jc w:val="both"/>
              <w:rPr>
                <w:sz w:val="28"/>
                <w:szCs w:val="28"/>
              </w:rPr>
            </w:pPr>
            <m:oMathPara>
              <m:oMath>
                <m:r>
                  <w:rPr>
                    <w:rFonts w:ascii="Cambria Math" w:hAnsi="Cambria Math"/>
                    <w:sz w:val="28"/>
                    <w:szCs w:val="28"/>
                    <w:lang w:val="en-US"/>
                  </w:rPr>
                  <m:t>logit</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мал.</m:t>
                        </m:r>
                      </m:sub>
                    </m:sSub>
                    <m:ctrlPr>
                      <w:rPr>
                        <w:rFonts w:ascii="Cambria Math" w:hAnsi="Cambria Math"/>
                        <w:i/>
                        <w:sz w:val="28"/>
                        <w:szCs w:val="28"/>
                        <w:lang w:val="kk-KZ"/>
                      </w:rPr>
                    </m:ctrlPr>
                  </m:e>
                </m:d>
                <m:r>
                  <w:rPr>
                    <w:rFonts w:ascii="Cambria Math" w:hAnsi="Cambria Math"/>
                    <w:sz w:val="28"/>
                    <w:szCs w:val="28"/>
                    <w:lang w:val="kk-KZ"/>
                  </w:rPr>
                  <m:t>=-0,842-1,014-0,038 ∙</m:t>
                </m:r>
                <m:sSub>
                  <m:sSubPr>
                    <m:ctrlPr>
                      <w:rPr>
                        <w:rFonts w:ascii="Cambria Math" w:hAnsi="Cambria Math"/>
                        <w:i/>
                        <w:sz w:val="28"/>
                        <w:szCs w:val="28"/>
                        <w:lang w:val="kk-KZ"/>
                      </w:rPr>
                    </m:ctrlPr>
                  </m:sSubPr>
                  <m:e>
                    <m:r>
                      <w:rPr>
                        <w:rFonts w:ascii="Cambria Math" w:hAnsi="Cambria Math"/>
                        <w:sz w:val="28"/>
                        <w:szCs w:val="28"/>
                        <w:lang w:val="kk-KZ"/>
                      </w:rPr>
                      <m:t>AWARE</m:t>
                    </m:r>
                  </m:e>
                  <m:sub>
                    <m:r>
                      <w:rPr>
                        <w:rFonts w:ascii="Cambria Math" w:hAnsi="Cambria Math"/>
                        <w:sz w:val="28"/>
                        <w:szCs w:val="28"/>
                        <w:lang w:val="kk-KZ"/>
                      </w:rPr>
                      <m:t>i</m:t>
                    </m:r>
                  </m:sub>
                </m:sSub>
                <m:r>
                  <w:rPr>
                    <w:rFonts w:ascii="Cambria Math" w:hAnsi="Cambria Math"/>
                    <w:sz w:val="28"/>
                    <w:szCs w:val="28"/>
                    <w:lang w:val="kk-KZ"/>
                  </w:rPr>
                  <m:t>+0,052∙</m:t>
                </m:r>
                <m:sSub>
                  <m:sSubPr>
                    <m:ctrlPr>
                      <w:rPr>
                        <w:rFonts w:ascii="Cambria Math" w:hAnsi="Cambria Math"/>
                        <w:i/>
                        <w:sz w:val="28"/>
                        <w:szCs w:val="28"/>
                        <w:lang w:val="kk-KZ"/>
                      </w:rPr>
                    </m:ctrlPr>
                  </m:sSubPr>
                  <m:e>
                    <m:r>
                      <w:rPr>
                        <w:rFonts w:ascii="Cambria Math" w:hAnsi="Cambria Math"/>
                        <w:sz w:val="28"/>
                        <w:szCs w:val="28"/>
                        <w:lang w:val="kk-KZ"/>
                      </w:rPr>
                      <m:t>MOTIV</m:t>
                    </m:r>
                  </m:e>
                  <m:sub>
                    <m:r>
                      <w:rPr>
                        <w:rFonts w:ascii="Cambria Math" w:hAnsi="Cambria Math"/>
                        <w:sz w:val="28"/>
                        <w:szCs w:val="28"/>
                        <w:lang w:val="kk-KZ"/>
                      </w:rPr>
                      <m:t>i</m:t>
                    </m:r>
                  </m:sub>
                </m:sSub>
              </m:oMath>
            </m:oMathPara>
          </w:p>
        </w:tc>
        <w:tc>
          <w:tcPr>
            <w:tcW w:w="702" w:type="dxa"/>
          </w:tcPr>
          <w:p w14:paraId="41EBA92C" w14:textId="5CF197A9" w:rsidR="00FA2665" w:rsidRPr="00FA2665" w:rsidRDefault="00FA2665" w:rsidP="00FD618C">
            <w:pPr>
              <w:tabs>
                <w:tab w:val="left" w:pos="851"/>
              </w:tabs>
              <w:ind w:firstLine="0"/>
              <w:jc w:val="right"/>
              <w:rPr>
                <w:sz w:val="28"/>
                <w:szCs w:val="28"/>
                <w:lang w:val="kk-KZ"/>
              </w:rPr>
            </w:pPr>
            <w:r>
              <w:rPr>
                <w:sz w:val="28"/>
                <w:szCs w:val="28"/>
                <w:lang w:val="kk-KZ"/>
              </w:rPr>
              <w:t>(1</w:t>
            </w:r>
            <w:r w:rsidR="00FD618C">
              <w:rPr>
                <w:sz w:val="28"/>
                <w:szCs w:val="28"/>
                <w:lang w:val="kk-KZ"/>
              </w:rPr>
              <w:t>2</w:t>
            </w:r>
            <w:r>
              <w:rPr>
                <w:sz w:val="28"/>
                <w:szCs w:val="28"/>
                <w:lang w:val="kk-KZ"/>
              </w:rPr>
              <w:t>)</w:t>
            </w:r>
          </w:p>
        </w:tc>
      </w:tr>
    </w:tbl>
    <w:p w14:paraId="64EE24DC" w14:textId="77777777" w:rsidR="00FA2665" w:rsidRPr="000C1190" w:rsidRDefault="00FA2665" w:rsidP="002F33D0">
      <w:pPr>
        <w:tabs>
          <w:tab w:val="left" w:pos="851"/>
        </w:tabs>
        <w:spacing w:after="0" w:line="240" w:lineRule="auto"/>
        <w:ind w:firstLine="567"/>
        <w:jc w:val="both"/>
        <w:rPr>
          <w:rFonts w:ascii="Times New Roman" w:hAnsi="Times New Roman" w:cs="Times New Roman"/>
          <w:sz w:val="28"/>
          <w:szCs w:val="28"/>
        </w:rPr>
      </w:pPr>
    </w:p>
    <w:p w14:paraId="32149085" w14:textId="3298F6DA"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Для малых компаний коэффициент </w:t>
      </w:r>
      <w:r w:rsidR="009A548D">
        <w:rPr>
          <w:rFonts w:ascii="Times New Roman" w:hAnsi="Times New Roman" w:cs="Times New Roman"/>
          <w:sz w:val="28"/>
          <w:szCs w:val="28"/>
          <w:lang w:val="kk-KZ"/>
        </w:rPr>
        <w:t>-</w:t>
      </w:r>
      <w:r w:rsidR="004558B1">
        <w:rPr>
          <w:rFonts w:ascii="Times New Roman" w:hAnsi="Times New Roman" w:cs="Times New Roman"/>
          <w:sz w:val="28"/>
          <w:szCs w:val="28"/>
        </w:rPr>
        <w:t>1,014 статистически значим (p=</w:t>
      </w:r>
      <w:r w:rsidRPr="000C1190">
        <w:rPr>
          <w:rFonts w:ascii="Times New Roman" w:hAnsi="Times New Roman" w:cs="Times New Roman"/>
          <w:sz w:val="28"/>
          <w:szCs w:val="28"/>
        </w:rPr>
        <w:t xml:space="preserve">0,004), что означает снижение вероятности участия в 2,7 раза по сравнению с крупными предприятиями. Это подтверждает наличие институционального </w:t>
      </w:r>
      <w:r w:rsidRPr="000C1190">
        <w:rPr>
          <w:rFonts w:ascii="Times New Roman" w:hAnsi="Times New Roman" w:cs="Times New Roman"/>
          <w:sz w:val="28"/>
          <w:szCs w:val="28"/>
        </w:rPr>
        <w:lastRenderedPageBreak/>
        <w:t>неравенства: малые структуры имеют существенно более низкие шансы вовлечения в программы господдержки.</w:t>
      </w:r>
    </w:p>
    <w:p w14:paraId="59F91DEC" w14:textId="23788440"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Ключевым фактором, определяющим участие предпринимательских структур в программах господдержки, выступает размер предприятия. Для малых компаний вероятность участия статистически значимо ниже: отношение шансов</w:t>
      </w:r>
      <w:r w:rsidR="004558B1">
        <w:rPr>
          <w:rFonts w:ascii="Times New Roman" w:hAnsi="Times New Roman" w:cs="Times New Roman"/>
          <w:sz w:val="28"/>
          <w:szCs w:val="28"/>
        </w:rPr>
        <w:t xml:space="preserve"> (Exp(B)) составляет 0,363 (p=</w:t>
      </w:r>
      <w:r w:rsidRPr="000C1190">
        <w:rPr>
          <w:rFonts w:ascii="Times New Roman" w:hAnsi="Times New Roman" w:cs="Times New Roman"/>
          <w:sz w:val="28"/>
          <w:szCs w:val="28"/>
        </w:rPr>
        <w:t>0,004), что означает снижение вероятности вовлечения примерно в 2,7 раза по сравнению с крупными организациями. Для средних предприятий различия по сравнению с крупны</w:t>
      </w:r>
      <w:r w:rsidR="004558B1">
        <w:rPr>
          <w:rFonts w:ascii="Times New Roman" w:hAnsi="Times New Roman" w:cs="Times New Roman"/>
          <w:sz w:val="28"/>
          <w:szCs w:val="28"/>
        </w:rPr>
        <w:t>ми статистически незначимы (p=</w:t>
      </w:r>
      <w:r w:rsidRPr="000C1190">
        <w:rPr>
          <w:rFonts w:ascii="Times New Roman" w:hAnsi="Times New Roman" w:cs="Times New Roman"/>
          <w:sz w:val="28"/>
          <w:szCs w:val="28"/>
        </w:rPr>
        <w:t>0,424), что позволяет говорить о схожих возможностях и барьерах участия этих категорий бизнеса.</w:t>
      </w:r>
    </w:p>
    <w:p w14:paraId="44FDDE3F" w14:textId="3C987093"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Индекс информированности о программах не продемонстрировал значимого влия</w:t>
      </w:r>
      <w:r w:rsidR="004558B1">
        <w:rPr>
          <w:rFonts w:ascii="Times New Roman" w:hAnsi="Times New Roman" w:cs="Times New Roman"/>
          <w:sz w:val="28"/>
          <w:szCs w:val="28"/>
        </w:rPr>
        <w:t>ния на вероятность участия (p=</w:t>
      </w:r>
      <w:r w:rsidRPr="000C1190">
        <w:rPr>
          <w:rFonts w:ascii="Times New Roman" w:hAnsi="Times New Roman" w:cs="Times New Roman"/>
          <w:sz w:val="28"/>
          <w:szCs w:val="28"/>
        </w:rPr>
        <w:t>0,660), что указывает: сам по себе уровень знаний о доступных инструментах не гарантирует вовлечения предприятий в механизмы господдержки. Аналогично, интеграл</w:t>
      </w:r>
      <w:r w:rsidR="004558B1">
        <w:rPr>
          <w:rFonts w:ascii="Times New Roman" w:hAnsi="Times New Roman" w:cs="Times New Roman"/>
          <w:sz w:val="28"/>
          <w:szCs w:val="28"/>
        </w:rPr>
        <w:t>ьный индекс мотивации (p=</w:t>
      </w:r>
      <w:r w:rsidRPr="000C1190">
        <w:rPr>
          <w:rFonts w:ascii="Times New Roman" w:hAnsi="Times New Roman" w:cs="Times New Roman"/>
          <w:sz w:val="28"/>
          <w:szCs w:val="28"/>
        </w:rPr>
        <w:t>0,439), отражающий потенциальный интерес неучаствовавших респондентов к отдельным стимулам, не оказал существенного эффекта на фактическое участие. Это свидетельствует о том, что декларируемые стимулы скорее характеризуют гипотетическую готовность, нежели реальные барьеры и возможности, определяющие поведение компаний.</w:t>
      </w:r>
    </w:p>
    <w:p w14:paraId="5A43E5DC" w14:textId="411D200A"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Таким образом, результаты анализа подтверждают, что определяющим фактором участия в господдержке остаётся институциональное неравенство </w:t>
      </w:r>
      <w:r w:rsidR="00FA2665">
        <w:rPr>
          <w:rFonts w:ascii="Times New Roman" w:hAnsi="Times New Roman" w:cs="Times New Roman"/>
          <w:sz w:val="28"/>
          <w:szCs w:val="28"/>
          <w:lang w:val="kk-KZ"/>
        </w:rPr>
        <w:t>по размерности предприятий</w:t>
      </w:r>
      <w:r w:rsidRPr="000C1190">
        <w:rPr>
          <w:rFonts w:ascii="Times New Roman" w:hAnsi="Times New Roman" w:cs="Times New Roman"/>
          <w:sz w:val="28"/>
          <w:szCs w:val="28"/>
        </w:rPr>
        <w:t>. Низкая вероятность вовлечения малых структур объясняется не недостатком информированности, а объективными ресурсными ограничениями и высокими трансакционными издержками при взаимодействии с государственными институтами. В практическом плане это означает, что для стимулирования вовлечённости малого бизнеса необходимы не столько дополнительные информационные кампании, сколько меры по упрощению процедур, снижению административной нагрузки и обеспечению адресной финансовой поддержки.</w:t>
      </w:r>
    </w:p>
    <w:p w14:paraId="79D613FE"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Проведённый анализ участия, опыта, информированности и мотивации предпринимательских структур в программах государственной поддержки выявил ряд закономерностей. Во-первых, вовлечённость в программы прямо зависит от размера предприятия: крупные и средние компании демонстрируют значительно более высокие показатели участия по сравнению с малыми. Во-вторых, субъективная оценка опыта также различается: малый бизнес оценивает эффективность взаимодействия с государственными институтами ниже, что свидетельствует о специфических барьерах доступа. В-третьих, индекс информированности оказался выше у крупных предприятий, тогда как малые и средние характеризуются одинаково низким уровнем осведомлённости. Наконец, мотивационные факторы для неучаствовавших компаний имеют преимущественно универсальный характер (финансовая поддержка, налоговые льготы, упрощение процедур), но малые предприятия проявляют особый интерес к международным стажировкам и образовательным возможностям. В совокупности эти результаты </w:t>
      </w:r>
      <w:r w:rsidRPr="000C1190">
        <w:rPr>
          <w:rFonts w:ascii="Times New Roman" w:hAnsi="Times New Roman" w:cs="Times New Roman"/>
          <w:sz w:val="28"/>
          <w:szCs w:val="28"/>
        </w:rPr>
        <w:lastRenderedPageBreak/>
        <w:t>подтверждают: институциональные барьеры для малого бизнеса носят комплексный характер и выражаются не только в доступе к информации, но и в ограниченности ресурсов, восприятии эффективности господдержки и потребности в дополнительных стимулах.</w:t>
      </w:r>
    </w:p>
    <w:p w14:paraId="24C9E6C5"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Таким образом, логистическая модель подтвердила, что главным барьером участия является не уровень информированности или декларируемая мотивация, а именно размер предприятия, отражающий структурные различия в доступе к ресурсам и институциональным возможностям. Для повышения вовлечённости малого бизнеса необходимы меры, снижающие трансакционные издержки и обеспечивающие адресную поддержку, а не только расширение информационных кампаний.</w:t>
      </w:r>
    </w:p>
    <w:p w14:paraId="70A6D1D4" w14:textId="77777777" w:rsidR="000C1190" w:rsidRPr="000C1190" w:rsidRDefault="000C1190" w:rsidP="002F33D0">
      <w:pPr>
        <w:tabs>
          <w:tab w:val="left" w:pos="851"/>
        </w:tabs>
        <w:spacing w:after="0" w:line="240" w:lineRule="auto"/>
        <w:ind w:firstLine="567"/>
        <w:jc w:val="both"/>
        <w:rPr>
          <w:rFonts w:ascii="Times New Roman" w:hAnsi="Times New Roman" w:cs="Times New Roman"/>
          <w:b/>
          <w:sz w:val="28"/>
          <w:szCs w:val="28"/>
          <w:lang w:val="kk-KZ"/>
        </w:rPr>
      </w:pPr>
      <w:r w:rsidRPr="000C1190">
        <w:rPr>
          <w:rFonts w:ascii="Times New Roman" w:hAnsi="Times New Roman" w:cs="Times New Roman"/>
          <w:b/>
          <w:sz w:val="28"/>
          <w:szCs w:val="28"/>
          <w:lang w:val="kk-KZ"/>
        </w:rPr>
        <w:t>Выводы по разделу 2.2</w:t>
      </w:r>
    </w:p>
    <w:p w14:paraId="4ACCB00B"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Проведённая систематизация внешних факторов показала, что инновационный потенциал предприятий формируется не только внутренними ресурсами и компетенциями, но и институциональной рамкой, задающей стимулы и ограничения. Драйверы и барьеры образуют согласованные конструкты, что подтверждено CFA: все индикаторы значимо нагружают соответствующие латентные переменные, а показатели согласия модели указывают на её корректность. Следовательно, внешняя среда поддается верифицируемому структурному описанию и может быть включена в причинно-следственные модели.</w:t>
      </w:r>
    </w:p>
    <w:p w14:paraId="298A83EB" w14:textId="32D0F2D9"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Результаты SEM (в увязке с CFA) свидетельствуют, что влияние внешних драйверов и барьеров на инновационный потенциал не исчерпывается прямыми эффектами: часть воздействия реализуется через состояние цифровой зрелости предприятия. Это обосновывает введение медиирующей переменной digitalization_index и переход к многофакторной интерпретации, где цифровая адаптация усиливает действие драйверов и смягчает влияние барьеров. </w:t>
      </w:r>
    </w:p>
    <w:p w14:paraId="41F393C1" w14:textId="6C88BABA"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Эмпирика по участию в господдержке выявила институциональное неравенство: доля вовлечённых выше у крупных компаний, ниже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у малых; различия статистически значимы. Логистическая регрессия подтвердила, что именно размер предприятия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ключевой предиктор вероятности участия; индекс информированности и интегральная мотивация значимого эффекта не дали. Иначе говоря, барьеры носят структурный характер и не сводятся к «недостатку информации».</w:t>
      </w:r>
    </w:p>
    <w:p w14:paraId="38783499"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Качество взаимодействия с институтами также неоднородно: малые предприятия оценивают опыт участия ниже, что указывает на более высокие транзакционные издержки и меньшую отдачу от стандартных мер поддержки. Универсальные стимулы (финансы, налоги, упрощение процедур) важны для всех, но для малых особенно значимы образовательные и международные компоненты, компенсирующие дефицит собственных ресурсов и компетенций.</w:t>
      </w:r>
    </w:p>
    <w:p w14:paraId="7686911E"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В политическом измерении результаты означают, что повышение инновационной активности невозможно без адресной перенастройки </w:t>
      </w:r>
      <w:r w:rsidRPr="000C1190">
        <w:rPr>
          <w:rFonts w:ascii="Times New Roman" w:hAnsi="Times New Roman" w:cs="Times New Roman"/>
          <w:sz w:val="28"/>
          <w:szCs w:val="28"/>
          <w:lang w:val="kk-KZ"/>
        </w:rPr>
        <w:lastRenderedPageBreak/>
        <w:t>инструментов: снизить административную нагрузку и издержки входа для МСП, расширить финансовые меры с элементами «умной» поддержки (ваучеры на цифровизацию, софинансирование пилотов), встроить треки обучения и стажировок, а также усилить связку «поддержка ↔ цифровая адаптация» как механизм преодоления барьеров.</w:t>
      </w:r>
    </w:p>
    <w:p w14:paraId="237A2D4D" w14:textId="0EBBFD6F"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Таким обр</w:t>
      </w:r>
      <w:r w:rsidR="009A548D">
        <w:rPr>
          <w:rFonts w:ascii="Times New Roman" w:hAnsi="Times New Roman" w:cs="Times New Roman"/>
          <w:sz w:val="28"/>
          <w:szCs w:val="28"/>
          <w:lang w:val="kk-KZ"/>
        </w:rPr>
        <w:t xml:space="preserve">азом, раздел 2.2 фиксирует: </w:t>
      </w:r>
      <w:r w:rsidRPr="000C1190">
        <w:rPr>
          <w:rFonts w:ascii="Times New Roman" w:hAnsi="Times New Roman" w:cs="Times New Roman"/>
          <w:sz w:val="28"/>
          <w:szCs w:val="28"/>
          <w:lang w:val="kk-KZ"/>
        </w:rPr>
        <w:t>внешние факторы инноваций структурируемы и</w:t>
      </w:r>
      <w:r w:rsidR="009A548D">
        <w:rPr>
          <w:rFonts w:ascii="Times New Roman" w:hAnsi="Times New Roman" w:cs="Times New Roman"/>
          <w:sz w:val="28"/>
          <w:szCs w:val="28"/>
          <w:lang w:val="kk-KZ"/>
        </w:rPr>
        <w:t xml:space="preserve"> статистически согласованы; </w:t>
      </w:r>
      <w:r w:rsidRPr="000C1190">
        <w:rPr>
          <w:rFonts w:ascii="Times New Roman" w:hAnsi="Times New Roman" w:cs="Times New Roman"/>
          <w:sz w:val="28"/>
          <w:szCs w:val="28"/>
          <w:lang w:val="kk-KZ"/>
        </w:rPr>
        <w:t>институциональная среда по-разному доступна для фирм разного масштаба, что формирует усто</w:t>
      </w:r>
      <w:r w:rsidR="009A548D">
        <w:rPr>
          <w:rFonts w:ascii="Times New Roman" w:hAnsi="Times New Roman" w:cs="Times New Roman"/>
          <w:sz w:val="28"/>
          <w:szCs w:val="28"/>
          <w:lang w:val="kk-KZ"/>
        </w:rPr>
        <w:t xml:space="preserve">йчивое неравенство участия; </w:t>
      </w:r>
      <w:r w:rsidRPr="000C1190">
        <w:rPr>
          <w:rFonts w:ascii="Times New Roman" w:hAnsi="Times New Roman" w:cs="Times New Roman"/>
          <w:sz w:val="28"/>
          <w:szCs w:val="28"/>
          <w:lang w:val="kk-KZ"/>
        </w:rPr>
        <w:t xml:space="preserve">ключ к повышению инновационного потенциала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не только в наращивании драйверов и снижении барьеров, но и в целенаправленной цифровой адаптации предприятий, выступающей опосредующим звеном. Эти выводы логически переходят к разделу 2.3, где медиирующая роль цифровизации формально оценивается в многогрупповых SEM-моделях.</w:t>
      </w:r>
    </w:p>
    <w:p w14:paraId="2128B120"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rPr>
      </w:pPr>
    </w:p>
    <w:p w14:paraId="311FDD69" w14:textId="627EBF46" w:rsidR="000C1190" w:rsidRPr="000C1190" w:rsidRDefault="000C1190" w:rsidP="002F33D0">
      <w:pPr>
        <w:tabs>
          <w:tab w:val="left" w:pos="851"/>
        </w:tabs>
        <w:spacing w:after="0" w:line="240" w:lineRule="auto"/>
        <w:ind w:firstLine="567"/>
        <w:jc w:val="both"/>
        <w:rPr>
          <w:rFonts w:ascii="Times New Roman" w:hAnsi="Times New Roman" w:cs="Times New Roman"/>
          <w:b/>
          <w:sz w:val="28"/>
          <w:szCs w:val="28"/>
        </w:rPr>
      </w:pPr>
      <w:r w:rsidRPr="000C1190">
        <w:rPr>
          <w:rFonts w:ascii="Times New Roman" w:hAnsi="Times New Roman" w:cs="Times New Roman"/>
          <w:b/>
          <w:sz w:val="28"/>
          <w:szCs w:val="28"/>
        </w:rPr>
        <w:t>2.3 Медиирующая роль цифровой адаптации в формиров</w:t>
      </w:r>
      <w:r w:rsidR="006C424B">
        <w:rPr>
          <w:rFonts w:ascii="Times New Roman" w:hAnsi="Times New Roman" w:cs="Times New Roman"/>
          <w:b/>
          <w:sz w:val="28"/>
          <w:szCs w:val="28"/>
        </w:rPr>
        <w:t>ании инновационного потенциала</w:t>
      </w:r>
    </w:p>
    <w:p w14:paraId="2E7DD53F"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Результаты предыдущего анализа показали, что реализация инновационного потенциала предпринимательских структур во многом определяется не только действием внешних драйверов и барьеров, но и способностью предприятий адаптироваться к условиям цифровой экономики.</w:t>
      </w:r>
    </w:p>
    <w:p w14:paraId="2C6A8C08"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В этой связи дальнейший этап исследования направлен на оценку медиирующего эффекта цифровой адаптации, то есть степени, в которой цифровая зрелость предприятия усиливает или трансформирует влияние внешних факторов на инновационный потенциал.</w:t>
      </w:r>
    </w:p>
    <w:p w14:paraId="0E8AE6F3" w14:textId="05D72D92"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Для включения этого аспекта в структурный анализ была сформирована наблюдаемая переменная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w:t>
      </w:r>
      <w:r w:rsidR="004558B1">
        <w:rPr>
          <w:rFonts w:ascii="Times New Roman" w:hAnsi="Times New Roman" w:cs="Times New Roman"/>
          <w:sz w:val="28"/>
          <w:szCs w:val="28"/>
          <w:lang w:val="kk-KZ"/>
        </w:rPr>
        <w:t>индекс цифровой зрелости</w:t>
      </w:r>
      <w:r w:rsidRPr="000C1190">
        <w:rPr>
          <w:rFonts w:ascii="Times New Roman" w:hAnsi="Times New Roman" w:cs="Times New Roman"/>
          <w:sz w:val="28"/>
          <w:szCs w:val="28"/>
          <w:lang w:val="kk-KZ"/>
        </w:rPr>
        <w:t>, отражающая уровень цифровой адаптации предприятия.</w:t>
      </w:r>
    </w:p>
    <w:p w14:paraId="59A16076" w14:textId="645AA236"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Её роль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зафиксировать опосредующее воздействие цифровой </w:t>
      </w:r>
      <w:r w:rsidR="00C46283">
        <w:rPr>
          <w:rFonts w:ascii="Times New Roman" w:hAnsi="Times New Roman" w:cs="Times New Roman"/>
          <w:sz w:val="28"/>
          <w:szCs w:val="28"/>
          <w:lang w:val="kk-KZ"/>
        </w:rPr>
        <w:t>адаптации</w:t>
      </w:r>
      <w:r w:rsidRPr="000C1190">
        <w:rPr>
          <w:rFonts w:ascii="Times New Roman" w:hAnsi="Times New Roman" w:cs="Times New Roman"/>
          <w:sz w:val="28"/>
          <w:szCs w:val="28"/>
          <w:lang w:val="kk-KZ"/>
        </w:rPr>
        <w:t xml:space="preserve"> на связь между внешними драйверами, барьерами и оценкой инновационного потенциала.</w:t>
      </w:r>
      <w:r w:rsidR="007916F5">
        <w:rPr>
          <w:rFonts w:ascii="Times New Roman" w:hAnsi="Times New Roman" w:cs="Times New Roman"/>
          <w:sz w:val="28"/>
          <w:szCs w:val="28"/>
          <w:lang w:val="kk-KZ"/>
        </w:rPr>
        <w:t xml:space="preserve"> </w:t>
      </w:r>
      <w:r w:rsidR="007916F5" w:rsidRPr="007916F5">
        <w:rPr>
          <w:rFonts w:ascii="Times New Roman" w:hAnsi="Times New Roman" w:cs="Times New Roman"/>
          <w:sz w:val="28"/>
          <w:szCs w:val="28"/>
          <w:lang w:val="kk-KZ"/>
        </w:rPr>
        <w:t>Индекс</w:t>
      </w:r>
      <w:r w:rsidR="007916F5">
        <w:rPr>
          <w:rFonts w:ascii="Times New Roman" w:hAnsi="Times New Roman" w:cs="Times New Roman"/>
          <w:sz w:val="28"/>
          <w:szCs w:val="28"/>
          <w:lang w:val="kk-KZ"/>
        </w:rPr>
        <w:t xml:space="preserve"> </w:t>
      </w:r>
      <w:r w:rsidR="007916F5" w:rsidRPr="007916F5">
        <w:rPr>
          <w:rFonts w:ascii="Times New Roman" w:hAnsi="Times New Roman" w:cs="Times New Roman"/>
          <w:sz w:val="28"/>
          <w:szCs w:val="28"/>
          <w:lang w:val="kk-KZ"/>
        </w:rPr>
        <w:t>является операционализацией концепта цифровой адаптации, отражая степень интеграции цифровых практик в деятельность предприятия</w:t>
      </w:r>
      <w:r w:rsidR="007916F5">
        <w:rPr>
          <w:rFonts w:ascii="Times New Roman" w:hAnsi="Times New Roman" w:cs="Times New Roman"/>
          <w:sz w:val="28"/>
          <w:szCs w:val="28"/>
          <w:lang w:val="kk-KZ"/>
        </w:rPr>
        <w:t xml:space="preserve">. Он </w:t>
      </w:r>
      <w:r w:rsidRPr="000C1190">
        <w:rPr>
          <w:rFonts w:ascii="Times New Roman" w:hAnsi="Times New Roman" w:cs="Times New Roman"/>
          <w:sz w:val="28"/>
          <w:szCs w:val="28"/>
          <w:lang w:val="kk-KZ"/>
        </w:rPr>
        <w:t>построен на основе набора бинарных и шкальных показателей, собранных в ходе анкетирования. В его состав вошли следующие индикаторы:</w:t>
      </w:r>
    </w:p>
    <w:p w14:paraId="1EFE7A78" w14:textId="6388AFD0" w:rsidR="000C1190" w:rsidRPr="000C1190" w:rsidRDefault="000C1190" w:rsidP="007F5E68">
      <w:pPr>
        <w:pStyle w:val="a3"/>
        <w:numPr>
          <w:ilvl w:val="0"/>
          <w:numId w:val="10"/>
        </w:numPr>
        <w:tabs>
          <w:tab w:val="left" w:pos="851"/>
        </w:tabs>
        <w:spacing w:after="0" w:line="240" w:lineRule="auto"/>
        <w:ind w:left="0"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наличие стратегии цифровизации</w:t>
      </w:r>
      <w:r w:rsidR="006C424B">
        <w:rPr>
          <w:rFonts w:ascii="Times New Roman" w:hAnsi="Times New Roman" w:cs="Times New Roman"/>
          <w:sz w:val="28"/>
          <w:szCs w:val="28"/>
          <w:lang w:val="kk-KZ"/>
        </w:rPr>
        <w:t>;</w:t>
      </w:r>
    </w:p>
    <w:p w14:paraId="23AD11C8" w14:textId="12AAA561" w:rsidR="000C1190" w:rsidRPr="000C1190" w:rsidRDefault="000C1190" w:rsidP="007F5E68">
      <w:pPr>
        <w:pStyle w:val="a3"/>
        <w:numPr>
          <w:ilvl w:val="0"/>
          <w:numId w:val="10"/>
        </w:numPr>
        <w:tabs>
          <w:tab w:val="left" w:pos="851"/>
        </w:tabs>
        <w:spacing w:after="0" w:line="240" w:lineRule="auto"/>
        <w:ind w:left="0"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степень внедрения цифровых решений в бизнес-процессы</w:t>
      </w:r>
      <w:r w:rsidR="006C424B">
        <w:rPr>
          <w:rFonts w:ascii="Times New Roman" w:hAnsi="Times New Roman" w:cs="Times New Roman"/>
          <w:sz w:val="28"/>
          <w:szCs w:val="28"/>
          <w:lang w:val="kk-KZ"/>
        </w:rPr>
        <w:t>;</w:t>
      </w:r>
    </w:p>
    <w:p w14:paraId="418FE45F" w14:textId="07CF7701" w:rsidR="000C1190" w:rsidRPr="000C1190" w:rsidRDefault="000C1190" w:rsidP="007F5E68">
      <w:pPr>
        <w:pStyle w:val="a3"/>
        <w:numPr>
          <w:ilvl w:val="0"/>
          <w:numId w:val="10"/>
        </w:numPr>
        <w:tabs>
          <w:tab w:val="left" w:pos="851"/>
        </w:tabs>
        <w:spacing w:after="0" w:line="240" w:lineRule="auto"/>
        <w:ind w:left="0"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использование цифровых каналов взаимодействия с клиентами и партнёрами</w:t>
      </w:r>
      <w:r w:rsidR="006C424B">
        <w:rPr>
          <w:rFonts w:ascii="Times New Roman" w:hAnsi="Times New Roman" w:cs="Times New Roman"/>
          <w:sz w:val="28"/>
          <w:szCs w:val="28"/>
          <w:lang w:val="kk-KZ"/>
        </w:rPr>
        <w:t>;</w:t>
      </w:r>
    </w:p>
    <w:p w14:paraId="4838EBA0" w14:textId="68A96FB7" w:rsidR="000C1190" w:rsidRPr="000C1190" w:rsidRDefault="000C1190" w:rsidP="007F5E68">
      <w:pPr>
        <w:pStyle w:val="a3"/>
        <w:numPr>
          <w:ilvl w:val="0"/>
          <w:numId w:val="10"/>
        </w:numPr>
        <w:tabs>
          <w:tab w:val="left" w:pos="851"/>
        </w:tabs>
        <w:spacing w:after="0" w:line="240" w:lineRule="auto"/>
        <w:ind w:left="0"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уровень цифровых компетенций персонала</w:t>
      </w:r>
      <w:r w:rsidR="006C424B">
        <w:rPr>
          <w:rFonts w:ascii="Times New Roman" w:hAnsi="Times New Roman" w:cs="Times New Roman"/>
          <w:sz w:val="28"/>
          <w:szCs w:val="28"/>
          <w:lang w:val="kk-KZ"/>
        </w:rPr>
        <w:t>;</w:t>
      </w:r>
    </w:p>
    <w:p w14:paraId="4AB42E2B" w14:textId="77777777" w:rsidR="000C1190" w:rsidRPr="000C1190" w:rsidRDefault="000C1190" w:rsidP="007F5E68">
      <w:pPr>
        <w:pStyle w:val="a3"/>
        <w:numPr>
          <w:ilvl w:val="0"/>
          <w:numId w:val="10"/>
        </w:numPr>
        <w:tabs>
          <w:tab w:val="left" w:pos="851"/>
        </w:tabs>
        <w:spacing w:after="0" w:line="240" w:lineRule="auto"/>
        <w:ind w:left="0"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применение цифровых технологий в управлении и планировании.</w:t>
      </w:r>
    </w:p>
    <w:p w14:paraId="7D5C07AD" w14:textId="251441B2"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Часть показателей имела бинарный характер (наличие/отсутствие практики), часть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оценивалась по шкале Лайкерта. Для обеспечения сопоставимости значений все переменные были нормированы и агрегированы </w:t>
      </w:r>
      <w:r w:rsidRPr="000C1190">
        <w:rPr>
          <w:rFonts w:ascii="Times New Roman" w:hAnsi="Times New Roman" w:cs="Times New Roman"/>
          <w:sz w:val="28"/>
          <w:szCs w:val="28"/>
          <w:lang w:val="kk-KZ"/>
        </w:rPr>
        <w:lastRenderedPageBreak/>
        <w:t>в единый интегральный индекс, принимающий значения в непрерывной шкале от 0 до 1.</w:t>
      </w:r>
    </w:p>
    <w:p w14:paraId="4E9F72CE" w14:textId="658D977F"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Среднее значение индекса по выборке составило 0</w:t>
      </w:r>
      <w:r w:rsidR="006C424B">
        <w:rPr>
          <w:rFonts w:ascii="Times New Roman" w:hAnsi="Times New Roman" w:cs="Times New Roman"/>
          <w:sz w:val="28"/>
          <w:szCs w:val="28"/>
          <w:lang w:val="kk-KZ"/>
        </w:rPr>
        <w:t>,</w:t>
      </w:r>
      <w:r w:rsidRPr="000C1190">
        <w:rPr>
          <w:rFonts w:ascii="Times New Roman" w:hAnsi="Times New Roman" w:cs="Times New Roman"/>
          <w:sz w:val="28"/>
          <w:szCs w:val="28"/>
          <w:lang w:val="kk-KZ"/>
        </w:rPr>
        <w:t>512, что свидетельствует о среднем уровне цифровой зрелости казахстанских предприятий. Диапазон (0</w:t>
      </w:r>
      <w:r w:rsidR="006C424B">
        <w:rPr>
          <w:rFonts w:ascii="Times New Roman" w:hAnsi="Times New Roman" w:cs="Times New Roman"/>
          <w:sz w:val="28"/>
          <w:szCs w:val="28"/>
          <w:lang w:val="kk-KZ"/>
        </w:rPr>
        <w:t>,</w:t>
      </w:r>
      <w:r w:rsidRPr="000C1190">
        <w:rPr>
          <w:rFonts w:ascii="Times New Roman" w:hAnsi="Times New Roman" w:cs="Times New Roman"/>
          <w:sz w:val="28"/>
          <w:szCs w:val="28"/>
          <w:lang w:val="kk-KZ"/>
        </w:rPr>
        <w:t>143</w:t>
      </w:r>
      <w:r w:rsidR="009A548D">
        <w:rPr>
          <w:rFonts w:ascii="Times New Roman" w:hAnsi="Times New Roman" w:cs="Times New Roman"/>
          <w:sz w:val="28"/>
          <w:szCs w:val="28"/>
          <w:lang w:val="kk-KZ"/>
        </w:rPr>
        <w:t>-</w:t>
      </w:r>
      <w:r w:rsidRPr="000C1190">
        <w:rPr>
          <w:rFonts w:ascii="Times New Roman" w:hAnsi="Times New Roman" w:cs="Times New Roman"/>
          <w:sz w:val="28"/>
          <w:szCs w:val="28"/>
          <w:lang w:val="kk-KZ"/>
        </w:rPr>
        <w:t>0</w:t>
      </w:r>
      <w:r w:rsidR="006C424B">
        <w:rPr>
          <w:rFonts w:ascii="Times New Roman" w:hAnsi="Times New Roman" w:cs="Times New Roman"/>
          <w:sz w:val="28"/>
          <w:szCs w:val="28"/>
          <w:lang w:val="kk-KZ"/>
        </w:rPr>
        <w:t>,</w:t>
      </w:r>
      <w:r w:rsidRPr="000C1190">
        <w:rPr>
          <w:rFonts w:ascii="Times New Roman" w:hAnsi="Times New Roman" w:cs="Times New Roman"/>
          <w:sz w:val="28"/>
          <w:szCs w:val="28"/>
          <w:lang w:val="kk-KZ"/>
        </w:rPr>
        <w:t>952) отражает значительное разнообразие подходов к цифровизации, что указывает на неравномерность цифровой адаптации в предпринимательской среде.</w:t>
      </w:r>
    </w:p>
    <w:p w14:paraId="56042585" w14:textId="6D09A78A" w:rsid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Включение переменной цифровой зрелости предприятия в качестве медиатора позволяет более глубоко понять механизмы формирования инновационного потенциала в современных условиях. Цифровая адаптация выступает не только как самостоятельный фактор инновационного развития, но и как усиливающий элемент, который может трансформировать воздействие внешних драйверов и смягчать влияние барьеров. Это особенно важно для Казахстана, где </w:t>
      </w:r>
      <w:r w:rsidR="007916F5" w:rsidRPr="007916F5">
        <w:rPr>
          <w:rFonts w:ascii="Times New Roman" w:hAnsi="Times New Roman" w:cs="Times New Roman"/>
          <w:sz w:val="28"/>
          <w:szCs w:val="28"/>
          <w:lang w:val="kk-KZ"/>
        </w:rPr>
        <w:t>цифровые процессы на уровне предприятий развиваются неравномерно</w:t>
      </w:r>
      <w:r w:rsidRPr="000C1190">
        <w:rPr>
          <w:rFonts w:ascii="Times New Roman" w:hAnsi="Times New Roman" w:cs="Times New Roman"/>
          <w:sz w:val="28"/>
          <w:szCs w:val="28"/>
          <w:lang w:val="kk-KZ"/>
        </w:rPr>
        <w:t xml:space="preserve"> и требуют целенаправленного институционального и стратегического сопровождения</w:t>
      </w:r>
      <w:r w:rsidR="006C424B">
        <w:rPr>
          <w:rFonts w:ascii="Times New Roman" w:hAnsi="Times New Roman" w:cs="Times New Roman"/>
          <w:sz w:val="28"/>
          <w:szCs w:val="28"/>
          <w:lang w:val="kk-KZ"/>
        </w:rPr>
        <w:t xml:space="preserve"> </w:t>
      </w:r>
      <w:r w:rsidR="006C424B">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{"citationID":"agm847d2bc","properties":{"formattedCitation":"[201]","plainCitation":"[201]","noteIndex":0},"citationItems":[{"id":261,"uris":["http://zotero.org/users/16887523/items/F6RZP5MJ"],"itemData":{"id":261,"type":"article-journal","abstract":"Type of the article: Research Article\nAbstractDigital transformation is a key factor in the competitiveness of enterprises in the modern world. The study aims to analyze the readiness of enterprises in Kazakhstan for digital transformation at the regional and sectoral levels. The main research method was statistical analysis based on an index approach using data for 2023 from Kazakhstan’s Bureau of National Statistics, reflecting the digital readiness and digital maturity of enterprises. According to the findings, in Kazakhstan, the level of readiness of enterprises for digital transformation is heterogeneous both in regional and sectoral terms. Kazakhstani enterprises are characterized by a high level of basic digital readiness (81.4% of enterprises had computers, 79.5% – Internet access), an unsatisfactory level of advanced digital readiness (5.6% of enterprises had IT-specialists, 1.1% – own data centers, 3.1% – implemented business processes innovations in information and communication systems), and digital maturity (26.5% of enterprises had Internet resources, electronic invoices – 79.1%, automated internal business processes – 16.7%, cloud computing – 11.0%, big data technologies – 1.9%, and RFID technologies – 1.1%). A digital gap in the readiness of enterprises for digital transformation was revealed between the leading (Almaty and Astana cities, Atyrau, and Karaganda regions) and lagging (Mangystau, Turkestan, and Kyzylorda regions) regions, and between the sectors, where enterprises in industry, trade, information and communication, hospitality and healthcare are significantly ahead of enterprises in agriculture, construction, and real estate. It is advisable to make more active use of innovation infrastructure facilities to increase the digital potential of enterprises.\nAcknowledgmentsThis research has been funded by the Science Committee of the Ministry of Science and Higher Education of the Republic of Kazakhstan (IRN 19680544 “Innovation infrastructure of Kazakhstan in the context of digitalization: assessment of the state and development of an atlas”).","container-title":"Problems and Perspectives in Management","DOI":"10.21511/ppm.23(3).2025.12","ISSN":"17277051, 18105467","issue":"3","journalAbbreviation":"Problems and Perspectives in Management","license":"http://creativecommons.org/licenses/by/3.0/deed.en_US","page":"161-175","source":"DOI.org (Crossref)","title":"Digital transformation readiness of Kazakhstani enterprises: Mapping regional and sectoral capacities","title-short":"Digital transformation readiness of Kazakhstani enterprises","URL":"https://www.businessperspectives.org/index.php/journals/problems-and-perspectives-in-management/issue-492/digital-transformation-readiness-of-kazakhstani-enterprises-mapping-regional-and-sectoral-capacities","volume":"23","author":[{"family":"Satpayeva","given":"Zaira"},{"family":"Bekmurat","given":"Zhanibek"},{"family":"Medeni","given":"Tunç"},{"family":"Kangalakova","given":"Dana"},{"family":"Xue","given":"Liangliang"}],"accessed":{"date-parts":[["2025",11,26]]},"issued":{"date-parts":[["2025",8,5]]}}}],"schema":"https://github.com/citation-style-language/schema/raw/master/csl-citation.json"} </w:instrText>
      </w:r>
      <w:r w:rsidR="006C424B">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[201]</w:t>
      </w:r>
      <w:r w:rsidR="006C424B">
        <w:rPr>
          <w:rFonts w:ascii="Times New Roman" w:hAnsi="Times New Roman" w:cs="Times New Roman"/>
          <w:sz w:val="28"/>
          <w:szCs w:val="28"/>
          <w:lang w:val="kk-KZ"/>
        </w:rPr>
        <w:fldChar w:fldCharType="end"/>
      </w:r>
      <w:r w:rsidRPr="000C1190">
        <w:rPr>
          <w:rFonts w:ascii="Times New Roman" w:hAnsi="Times New Roman" w:cs="Times New Roman"/>
          <w:sz w:val="28"/>
          <w:szCs w:val="28"/>
          <w:lang w:val="kk-KZ"/>
        </w:rPr>
        <w:t>.</w:t>
      </w:r>
    </w:p>
    <w:p w14:paraId="11097CC3" w14:textId="52B62E1C" w:rsidR="00CB7B36" w:rsidRPr="00FD618C" w:rsidRDefault="00CB7B36" w:rsidP="002F33D0">
      <w:pPr>
        <w:tabs>
          <w:tab w:val="left" w:pos="851"/>
        </w:tabs>
        <w:spacing w:after="0" w:line="240" w:lineRule="auto"/>
        <w:ind w:firstLine="567"/>
        <w:jc w:val="both"/>
        <w:rPr>
          <w:rFonts w:ascii="Times New Roman" w:hAnsi="Times New Roman" w:cs="Times New Roman"/>
          <w:sz w:val="28"/>
          <w:szCs w:val="28"/>
          <w:lang w:val="kk-KZ"/>
        </w:rPr>
      </w:pPr>
      <w:r w:rsidRPr="00FD618C">
        <w:rPr>
          <w:rFonts w:ascii="Times New Roman" w:hAnsi="Times New Roman" w:cs="Times New Roman"/>
          <w:sz w:val="28"/>
          <w:szCs w:val="28"/>
          <w:lang w:val="kk-KZ"/>
        </w:rPr>
        <w:t xml:space="preserve">Для оценки структурных взаимосвязей между драйверами инноваций, медиатором цифровой зрелости и инновационным потенциалом была применена методология структурного моделирования уравнений (SEM). Детальное описание методологии, включая построение латентных переменных и оценку качества модели в среде Jamovi, представлено в нашей работе </w:t>
      </w:r>
      <w:r w:rsidRPr="00FD618C">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{"citationID":"a1f4tkof0bb","properties":{"formattedCitation":"[186]","plainCitation":"[186]","noteIndex":0},"citationItems":[{"id":368,"uris":["http://zotero.org/users/16887523/items/M9IH6GDB"],"itemData":{"id":368,"type":"article-journal","abstract":"The aim of this study is to demonstrate the capabilities of the Jamovi software in analyzing complex economic models, using the case of examining the impact of various factors on enterprise innovation activity. Structural Equation Modeling (SEM) was employed to identify both direct and mediated relationships among economic and digital infrastructure, factors related to research and development (R&amp;D), and innovation activity. The analysis results confirmed the positive impact of economic infrastructure on the level of R&amp;D and the innovation activity of enterprises, as well as the mediating role of R&amp;D factors in transmitting the effects of infrastructure. Meanwhile, the influence of digital infrastructure was found to be weak, highlighting the need for further development of digital technologies and their integration into economic activities. The findings and methodology of the study can be utilized to enhance the competitiveness of enterprises and to develop effective measures for state support of innovation activities in various regions.","container-title":"Applied Computer Science","DOI":"10.35784/acs_7037","ISSN":"2353-6977","issue":"1","journalAbbreviation":"Appl. Comput. Sci.","license":"https://creativecommons.org/licenses/by/4.0","page":"97-110","source":"DOI.org (Crossref)","title":"Structural equation modeling (SEM) in Jamovi: An example of analyzing the impact of factors on the innovation activity of enterprises","title-short":"Structural equation modeling (SEM) in Jamovi","URL":"https://ph.pollub.pl/index.php/acs/article/view/7037","volume":"21","author":[{"family":"Sadenova","given":"Assel"},{"family":"Denissova","given":"Oxana"},{"family":"Kozlova","given":"Marina"},{"family":"Rakhimova","given":"Saule"},{"family":"Gola","given":"Arkadiusz"},{"family":"Suieubayeva","given":"Saltanat"}],"accessed":{"date-parts":[["2025",12,13]]},"issued":{"date-parts":[["2025",3,31]]}}}],"schema":"https://github.com/citation-style-language/schema/raw/master/csl-citation.json"} </w:instrText>
      </w:r>
      <w:r w:rsidRPr="00FD618C">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[186]</w:t>
      </w:r>
      <w:r w:rsidRPr="00FD618C">
        <w:rPr>
          <w:rFonts w:ascii="Times New Roman" w:hAnsi="Times New Roman" w:cs="Times New Roman"/>
          <w:sz w:val="28"/>
          <w:szCs w:val="28"/>
          <w:lang w:val="kk-KZ"/>
        </w:rPr>
        <w:fldChar w:fldCharType="end"/>
      </w:r>
      <w:r w:rsidRPr="00FD618C">
        <w:rPr>
          <w:rFonts w:ascii="Times New Roman" w:hAnsi="Times New Roman" w:cs="Times New Roman"/>
          <w:sz w:val="28"/>
          <w:szCs w:val="28"/>
          <w:lang w:val="kk-KZ"/>
        </w:rPr>
        <w:t>. Анализ подтвердил положительное влияние экономической инфраструктуры на уровень НИОКР и инновационную активность, а также медиаторную роль НИОКР факторов в передаче эффектов инфраструктуры. При этом влияние цифровой инфраструктуры в макро-анализе было признано слабым, что подчёркивает необходимость целевого развития цифровых технологий и их интеграции в бизнес-процессы.</w:t>
      </w:r>
    </w:p>
    <w:p w14:paraId="7820539A" w14:textId="31401A61"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На заключительном этапе эмпирического исследования был осуществлён анализ структурных взаимосвязей между укрупнёнными латентными блоками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дра</w:t>
      </w:r>
      <w:r w:rsidR="004558B1">
        <w:rPr>
          <w:rFonts w:ascii="Times New Roman" w:hAnsi="Times New Roman" w:cs="Times New Roman"/>
          <w:sz w:val="28"/>
          <w:szCs w:val="28"/>
          <w:lang w:val="kk-KZ"/>
        </w:rPr>
        <w:t>йверами инновационного развития</w:t>
      </w:r>
      <w:r w:rsidRPr="000C1190">
        <w:rPr>
          <w:rFonts w:ascii="Times New Roman" w:hAnsi="Times New Roman" w:cs="Times New Roman"/>
          <w:sz w:val="28"/>
          <w:szCs w:val="28"/>
          <w:lang w:val="kk-KZ"/>
        </w:rPr>
        <w:t>, медиатором в виде индекса цифровой зрел</w:t>
      </w:r>
      <w:r w:rsidR="004558B1">
        <w:rPr>
          <w:rFonts w:ascii="Times New Roman" w:hAnsi="Times New Roman" w:cs="Times New Roman"/>
          <w:sz w:val="28"/>
          <w:szCs w:val="28"/>
          <w:lang w:val="kk-KZ"/>
        </w:rPr>
        <w:t>ости</w:t>
      </w:r>
      <w:r w:rsidRPr="000C1190">
        <w:rPr>
          <w:rFonts w:ascii="Times New Roman" w:hAnsi="Times New Roman" w:cs="Times New Roman"/>
          <w:sz w:val="28"/>
          <w:szCs w:val="28"/>
          <w:lang w:val="kk-KZ"/>
        </w:rPr>
        <w:t xml:space="preserve"> и субъективной оц</w:t>
      </w:r>
      <w:r w:rsidR="004558B1">
        <w:rPr>
          <w:rFonts w:ascii="Times New Roman" w:hAnsi="Times New Roman" w:cs="Times New Roman"/>
          <w:sz w:val="28"/>
          <w:szCs w:val="28"/>
          <w:lang w:val="kk-KZ"/>
        </w:rPr>
        <w:t>енкой инновационного потенциала</w:t>
      </w:r>
      <w:r w:rsidR="006410DB">
        <w:rPr>
          <w:rFonts w:ascii="Times New Roman" w:hAnsi="Times New Roman" w:cs="Times New Roman"/>
          <w:sz w:val="28"/>
          <w:szCs w:val="28"/>
          <w:lang w:val="kk-KZ"/>
        </w:rPr>
        <w:t xml:space="preserve"> (</w:t>
      </w:r>
      <w:r w:rsidR="00474A90">
        <w:rPr>
          <w:rFonts w:ascii="Times New Roman" w:hAnsi="Times New Roman" w:cs="Times New Roman"/>
          <w:sz w:val="28"/>
          <w:szCs w:val="28"/>
          <w:lang w:val="kk-KZ"/>
        </w:rPr>
        <w:t xml:space="preserve">Приложение </w:t>
      </w:r>
      <w:r w:rsidR="00AA67DC">
        <w:rPr>
          <w:rFonts w:ascii="Times New Roman" w:hAnsi="Times New Roman" w:cs="Times New Roman"/>
          <w:sz w:val="28"/>
          <w:szCs w:val="28"/>
          <w:lang w:val="kk-KZ"/>
        </w:rPr>
        <w:t>П</w:t>
      </w:r>
      <w:r w:rsidR="006410DB">
        <w:rPr>
          <w:rFonts w:ascii="Times New Roman" w:hAnsi="Times New Roman" w:cs="Times New Roman"/>
          <w:sz w:val="28"/>
          <w:szCs w:val="28"/>
          <w:lang w:val="kk-KZ"/>
        </w:rPr>
        <w:t>)</w:t>
      </w:r>
      <w:r w:rsidRPr="000C1190">
        <w:rPr>
          <w:rFonts w:ascii="Times New Roman" w:hAnsi="Times New Roman" w:cs="Times New Roman"/>
          <w:sz w:val="28"/>
          <w:szCs w:val="28"/>
          <w:lang w:val="kk-KZ"/>
        </w:rPr>
        <w:t>. Для анализа использована модель структурного уравнения (SEM), что позволило одновременно оценить как прямые, так и косвенные связи между переменными.</w:t>
      </w:r>
    </w:p>
    <w:p w14:paraId="0B34378E"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Полученные показатели качества подгонки модели свидетельствуют о её высокой согласованности с эмпирическими данными:</w:t>
      </w:r>
    </w:p>
    <w:p w14:paraId="6D43F8C2" w14:textId="0CB9807A" w:rsidR="000C1190" w:rsidRPr="000C1190" w:rsidRDefault="006C424B" w:rsidP="007F5E68">
      <w:pPr>
        <w:pStyle w:val="a3"/>
        <w:numPr>
          <w:ilvl w:val="0"/>
          <w:numId w:val="11"/>
        </w:numPr>
        <w:tabs>
          <w:tab w:val="left" w:pos="851"/>
        </w:tabs>
        <w:spacing w:after="0" w:line="240" w:lineRule="auto"/>
        <w:ind w:left="0" w:firstLine="567"/>
        <w:jc w:val="both"/>
        <w:rPr>
          <w:rFonts w:ascii="Times New Roman" w:hAnsi="Times New Roman" w:cs="Times New Roman"/>
          <w:sz w:val="28"/>
          <w:szCs w:val="28"/>
          <w:lang w:val="kk-KZ"/>
        </w:rPr>
      </w:pPr>
      <w:r w:rsidRPr="004558B1">
        <w:rPr>
          <w:rFonts w:ascii="Times New Roman" w:hAnsi="Times New Roman" w:cs="Times New Roman"/>
          <w:i/>
          <w:sz w:val="28"/>
          <w:szCs w:val="28"/>
          <w:lang w:val="kk-KZ"/>
        </w:rPr>
        <w:t>х</w:t>
      </w:r>
      <w:r w:rsidR="004558B1" w:rsidRPr="004558B1">
        <w:rPr>
          <w:rFonts w:ascii="Times New Roman" w:hAnsi="Times New Roman" w:cs="Times New Roman"/>
          <w:sz w:val="28"/>
          <w:szCs w:val="28"/>
          <w:vertAlign w:val="superscript"/>
          <w:lang w:val="kk-KZ"/>
        </w:rPr>
        <w:t>2</w:t>
      </w:r>
      <w:r w:rsidR="000C1190" w:rsidRPr="000C1190">
        <w:rPr>
          <w:rFonts w:ascii="Times New Roman" w:hAnsi="Times New Roman" w:cs="Times New Roman"/>
          <w:sz w:val="28"/>
          <w:szCs w:val="28"/>
          <w:lang w:val="kk-KZ"/>
        </w:rPr>
        <w:t>/df = 109</w:t>
      </w:r>
      <w:r>
        <w:rPr>
          <w:rFonts w:ascii="Times New Roman" w:hAnsi="Times New Roman" w:cs="Times New Roman"/>
          <w:sz w:val="28"/>
          <w:szCs w:val="28"/>
          <w:lang w:val="kk-KZ"/>
        </w:rPr>
        <w:t>,</w:t>
      </w:r>
      <w:r w:rsidR="000C1190" w:rsidRPr="000C1190">
        <w:rPr>
          <w:rFonts w:ascii="Times New Roman" w:hAnsi="Times New Roman" w:cs="Times New Roman"/>
          <w:sz w:val="28"/>
          <w:szCs w:val="28"/>
          <w:lang w:val="kk-KZ"/>
        </w:rPr>
        <w:t>6/70, p = 0</w:t>
      </w:r>
      <w:r>
        <w:rPr>
          <w:rFonts w:ascii="Times New Roman" w:hAnsi="Times New Roman" w:cs="Times New Roman"/>
          <w:sz w:val="28"/>
          <w:szCs w:val="28"/>
          <w:lang w:val="kk-KZ"/>
        </w:rPr>
        <w:t>,</w:t>
      </w:r>
      <w:r w:rsidR="000C1190" w:rsidRPr="000C1190">
        <w:rPr>
          <w:rFonts w:ascii="Times New Roman" w:hAnsi="Times New Roman" w:cs="Times New Roman"/>
          <w:sz w:val="28"/>
          <w:szCs w:val="28"/>
          <w:lang w:val="kk-KZ"/>
        </w:rPr>
        <w:t>003 (приёмлемое соотношение);</w:t>
      </w:r>
    </w:p>
    <w:p w14:paraId="63AB10D4" w14:textId="116F5B30" w:rsidR="000C1190" w:rsidRPr="000C1190" w:rsidRDefault="000C1190" w:rsidP="007F5E68">
      <w:pPr>
        <w:pStyle w:val="a3"/>
        <w:numPr>
          <w:ilvl w:val="0"/>
          <w:numId w:val="11"/>
        </w:numPr>
        <w:tabs>
          <w:tab w:val="left" w:pos="851"/>
        </w:tabs>
        <w:spacing w:after="0" w:line="240" w:lineRule="auto"/>
        <w:ind w:left="0"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CFI = 0</w:t>
      </w:r>
      <w:r w:rsidR="006C424B">
        <w:rPr>
          <w:rFonts w:ascii="Times New Roman" w:hAnsi="Times New Roman" w:cs="Times New Roman"/>
          <w:sz w:val="28"/>
          <w:szCs w:val="28"/>
          <w:lang w:val="kk-KZ"/>
        </w:rPr>
        <w:t>,</w:t>
      </w:r>
      <w:r w:rsidRPr="000C1190">
        <w:rPr>
          <w:rFonts w:ascii="Times New Roman" w:hAnsi="Times New Roman" w:cs="Times New Roman"/>
          <w:sz w:val="28"/>
          <w:szCs w:val="28"/>
          <w:lang w:val="kk-KZ"/>
        </w:rPr>
        <w:t>964, TLI = 0</w:t>
      </w:r>
      <w:r w:rsidR="006C424B">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952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указывают на хорошее соответствие модели;</w:t>
      </w:r>
    </w:p>
    <w:p w14:paraId="34B173A7" w14:textId="319FC104" w:rsidR="000C1190" w:rsidRPr="000C1190" w:rsidRDefault="000C1190" w:rsidP="007F5E68">
      <w:pPr>
        <w:pStyle w:val="a3"/>
        <w:numPr>
          <w:ilvl w:val="0"/>
          <w:numId w:val="11"/>
        </w:numPr>
        <w:tabs>
          <w:tab w:val="left" w:pos="851"/>
        </w:tabs>
        <w:spacing w:after="0" w:line="240" w:lineRule="auto"/>
        <w:ind w:left="0"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RMSEA = 0</w:t>
      </w:r>
      <w:r w:rsidR="006C424B">
        <w:rPr>
          <w:rFonts w:ascii="Times New Roman" w:hAnsi="Times New Roman" w:cs="Times New Roman"/>
          <w:sz w:val="28"/>
          <w:szCs w:val="28"/>
          <w:lang w:val="kk-KZ"/>
        </w:rPr>
        <w:t>,</w:t>
      </w:r>
      <w:r w:rsidRPr="000C1190">
        <w:rPr>
          <w:rFonts w:ascii="Times New Roman" w:hAnsi="Times New Roman" w:cs="Times New Roman"/>
          <w:sz w:val="28"/>
          <w:szCs w:val="28"/>
          <w:lang w:val="kk-KZ"/>
        </w:rPr>
        <w:t>043 (при p = 0</w:t>
      </w:r>
      <w:r w:rsidR="006C424B">
        <w:rPr>
          <w:rFonts w:ascii="Times New Roman" w:hAnsi="Times New Roman" w:cs="Times New Roman"/>
          <w:sz w:val="28"/>
          <w:szCs w:val="28"/>
          <w:lang w:val="kk-KZ"/>
        </w:rPr>
        <w:t>,</w:t>
      </w:r>
      <w:r w:rsidRPr="000C1190">
        <w:rPr>
          <w:rFonts w:ascii="Times New Roman" w:hAnsi="Times New Roman" w:cs="Times New Roman"/>
          <w:sz w:val="28"/>
          <w:szCs w:val="28"/>
          <w:lang w:val="kk-KZ"/>
        </w:rPr>
        <w:t>896) и SRMR = 0</w:t>
      </w:r>
      <w:r w:rsidR="006C424B">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044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соответствуют критериям хорошей модели.</w:t>
      </w:r>
    </w:p>
    <w:p w14:paraId="16AE90F5"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Таким образом, модель можно считать статистически устойчивой и пригодной для интерпретации.</w:t>
      </w:r>
    </w:p>
    <w:p w14:paraId="41FBBED3" w14:textId="5A3C83B1"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Все структурные пути оказались статис</w:t>
      </w:r>
      <w:r w:rsidR="006C424B">
        <w:rPr>
          <w:rFonts w:ascii="Times New Roman" w:hAnsi="Times New Roman" w:cs="Times New Roman"/>
          <w:sz w:val="28"/>
          <w:szCs w:val="28"/>
          <w:lang w:val="kk-KZ"/>
        </w:rPr>
        <w:t>тически значимыми на уровне p&lt;</w:t>
      </w:r>
      <w:r w:rsidRPr="000C1190">
        <w:rPr>
          <w:rFonts w:ascii="Times New Roman" w:hAnsi="Times New Roman" w:cs="Times New Roman"/>
          <w:sz w:val="28"/>
          <w:szCs w:val="28"/>
          <w:lang w:val="kk-KZ"/>
        </w:rPr>
        <w:t>0</w:t>
      </w:r>
      <w:r w:rsidR="006C424B">
        <w:rPr>
          <w:rFonts w:ascii="Times New Roman" w:hAnsi="Times New Roman" w:cs="Times New Roman"/>
          <w:sz w:val="28"/>
          <w:szCs w:val="28"/>
          <w:lang w:val="kk-KZ"/>
        </w:rPr>
        <w:t>,</w:t>
      </w:r>
      <w:r w:rsidRPr="000C1190">
        <w:rPr>
          <w:rFonts w:ascii="Times New Roman" w:hAnsi="Times New Roman" w:cs="Times New Roman"/>
          <w:sz w:val="28"/>
          <w:szCs w:val="28"/>
          <w:lang w:val="kk-KZ"/>
        </w:rPr>
        <w:t>05:</w:t>
      </w:r>
    </w:p>
    <w:p w14:paraId="71D48ADA" w14:textId="3817FADB" w:rsidR="000C1190" w:rsidRPr="000C1190" w:rsidRDefault="000C1190" w:rsidP="007F5E68">
      <w:pPr>
        <w:pStyle w:val="a3"/>
        <w:numPr>
          <w:ilvl w:val="0"/>
          <w:numId w:val="11"/>
        </w:numPr>
        <w:tabs>
          <w:tab w:val="left" w:pos="851"/>
        </w:tabs>
        <w:spacing w:after="0" w:line="240" w:lineRule="auto"/>
        <w:ind w:left="0"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lastRenderedPageBreak/>
        <w:t xml:space="preserve">Драйверы → </w:t>
      </w:r>
      <w:r w:rsidR="00191BC3" w:rsidRPr="00191BC3">
        <w:rPr>
          <w:rFonts w:ascii="Times New Roman" w:hAnsi="Times New Roman" w:cs="Times New Roman"/>
          <w:sz w:val="28"/>
          <w:szCs w:val="28"/>
          <w:lang w:val="kk-KZ"/>
        </w:rPr>
        <w:t>Индекс цифровой зрелости</w:t>
      </w:r>
      <w:r w:rsidRPr="000C1190">
        <w:rPr>
          <w:rFonts w:ascii="Times New Roman" w:hAnsi="Times New Roman" w:cs="Times New Roman"/>
          <w:sz w:val="28"/>
          <w:szCs w:val="28"/>
          <w:lang w:val="kk-KZ"/>
        </w:rPr>
        <w:t>: β = 1</w:t>
      </w:r>
      <w:r w:rsidR="006C424B">
        <w:rPr>
          <w:rFonts w:ascii="Times New Roman" w:hAnsi="Times New Roman" w:cs="Times New Roman"/>
          <w:sz w:val="28"/>
          <w:szCs w:val="28"/>
          <w:lang w:val="kk-KZ"/>
        </w:rPr>
        <w:t>,</w:t>
      </w:r>
      <w:r w:rsidRPr="000C1190">
        <w:rPr>
          <w:rFonts w:ascii="Times New Roman" w:hAnsi="Times New Roman" w:cs="Times New Roman"/>
          <w:sz w:val="28"/>
          <w:szCs w:val="28"/>
          <w:lang w:val="kk-KZ"/>
        </w:rPr>
        <w:t>114, p = 0</w:t>
      </w:r>
      <w:r w:rsidR="006C424B">
        <w:rPr>
          <w:rFonts w:ascii="Times New Roman" w:hAnsi="Times New Roman" w:cs="Times New Roman"/>
          <w:sz w:val="28"/>
          <w:szCs w:val="28"/>
          <w:lang w:val="kk-KZ"/>
        </w:rPr>
        <w:t>,</w:t>
      </w:r>
      <w:r w:rsidRPr="000C1190">
        <w:rPr>
          <w:rFonts w:ascii="Times New Roman" w:hAnsi="Times New Roman" w:cs="Times New Roman"/>
          <w:sz w:val="28"/>
          <w:szCs w:val="28"/>
          <w:lang w:val="kk-KZ"/>
        </w:rPr>
        <w:t>001</w:t>
      </w:r>
    </w:p>
    <w:p w14:paraId="01DFC41C" w14:textId="361C8EDF" w:rsidR="000C1190" w:rsidRPr="000C1190" w:rsidRDefault="00191BC3" w:rsidP="007F5E68">
      <w:pPr>
        <w:pStyle w:val="a3"/>
        <w:numPr>
          <w:ilvl w:val="0"/>
          <w:numId w:val="11"/>
        </w:numPr>
        <w:tabs>
          <w:tab w:val="left" w:pos="851"/>
        </w:tabs>
        <w:spacing w:after="0" w:line="240" w:lineRule="auto"/>
        <w:ind w:left="0" w:firstLine="567"/>
        <w:jc w:val="both"/>
        <w:rPr>
          <w:rFonts w:ascii="Times New Roman" w:hAnsi="Times New Roman" w:cs="Times New Roman"/>
          <w:sz w:val="28"/>
          <w:szCs w:val="28"/>
          <w:lang w:val="kk-KZ"/>
        </w:rPr>
      </w:pPr>
      <w:r w:rsidRPr="00191BC3">
        <w:rPr>
          <w:rFonts w:ascii="Times New Roman" w:hAnsi="Times New Roman" w:cs="Times New Roman"/>
          <w:sz w:val="28"/>
          <w:szCs w:val="28"/>
          <w:lang w:val="kk-KZ"/>
        </w:rPr>
        <w:t>Индекс цифровой зрелости</w:t>
      </w:r>
      <w:r>
        <w:rPr>
          <w:rFonts w:ascii="Times New Roman" w:hAnsi="Times New Roman" w:cs="Times New Roman"/>
          <w:sz w:val="28"/>
          <w:szCs w:val="28"/>
          <w:lang w:val="kk-KZ"/>
        </w:rPr>
        <w:t xml:space="preserve"> </w:t>
      </w:r>
      <w:r w:rsidR="000C1190" w:rsidRPr="000C1190">
        <w:rPr>
          <w:rFonts w:ascii="Times New Roman" w:hAnsi="Times New Roman" w:cs="Times New Roman"/>
          <w:sz w:val="28"/>
          <w:szCs w:val="28"/>
          <w:lang w:val="kk-KZ"/>
        </w:rPr>
        <w:t>→ Инновационный потенциал: β = 0</w:t>
      </w:r>
      <w:r w:rsidR="006C424B">
        <w:rPr>
          <w:rFonts w:ascii="Times New Roman" w:hAnsi="Times New Roman" w:cs="Times New Roman"/>
          <w:sz w:val="28"/>
          <w:szCs w:val="28"/>
          <w:lang w:val="kk-KZ"/>
        </w:rPr>
        <w:t>,</w:t>
      </w:r>
      <w:r w:rsidR="000C1190" w:rsidRPr="000C1190">
        <w:rPr>
          <w:rFonts w:ascii="Times New Roman" w:hAnsi="Times New Roman" w:cs="Times New Roman"/>
          <w:sz w:val="28"/>
          <w:szCs w:val="28"/>
          <w:lang w:val="kk-KZ"/>
        </w:rPr>
        <w:t>193, p = 0</w:t>
      </w:r>
      <w:r w:rsidR="006C424B">
        <w:rPr>
          <w:rFonts w:ascii="Times New Roman" w:hAnsi="Times New Roman" w:cs="Times New Roman"/>
          <w:sz w:val="28"/>
          <w:szCs w:val="28"/>
          <w:lang w:val="kk-KZ"/>
        </w:rPr>
        <w:t>,</w:t>
      </w:r>
      <w:r w:rsidR="000C1190" w:rsidRPr="000C1190">
        <w:rPr>
          <w:rFonts w:ascii="Times New Roman" w:hAnsi="Times New Roman" w:cs="Times New Roman"/>
          <w:sz w:val="28"/>
          <w:szCs w:val="28"/>
          <w:lang w:val="kk-KZ"/>
        </w:rPr>
        <w:t>037</w:t>
      </w:r>
    </w:p>
    <w:p w14:paraId="007323D8" w14:textId="253384E3" w:rsidR="000C1190" w:rsidRPr="000C1190" w:rsidRDefault="000C1190" w:rsidP="007F5E68">
      <w:pPr>
        <w:pStyle w:val="a3"/>
        <w:numPr>
          <w:ilvl w:val="0"/>
          <w:numId w:val="11"/>
        </w:numPr>
        <w:tabs>
          <w:tab w:val="left" w:pos="851"/>
        </w:tabs>
        <w:spacing w:after="0" w:line="240" w:lineRule="auto"/>
        <w:ind w:left="0"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Драйверы → Инновационный потенциал: β = 1</w:t>
      </w:r>
      <w:r w:rsidR="006C424B">
        <w:rPr>
          <w:rFonts w:ascii="Times New Roman" w:hAnsi="Times New Roman" w:cs="Times New Roman"/>
          <w:sz w:val="28"/>
          <w:szCs w:val="28"/>
          <w:lang w:val="kk-KZ"/>
        </w:rPr>
        <w:t>,</w:t>
      </w:r>
      <w:r w:rsidRPr="000C1190">
        <w:rPr>
          <w:rFonts w:ascii="Times New Roman" w:hAnsi="Times New Roman" w:cs="Times New Roman"/>
          <w:sz w:val="28"/>
          <w:szCs w:val="28"/>
          <w:lang w:val="kk-KZ"/>
        </w:rPr>
        <w:t>295, p = 0</w:t>
      </w:r>
      <w:r w:rsidR="006C424B">
        <w:rPr>
          <w:rFonts w:ascii="Times New Roman" w:hAnsi="Times New Roman" w:cs="Times New Roman"/>
          <w:sz w:val="28"/>
          <w:szCs w:val="28"/>
          <w:lang w:val="kk-KZ"/>
        </w:rPr>
        <w:t>,</w:t>
      </w:r>
      <w:r w:rsidRPr="000C1190">
        <w:rPr>
          <w:rFonts w:ascii="Times New Roman" w:hAnsi="Times New Roman" w:cs="Times New Roman"/>
          <w:sz w:val="28"/>
          <w:szCs w:val="28"/>
          <w:lang w:val="kk-KZ"/>
        </w:rPr>
        <w:t>002</w:t>
      </w:r>
    </w:p>
    <w:p w14:paraId="5C32B564" w14:textId="73DC38A5"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Кроме того, было рассчитано косвенное влияние драйверов на инновационный потенциал через </w:t>
      </w:r>
      <w:r w:rsidR="006C424B">
        <w:rPr>
          <w:rFonts w:ascii="Times New Roman" w:hAnsi="Times New Roman" w:cs="Times New Roman"/>
          <w:sz w:val="28"/>
          <w:szCs w:val="28"/>
          <w:lang w:val="kk-KZ"/>
        </w:rPr>
        <w:t>индекс цифровой зрелости</w:t>
      </w:r>
      <w:r w:rsidRPr="000C1190">
        <w:rPr>
          <w:rFonts w:ascii="Times New Roman" w:hAnsi="Times New Roman" w:cs="Times New Roman"/>
          <w:sz w:val="28"/>
          <w:szCs w:val="28"/>
          <w:lang w:val="kk-KZ"/>
        </w:rPr>
        <w:t>, которое составило β = 0</w:t>
      </w:r>
      <w:r w:rsidR="006C424B">
        <w:rPr>
          <w:rFonts w:ascii="Times New Roman" w:hAnsi="Times New Roman" w:cs="Times New Roman"/>
          <w:sz w:val="28"/>
          <w:szCs w:val="28"/>
          <w:lang w:val="kk-KZ"/>
        </w:rPr>
        <w:t>,</w:t>
      </w:r>
      <w:r w:rsidRPr="000C1190">
        <w:rPr>
          <w:rFonts w:ascii="Times New Roman" w:hAnsi="Times New Roman" w:cs="Times New Roman"/>
          <w:sz w:val="28"/>
          <w:szCs w:val="28"/>
          <w:lang w:val="kk-KZ"/>
        </w:rPr>
        <w:t>215 (1</w:t>
      </w:r>
      <w:r w:rsidR="006C424B">
        <w:rPr>
          <w:rFonts w:ascii="Times New Roman" w:hAnsi="Times New Roman" w:cs="Times New Roman"/>
          <w:sz w:val="28"/>
          <w:szCs w:val="28"/>
          <w:lang w:val="kk-KZ"/>
        </w:rPr>
        <w:t>,</w:t>
      </w:r>
      <w:r w:rsidRPr="000C1190">
        <w:rPr>
          <w:rFonts w:ascii="Times New Roman" w:hAnsi="Times New Roman" w:cs="Times New Roman"/>
          <w:sz w:val="28"/>
          <w:szCs w:val="28"/>
          <w:lang w:val="kk-KZ"/>
        </w:rPr>
        <w:t>114 × 0</w:t>
      </w:r>
      <w:r w:rsidR="006C424B">
        <w:rPr>
          <w:rFonts w:ascii="Times New Roman" w:hAnsi="Times New Roman" w:cs="Times New Roman"/>
          <w:sz w:val="28"/>
          <w:szCs w:val="28"/>
          <w:lang w:val="kk-KZ"/>
        </w:rPr>
        <w:t>,</w:t>
      </w:r>
      <w:r w:rsidRPr="000C1190">
        <w:rPr>
          <w:rFonts w:ascii="Times New Roman" w:hAnsi="Times New Roman" w:cs="Times New Roman"/>
          <w:sz w:val="28"/>
          <w:szCs w:val="28"/>
          <w:lang w:val="kk-KZ"/>
        </w:rPr>
        <w:t>193). Таким образом, можно утверждать, что цифров</w:t>
      </w:r>
      <w:r w:rsidR="006C424B">
        <w:rPr>
          <w:rFonts w:ascii="Times New Roman" w:hAnsi="Times New Roman" w:cs="Times New Roman"/>
          <w:sz w:val="28"/>
          <w:szCs w:val="28"/>
          <w:lang w:val="kk-KZ"/>
        </w:rPr>
        <w:t>ая адаптация</w:t>
      </w:r>
      <w:r w:rsidRPr="000C1190">
        <w:rPr>
          <w:rFonts w:ascii="Times New Roman" w:hAnsi="Times New Roman" w:cs="Times New Roman"/>
          <w:sz w:val="28"/>
          <w:szCs w:val="28"/>
          <w:lang w:val="kk-KZ"/>
        </w:rPr>
        <w:t xml:space="preserve"> выступает значимым медиатором, усиливая эффект драйверов.</w:t>
      </w:r>
    </w:p>
    <w:p w14:paraId="20659657" w14:textId="53C7ACA0"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Это указывает на двойной характер воздействия: управленческие, кадровые и технологические практики не только напрямую способствуют инновационному развитию, но и опосредованно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через повышение цифровой зрелости предприятия.</w:t>
      </w:r>
    </w:p>
    <w:p w14:paraId="7445463E"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Учитывая неоднородность предпринимательских структур по масштабам деятельности, в рамках структурного моделирования была проведена дополнительная проверка модели на трёх подвыборках, сформированных по размерности предприятий: крупные, средние и малые. Целью анализа являлось выявление различий в интенсивности и значимости влияний между укрупнёнными блоками драйверов, цифровизации и инновационного потенциала.</w:t>
      </w:r>
    </w:p>
    <w:p w14:paraId="20A4B309" w14:textId="6FEA64AB"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Результаты многогруппового анализа подтвердили общую устойчивость структуры модели во всех трёх группах. Однако сила взаимосвязей между латентными переменными варьируется в зависимости от размера предприятия</w:t>
      </w:r>
      <w:r w:rsidR="006C424B">
        <w:rPr>
          <w:rFonts w:ascii="Times New Roman" w:hAnsi="Times New Roman" w:cs="Times New Roman"/>
          <w:sz w:val="28"/>
          <w:szCs w:val="28"/>
          <w:lang w:val="kk-KZ"/>
        </w:rPr>
        <w:t xml:space="preserve"> (таблица </w:t>
      </w:r>
      <w:r w:rsidR="004558B1">
        <w:rPr>
          <w:rFonts w:ascii="Times New Roman" w:hAnsi="Times New Roman" w:cs="Times New Roman"/>
          <w:sz w:val="28"/>
          <w:szCs w:val="28"/>
          <w:lang w:val="kk-KZ"/>
        </w:rPr>
        <w:t>28</w:t>
      </w:r>
      <w:r w:rsidR="006C424B">
        <w:rPr>
          <w:rFonts w:ascii="Times New Roman" w:hAnsi="Times New Roman" w:cs="Times New Roman"/>
          <w:sz w:val="28"/>
          <w:szCs w:val="28"/>
          <w:lang w:val="kk-KZ"/>
        </w:rPr>
        <w:t>)</w:t>
      </w:r>
      <w:r w:rsidRPr="000C1190">
        <w:rPr>
          <w:rFonts w:ascii="Times New Roman" w:hAnsi="Times New Roman" w:cs="Times New Roman"/>
          <w:sz w:val="28"/>
          <w:szCs w:val="28"/>
          <w:lang w:val="kk-KZ"/>
        </w:rPr>
        <w:t>.</w:t>
      </w:r>
    </w:p>
    <w:p w14:paraId="69751325" w14:textId="77777777" w:rsidR="000C1190" w:rsidRPr="000C1190" w:rsidRDefault="000C1190" w:rsidP="002F33D0">
      <w:pPr>
        <w:tabs>
          <w:tab w:val="left" w:pos="851"/>
        </w:tabs>
        <w:spacing w:after="0" w:line="240" w:lineRule="auto"/>
        <w:ind w:firstLine="567"/>
        <w:jc w:val="both"/>
        <w:rPr>
          <w:rFonts w:ascii="Times New Roman" w:hAnsi="Times New Roman" w:cs="Times New Roman"/>
          <w:sz w:val="28"/>
          <w:szCs w:val="28"/>
          <w:lang w:val="kk-KZ"/>
        </w:rPr>
      </w:pPr>
    </w:p>
    <w:p w14:paraId="4B6C5918" w14:textId="35EE2EDE" w:rsidR="000C1190" w:rsidRDefault="006C424B" w:rsidP="002F33D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Таблица </w:t>
      </w:r>
      <w:r w:rsidR="004558B1">
        <w:rPr>
          <w:rFonts w:ascii="Times New Roman" w:hAnsi="Times New Roman" w:cs="Times New Roman"/>
          <w:sz w:val="28"/>
          <w:szCs w:val="28"/>
          <w:lang w:val="kk-KZ"/>
        </w:rPr>
        <w:t>28</w:t>
      </w:r>
      <w:r>
        <w:rPr>
          <w:rFonts w:ascii="Times New Roman" w:hAnsi="Times New Roman" w:cs="Times New Roman"/>
          <w:sz w:val="28"/>
          <w:szCs w:val="28"/>
          <w:lang w:val="kk-KZ"/>
        </w:rPr>
        <w:t xml:space="preserve"> – </w:t>
      </w:r>
      <w:r w:rsidR="000C1190" w:rsidRPr="000C1190">
        <w:rPr>
          <w:rFonts w:ascii="Times New Roman" w:hAnsi="Times New Roman" w:cs="Times New Roman"/>
          <w:sz w:val="28"/>
          <w:szCs w:val="28"/>
          <w:lang w:val="kk-KZ"/>
        </w:rPr>
        <w:t>Сравнение результатов SEM по размерности предприятий</w:t>
      </w:r>
    </w:p>
    <w:p w14:paraId="4A6E7186" w14:textId="77777777" w:rsidR="006C424B" w:rsidRPr="004558B1" w:rsidRDefault="006C424B" w:rsidP="002F33D0">
      <w:pPr>
        <w:tabs>
          <w:tab w:val="left" w:pos="851"/>
        </w:tabs>
        <w:spacing w:after="0" w:line="240" w:lineRule="auto"/>
        <w:jc w:val="both"/>
        <w:rPr>
          <w:rFonts w:ascii="Times New Roman" w:hAnsi="Times New Roman" w:cs="Times New Roman"/>
          <w:sz w:val="20"/>
          <w:szCs w:val="20"/>
          <w:lang w:val="kk-KZ"/>
        </w:rPr>
      </w:pPr>
    </w:p>
    <w:tbl>
      <w:tblPr>
        <w:tblStyle w:val="a5"/>
        <w:tblW w:w="0" w:type="auto"/>
        <w:tblLook w:val="04A0" w:firstRow="1" w:lastRow="0" w:firstColumn="1" w:lastColumn="0" w:noHBand="0" w:noVBand="1"/>
      </w:tblPr>
      <w:tblGrid>
        <w:gridCol w:w="4815"/>
        <w:gridCol w:w="1559"/>
        <w:gridCol w:w="1560"/>
        <w:gridCol w:w="1384"/>
        <w:gridCol w:w="20"/>
      </w:tblGrid>
      <w:tr w:rsidR="000C1190" w:rsidRPr="006C424B" w14:paraId="35E50489" w14:textId="77777777" w:rsidTr="004558B1">
        <w:trPr>
          <w:gridAfter w:val="1"/>
          <w:wAfter w:w="20" w:type="dxa"/>
        </w:trPr>
        <w:tc>
          <w:tcPr>
            <w:tcW w:w="4815" w:type="dxa"/>
            <w:hideMark/>
          </w:tcPr>
          <w:p w14:paraId="16A2C1B7" w14:textId="77777777" w:rsidR="000C1190" w:rsidRPr="006C424B" w:rsidRDefault="000C1190" w:rsidP="002F33D0">
            <w:pPr>
              <w:ind w:firstLine="0"/>
              <w:jc w:val="center"/>
              <w:rPr>
                <w:rFonts w:eastAsia="Times New Roman"/>
                <w:bCs/>
                <w:szCs w:val="24"/>
                <w:lang w:eastAsia="ru-RU"/>
              </w:rPr>
            </w:pPr>
            <w:r w:rsidRPr="006C424B">
              <w:rPr>
                <w:rFonts w:eastAsia="Times New Roman"/>
                <w:bCs/>
                <w:szCs w:val="24"/>
                <w:lang w:eastAsia="ru-RU"/>
              </w:rPr>
              <w:t>Путь влияния</w:t>
            </w:r>
          </w:p>
        </w:tc>
        <w:tc>
          <w:tcPr>
            <w:tcW w:w="1559" w:type="dxa"/>
            <w:hideMark/>
          </w:tcPr>
          <w:p w14:paraId="7CEE54B5" w14:textId="77777777" w:rsidR="000C1190" w:rsidRPr="006C424B" w:rsidRDefault="000C1190" w:rsidP="002F33D0">
            <w:pPr>
              <w:ind w:firstLine="0"/>
              <w:jc w:val="center"/>
              <w:rPr>
                <w:rFonts w:eastAsia="Times New Roman"/>
                <w:bCs/>
                <w:szCs w:val="24"/>
                <w:lang w:eastAsia="ru-RU"/>
              </w:rPr>
            </w:pPr>
            <w:r w:rsidRPr="006C424B">
              <w:rPr>
                <w:rFonts w:eastAsia="Times New Roman"/>
                <w:bCs/>
                <w:szCs w:val="24"/>
                <w:lang w:eastAsia="ru-RU"/>
              </w:rPr>
              <w:t>Крупные (1)</w:t>
            </w:r>
          </w:p>
        </w:tc>
        <w:tc>
          <w:tcPr>
            <w:tcW w:w="1560" w:type="dxa"/>
            <w:hideMark/>
          </w:tcPr>
          <w:p w14:paraId="5E348BAE" w14:textId="77777777" w:rsidR="000C1190" w:rsidRPr="006C424B" w:rsidRDefault="000C1190" w:rsidP="002F33D0">
            <w:pPr>
              <w:ind w:firstLine="0"/>
              <w:jc w:val="center"/>
              <w:rPr>
                <w:rFonts w:eastAsia="Times New Roman"/>
                <w:bCs/>
                <w:szCs w:val="24"/>
                <w:lang w:eastAsia="ru-RU"/>
              </w:rPr>
            </w:pPr>
            <w:r w:rsidRPr="006C424B">
              <w:rPr>
                <w:rFonts w:eastAsia="Times New Roman"/>
                <w:bCs/>
                <w:szCs w:val="24"/>
                <w:lang w:eastAsia="ru-RU"/>
              </w:rPr>
              <w:t>Средние (2)</w:t>
            </w:r>
          </w:p>
        </w:tc>
        <w:tc>
          <w:tcPr>
            <w:tcW w:w="0" w:type="auto"/>
            <w:hideMark/>
          </w:tcPr>
          <w:p w14:paraId="20DF69A8" w14:textId="77777777" w:rsidR="000C1190" w:rsidRPr="006C424B" w:rsidRDefault="000C1190" w:rsidP="002F33D0">
            <w:pPr>
              <w:ind w:firstLine="0"/>
              <w:jc w:val="center"/>
              <w:rPr>
                <w:rFonts w:eastAsia="Times New Roman"/>
                <w:bCs/>
                <w:szCs w:val="24"/>
                <w:lang w:eastAsia="ru-RU"/>
              </w:rPr>
            </w:pPr>
            <w:r w:rsidRPr="006C424B">
              <w:rPr>
                <w:rFonts w:eastAsia="Times New Roman"/>
                <w:bCs/>
                <w:szCs w:val="24"/>
                <w:lang w:eastAsia="ru-RU"/>
              </w:rPr>
              <w:t>Малые (3)</w:t>
            </w:r>
          </w:p>
        </w:tc>
      </w:tr>
      <w:tr w:rsidR="000C1190" w:rsidRPr="006C424B" w14:paraId="05982094" w14:textId="77777777" w:rsidTr="004558B1">
        <w:trPr>
          <w:gridAfter w:val="1"/>
          <w:wAfter w:w="20" w:type="dxa"/>
        </w:trPr>
        <w:tc>
          <w:tcPr>
            <w:tcW w:w="4815" w:type="dxa"/>
            <w:hideMark/>
          </w:tcPr>
          <w:p w14:paraId="2DEBBF95" w14:textId="4741C065" w:rsidR="000C1190" w:rsidRPr="00191BC3" w:rsidRDefault="000C1190" w:rsidP="002F33D0">
            <w:pPr>
              <w:ind w:firstLine="0"/>
              <w:jc w:val="both"/>
              <w:rPr>
                <w:rFonts w:eastAsia="Times New Roman"/>
                <w:szCs w:val="24"/>
                <w:lang w:val="kk-KZ" w:eastAsia="ru-RU"/>
              </w:rPr>
            </w:pPr>
            <w:r w:rsidRPr="006C424B">
              <w:rPr>
                <w:rFonts w:eastAsia="Times New Roman"/>
                <w:bCs/>
                <w:szCs w:val="24"/>
                <w:lang w:eastAsia="ru-RU"/>
              </w:rPr>
              <w:t xml:space="preserve">Драйверы → </w:t>
            </w:r>
            <w:r w:rsidR="00191BC3">
              <w:rPr>
                <w:rFonts w:eastAsia="Times New Roman"/>
                <w:bCs/>
                <w:szCs w:val="24"/>
                <w:lang w:val="kk-KZ" w:eastAsia="ru-RU"/>
              </w:rPr>
              <w:t>Индекс цифровой зрелости</w:t>
            </w:r>
          </w:p>
        </w:tc>
        <w:tc>
          <w:tcPr>
            <w:tcW w:w="1559" w:type="dxa"/>
            <w:hideMark/>
          </w:tcPr>
          <w:p w14:paraId="49D1F389" w14:textId="77777777" w:rsidR="006C424B" w:rsidRDefault="000C1190" w:rsidP="002F33D0">
            <w:pPr>
              <w:ind w:firstLine="0"/>
              <w:jc w:val="both"/>
              <w:rPr>
                <w:rFonts w:eastAsia="Times New Roman"/>
                <w:szCs w:val="24"/>
                <w:lang w:eastAsia="ru-RU"/>
              </w:rPr>
            </w:pPr>
            <w:r w:rsidRPr="006C424B">
              <w:rPr>
                <w:rFonts w:eastAsia="Times New Roman"/>
                <w:szCs w:val="24"/>
                <w:lang w:eastAsia="ru-RU"/>
              </w:rPr>
              <w:t>β = 0</w:t>
            </w:r>
            <w:r w:rsidR="006C424B">
              <w:rPr>
                <w:rFonts w:eastAsia="Times New Roman"/>
                <w:szCs w:val="24"/>
                <w:lang w:val="kk-KZ" w:eastAsia="ru-RU"/>
              </w:rPr>
              <w:t>,</w:t>
            </w:r>
            <w:r w:rsidRPr="006C424B">
              <w:rPr>
                <w:rFonts w:eastAsia="Times New Roman"/>
                <w:szCs w:val="24"/>
                <w:lang w:eastAsia="ru-RU"/>
              </w:rPr>
              <w:t xml:space="preserve">899, </w:t>
            </w:r>
          </w:p>
          <w:p w14:paraId="4821795E" w14:textId="1B51DE22" w:rsidR="000C1190" w:rsidRPr="006C424B" w:rsidRDefault="000C1190" w:rsidP="002F33D0">
            <w:pPr>
              <w:ind w:firstLine="0"/>
              <w:jc w:val="both"/>
              <w:rPr>
                <w:rFonts w:eastAsia="Times New Roman"/>
                <w:szCs w:val="24"/>
                <w:lang w:eastAsia="ru-RU"/>
              </w:rPr>
            </w:pPr>
            <w:r w:rsidRPr="006C424B">
              <w:rPr>
                <w:rFonts w:eastAsia="Times New Roman"/>
                <w:szCs w:val="24"/>
                <w:lang w:eastAsia="ru-RU"/>
              </w:rPr>
              <w:t>p = 0</w:t>
            </w:r>
            <w:r w:rsidR="006C424B">
              <w:rPr>
                <w:rFonts w:eastAsia="Times New Roman"/>
                <w:szCs w:val="24"/>
                <w:lang w:val="kk-KZ" w:eastAsia="ru-RU"/>
              </w:rPr>
              <w:t>,</w:t>
            </w:r>
            <w:r w:rsidRPr="006C424B">
              <w:rPr>
                <w:rFonts w:eastAsia="Times New Roman"/>
                <w:szCs w:val="24"/>
                <w:lang w:eastAsia="ru-RU"/>
              </w:rPr>
              <w:t xml:space="preserve">038 </w:t>
            </w:r>
            <w:r w:rsidRPr="006C424B">
              <w:rPr>
                <w:rFonts w:ascii="Segoe UI Symbol" w:eastAsia="Times New Roman" w:hAnsi="Segoe UI Symbol" w:cs="Segoe UI Symbol"/>
                <w:bCs/>
                <w:szCs w:val="24"/>
                <w:lang w:eastAsia="ru-RU"/>
              </w:rPr>
              <w:t>✔</w:t>
            </w:r>
          </w:p>
        </w:tc>
        <w:tc>
          <w:tcPr>
            <w:tcW w:w="1560" w:type="dxa"/>
            <w:hideMark/>
          </w:tcPr>
          <w:p w14:paraId="0834DCB8" w14:textId="77777777" w:rsidR="006C424B" w:rsidRDefault="000C1190" w:rsidP="002F33D0">
            <w:pPr>
              <w:ind w:firstLine="0"/>
              <w:jc w:val="both"/>
              <w:rPr>
                <w:rFonts w:eastAsia="Times New Roman"/>
                <w:szCs w:val="24"/>
                <w:lang w:eastAsia="ru-RU"/>
              </w:rPr>
            </w:pPr>
            <w:r w:rsidRPr="006C424B">
              <w:rPr>
                <w:rFonts w:eastAsia="Times New Roman"/>
                <w:szCs w:val="24"/>
                <w:lang w:eastAsia="ru-RU"/>
              </w:rPr>
              <w:t>β = 1</w:t>
            </w:r>
            <w:r w:rsidR="006C424B">
              <w:rPr>
                <w:rFonts w:eastAsia="Times New Roman"/>
                <w:szCs w:val="24"/>
                <w:lang w:val="kk-KZ" w:eastAsia="ru-RU"/>
              </w:rPr>
              <w:t>,</w:t>
            </w:r>
            <w:r w:rsidRPr="006C424B">
              <w:rPr>
                <w:rFonts w:eastAsia="Times New Roman"/>
                <w:szCs w:val="24"/>
                <w:lang w:eastAsia="ru-RU"/>
              </w:rPr>
              <w:t xml:space="preserve">137, </w:t>
            </w:r>
          </w:p>
          <w:p w14:paraId="4739D481" w14:textId="160E9B0D" w:rsidR="000C1190" w:rsidRPr="006C424B" w:rsidRDefault="000C1190" w:rsidP="002F33D0">
            <w:pPr>
              <w:ind w:firstLine="0"/>
              <w:jc w:val="both"/>
              <w:rPr>
                <w:rFonts w:eastAsia="Times New Roman"/>
                <w:szCs w:val="24"/>
                <w:lang w:eastAsia="ru-RU"/>
              </w:rPr>
            </w:pPr>
            <w:r w:rsidRPr="006C424B">
              <w:rPr>
                <w:rFonts w:eastAsia="Times New Roman"/>
                <w:szCs w:val="24"/>
                <w:lang w:eastAsia="ru-RU"/>
              </w:rPr>
              <w:t>p = 0</w:t>
            </w:r>
            <w:r w:rsidR="006C424B">
              <w:rPr>
                <w:rFonts w:eastAsia="Times New Roman"/>
                <w:szCs w:val="24"/>
                <w:lang w:val="kk-KZ" w:eastAsia="ru-RU"/>
              </w:rPr>
              <w:t>,</w:t>
            </w:r>
            <w:r w:rsidRPr="006C424B">
              <w:rPr>
                <w:rFonts w:eastAsia="Times New Roman"/>
                <w:szCs w:val="24"/>
                <w:lang w:eastAsia="ru-RU"/>
              </w:rPr>
              <w:t xml:space="preserve">002 </w:t>
            </w:r>
            <w:r w:rsidRPr="006C424B">
              <w:rPr>
                <w:rFonts w:ascii="Segoe UI Symbol" w:eastAsia="Times New Roman" w:hAnsi="Segoe UI Symbol" w:cs="Segoe UI Symbol"/>
                <w:bCs/>
                <w:szCs w:val="24"/>
                <w:lang w:eastAsia="ru-RU"/>
              </w:rPr>
              <w:t>✔</w:t>
            </w:r>
          </w:p>
        </w:tc>
        <w:tc>
          <w:tcPr>
            <w:tcW w:w="0" w:type="auto"/>
            <w:hideMark/>
          </w:tcPr>
          <w:p w14:paraId="76033713" w14:textId="77777777" w:rsidR="006C424B" w:rsidRDefault="000C1190" w:rsidP="002F33D0">
            <w:pPr>
              <w:ind w:firstLine="0"/>
              <w:jc w:val="both"/>
              <w:rPr>
                <w:rFonts w:eastAsia="Times New Roman"/>
                <w:szCs w:val="24"/>
                <w:lang w:eastAsia="ru-RU"/>
              </w:rPr>
            </w:pPr>
            <w:r w:rsidRPr="006C424B">
              <w:rPr>
                <w:rFonts w:eastAsia="Times New Roman"/>
                <w:szCs w:val="24"/>
                <w:lang w:eastAsia="ru-RU"/>
              </w:rPr>
              <w:t>β = 1</w:t>
            </w:r>
            <w:r w:rsidR="006C424B">
              <w:rPr>
                <w:rFonts w:eastAsia="Times New Roman"/>
                <w:szCs w:val="24"/>
                <w:lang w:val="kk-KZ" w:eastAsia="ru-RU"/>
              </w:rPr>
              <w:t>,</w:t>
            </w:r>
            <w:r w:rsidRPr="006C424B">
              <w:rPr>
                <w:rFonts w:eastAsia="Times New Roman"/>
                <w:szCs w:val="24"/>
                <w:lang w:eastAsia="ru-RU"/>
              </w:rPr>
              <w:t xml:space="preserve">173, </w:t>
            </w:r>
          </w:p>
          <w:p w14:paraId="109A2C09" w14:textId="0FA380B6" w:rsidR="000C1190" w:rsidRPr="006C424B" w:rsidRDefault="000C1190" w:rsidP="002F33D0">
            <w:pPr>
              <w:ind w:firstLine="0"/>
              <w:jc w:val="both"/>
              <w:rPr>
                <w:rFonts w:eastAsia="Times New Roman"/>
                <w:szCs w:val="24"/>
                <w:lang w:eastAsia="ru-RU"/>
              </w:rPr>
            </w:pPr>
            <w:r w:rsidRPr="006C424B">
              <w:rPr>
                <w:rFonts w:eastAsia="Times New Roman"/>
                <w:szCs w:val="24"/>
                <w:lang w:eastAsia="ru-RU"/>
              </w:rPr>
              <w:t>p = 0</w:t>
            </w:r>
            <w:r w:rsidR="006C424B">
              <w:rPr>
                <w:rFonts w:eastAsia="Times New Roman"/>
                <w:szCs w:val="24"/>
                <w:lang w:val="kk-KZ" w:eastAsia="ru-RU"/>
              </w:rPr>
              <w:t>,</w:t>
            </w:r>
            <w:r w:rsidRPr="006C424B">
              <w:rPr>
                <w:rFonts w:eastAsia="Times New Roman"/>
                <w:szCs w:val="24"/>
                <w:lang w:eastAsia="ru-RU"/>
              </w:rPr>
              <w:t xml:space="preserve">000 </w:t>
            </w:r>
            <w:r w:rsidRPr="006C424B">
              <w:rPr>
                <w:rFonts w:ascii="Segoe UI Symbol" w:eastAsia="Times New Roman" w:hAnsi="Segoe UI Symbol" w:cs="Segoe UI Symbol"/>
                <w:bCs/>
                <w:szCs w:val="24"/>
                <w:lang w:eastAsia="ru-RU"/>
              </w:rPr>
              <w:t>✔</w:t>
            </w:r>
          </w:p>
        </w:tc>
      </w:tr>
      <w:tr w:rsidR="000C1190" w:rsidRPr="006C424B" w14:paraId="11616E28" w14:textId="77777777" w:rsidTr="004558B1">
        <w:trPr>
          <w:gridAfter w:val="1"/>
          <w:wAfter w:w="20" w:type="dxa"/>
        </w:trPr>
        <w:tc>
          <w:tcPr>
            <w:tcW w:w="4815" w:type="dxa"/>
            <w:hideMark/>
          </w:tcPr>
          <w:p w14:paraId="38266FEF" w14:textId="36970A15" w:rsidR="000C1190" w:rsidRPr="006C424B" w:rsidRDefault="00191BC3" w:rsidP="002F33D0">
            <w:pPr>
              <w:ind w:firstLine="0"/>
              <w:jc w:val="both"/>
              <w:rPr>
                <w:rFonts w:eastAsia="Times New Roman"/>
                <w:szCs w:val="24"/>
                <w:lang w:eastAsia="ru-RU"/>
              </w:rPr>
            </w:pPr>
            <w:r>
              <w:rPr>
                <w:rFonts w:eastAsia="Times New Roman"/>
                <w:bCs/>
                <w:szCs w:val="24"/>
                <w:lang w:val="kk-KZ" w:eastAsia="ru-RU"/>
              </w:rPr>
              <w:t xml:space="preserve">Индекс цифровой зрелости </w:t>
            </w:r>
            <w:r w:rsidR="000C1190" w:rsidRPr="006C424B">
              <w:rPr>
                <w:rFonts w:eastAsia="Times New Roman"/>
                <w:bCs/>
                <w:szCs w:val="24"/>
                <w:lang w:eastAsia="ru-RU"/>
              </w:rPr>
              <w:t>→ Инновационный потенциал</w:t>
            </w:r>
          </w:p>
        </w:tc>
        <w:tc>
          <w:tcPr>
            <w:tcW w:w="1559" w:type="dxa"/>
            <w:hideMark/>
          </w:tcPr>
          <w:p w14:paraId="64BD2A3B" w14:textId="77777777" w:rsidR="006C424B" w:rsidRDefault="000C1190" w:rsidP="002F33D0">
            <w:pPr>
              <w:ind w:firstLine="0"/>
              <w:jc w:val="both"/>
              <w:rPr>
                <w:rFonts w:eastAsia="Times New Roman"/>
                <w:szCs w:val="24"/>
                <w:lang w:eastAsia="ru-RU"/>
              </w:rPr>
            </w:pPr>
            <w:r w:rsidRPr="006C424B">
              <w:rPr>
                <w:rFonts w:eastAsia="Times New Roman"/>
                <w:szCs w:val="24"/>
                <w:lang w:eastAsia="ru-RU"/>
              </w:rPr>
              <w:t>β = 0</w:t>
            </w:r>
            <w:r w:rsidR="006C424B">
              <w:rPr>
                <w:rFonts w:eastAsia="Times New Roman"/>
                <w:szCs w:val="24"/>
                <w:lang w:val="kk-KZ" w:eastAsia="ru-RU"/>
              </w:rPr>
              <w:t>,</w:t>
            </w:r>
            <w:r w:rsidRPr="006C424B">
              <w:rPr>
                <w:rFonts w:eastAsia="Times New Roman"/>
                <w:szCs w:val="24"/>
                <w:lang w:eastAsia="ru-RU"/>
              </w:rPr>
              <w:t xml:space="preserve">124, </w:t>
            </w:r>
          </w:p>
          <w:p w14:paraId="35A0F712" w14:textId="64F756B7" w:rsidR="000C1190" w:rsidRPr="006C424B" w:rsidRDefault="006C424B" w:rsidP="002F33D0">
            <w:pPr>
              <w:ind w:firstLine="0"/>
              <w:jc w:val="both"/>
              <w:rPr>
                <w:rFonts w:eastAsia="Times New Roman"/>
                <w:szCs w:val="24"/>
                <w:lang w:eastAsia="ru-RU"/>
              </w:rPr>
            </w:pPr>
            <w:r>
              <w:rPr>
                <w:rFonts w:eastAsia="Times New Roman"/>
                <w:szCs w:val="24"/>
                <w:lang w:eastAsia="ru-RU"/>
              </w:rPr>
              <w:t>p = 0</w:t>
            </w:r>
            <w:r>
              <w:rPr>
                <w:rFonts w:eastAsia="Times New Roman"/>
                <w:szCs w:val="24"/>
                <w:lang w:val="kk-KZ" w:eastAsia="ru-RU"/>
              </w:rPr>
              <w:t>,</w:t>
            </w:r>
            <w:r w:rsidR="000C1190" w:rsidRPr="006C424B">
              <w:rPr>
                <w:rFonts w:eastAsia="Times New Roman"/>
                <w:szCs w:val="24"/>
                <w:lang w:eastAsia="ru-RU"/>
              </w:rPr>
              <w:t xml:space="preserve">216 </w:t>
            </w:r>
            <w:r w:rsidR="000C1190" w:rsidRPr="006C424B">
              <w:rPr>
                <w:rFonts w:ascii="Segoe UI Symbol" w:eastAsia="Times New Roman" w:hAnsi="Segoe UI Symbol" w:cs="Segoe UI Symbol"/>
                <w:szCs w:val="24"/>
                <w:lang w:eastAsia="ru-RU"/>
              </w:rPr>
              <w:t>❌</w:t>
            </w:r>
          </w:p>
        </w:tc>
        <w:tc>
          <w:tcPr>
            <w:tcW w:w="1560" w:type="dxa"/>
            <w:hideMark/>
          </w:tcPr>
          <w:p w14:paraId="6B43AF20" w14:textId="77777777" w:rsidR="006C424B" w:rsidRDefault="000C1190" w:rsidP="002F33D0">
            <w:pPr>
              <w:ind w:firstLine="0"/>
              <w:jc w:val="both"/>
              <w:rPr>
                <w:rFonts w:eastAsia="Times New Roman"/>
                <w:szCs w:val="24"/>
                <w:lang w:eastAsia="ru-RU"/>
              </w:rPr>
            </w:pPr>
            <w:r w:rsidRPr="006C424B">
              <w:rPr>
                <w:rFonts w:eastAsia="Times New Roman"/>
                <w:szCs w:val="24"/>
                <w:lang w:eastAsia="ru-RU"/>
              </w:rPr>
              <w:t>β = 0</w:t>
            </w:r>
            <w:r w:rsidR="006C424B">
              <w:rPr>
                <w:rFonts w:eastAsia="Times New Roman"/>
                <w:szCs w:val="24"/>
                <w:lang w:val="kk-KZ" w:eastAsia="ru-RU"/>
              </w:rPr>
              <w:t>,</w:t>
            </w:r>
            <w:r w:rsidRPr="006C424B">
              <w:rPr>
                <w:rFonts w:eastAsia="Times New Roman"/>
                <w:szCs w:val="24"/>
                <w:lang w:eastAsia="ru-RU"/>
              </w:rPr>
              <w:t xml:space="preserve">233, </w:t>
            </w:r>
          </w:p>
          <w:p w14:paraId="7B333FCF" w14:textId="712D2079" w:rsidR="000C1190" w:rsidRPr="006C424B" w:rsidRDefault="000C1190" w:rsidP="002F33D0">
            <w:pPr>
              <w:ind w:firstLine="0"/>
              <w:jc w:val="both"/>
              <w:rPr>
                <w:rFonts w:eastAsia="Times New Roman"/>
                <w:szCs w:val="24"/>
                <w:lang w:eastAsia="ru-RU"/>
              </w:rPr>
            </w:pPr>
            <w:r w:rsidRPr="006C424B">
              <w:rPr>
                <w:rFonts w:eastAsia="Times New Roman"/>
                <w:szCs w:val="24"/>
                <w:lang w:eastAsia="ru-RU"/>
              </w:rPr>
              <w:t xml:space="preserve">p = 0.053 </w:t>
            </w:r>
            <w:r w:rsidRPr="006C424B">
              <w:rPr>
                <w:rFonts w:ascii="Segoe UI Symbol" w:eastAsia="Times New Roman" w:hAnsi="Segoe UI Symbol" w:cs="Segoe UI Symbol"/>
                <w:szCs w:val="24"/>
                <w:lang w:eastAsia="ru-RU"/>
              </w:rPr>
              <w:t>❌</w:t>
            </w:r>
          </w:p>
        </w:tc>
        <w:tc>
          <w:tcPr>
            <w:tcW w:w="0" w:type="auto"/>
            <w:hideMark/>
          </w:tcPr>
          <w:p w14:paraId="1128D61D" w14:textId="77777777" w:rsidR="006C424B" w:rsidRDefault="000C1190" w:rsidP="002F33D0">
            <w:pPr>
              <w:ind w:firstLine="0"/>
              <w:jc w:val="both"/>
              <w:rPr>
                <w:rFonts w:eastAsia="Times New Roman"/>
                <w:szCs w:val="24"/>
                <w:lang w:eastAsia="ru-RU"/>
              </w:rPr>
            </w:pPr>
            <w:r w:rsidRPr="006C424B">
              <w:rPr>
                <w:rFonts w:eastAsia="Times New Roman"/>
                <w:szCs w:val="24"/>
                <w:lang w:eastAsia="ru-RU"/>
              </w:rPr>
              <w:t>β = 0</w:t>
            </w:r>
            <w:r w:rsidR="006C424B">
              <w:rPr>
                <w:rFonts w:eastAsia="Times New Roman"/>
                <w:szCs w:val="24"/>
                <w:lang w:val="kk-KZ" w:eastAsia="ru-RU"/>
              </w:rPr>
              <w:t>,</w:t>
            </w:r>
            <w:r w:rsidRPr="006C424B">
              <w:rPr>
                <w:rFonts w:eastAsia="Times New Roman"/>
                <w:szCs w:val="24"/>
                <w:lang w:eastAsia="ru-RU"/>
              </w:rPr>
              <w:t xml:space="preserve">203, </w:t>
            </w:r>
          </w:p>
          <w:p w14:paraId="7823D2F8" w14:textId="486420E0" w:rsidR="000C1190" w:rsidRPr="006C424B" w:rsidRDefault="000C1190" w:rsidP="002F33D0">
            <w:pPr>
              <w:ind w:firstLine="0"/>
              <w:jc w:val="both"/>
              <w:rPr>
                <w:rFonts w:eastAsia="Times New Roman"/>
                <w:szCs w:val="24"/>
                <w:lang w:eastAsia="ru-RU"/>
              </w:rPr>
            </w:pPr>
            <w:r w:rsidRPr="006C424B">
              <w:rPr>
                <w:rFonts w:eastAsia="Times New Roman"/>
                <w:szCs w:val="24"/>
                <w:lang w:eastAsia="ru-RU"/>
              </w:rPr>
              <w:t>p = 0</w:t>
            </w:r>
            <w:r w:rsidR="006C424B">
              <w:rPr>
                <w:rFonts w:eastAsia="Times New Roman"/>
                <w:szCs w:val="24"/>
                <w:lang w:val="kk-KZ" w:eastAsia="ru-RU"/>
              </w:rPr>
              <w:t>,</w:t>
            </w:r>
            <w:r w:rsidRPr="006C424B">
              <w:rPr>
                <w:rFonts w:eastAsia="Times New Roman"/>
                <w:szCs w:val="24"/>
                <w:lang w:eastAsia="ru-RU"/>
              </w:rPr>
              <w:t xml:space="preserve">024 </w:t>
            </w:r>
            <w:r w:rsidRPr="006C424B">
              <w:rPr>
                <w:rFonts w:ascii="Segoe UI Symbol" w:eastAsia="Times New Roman" w:hAnsi="Segoe UI Symbol" w:cs="Segoe UI Symbol"/>
                <w:bCs/>
                <w:szCs w:val="24"/>
                <w:lang w:eastAsia="ru-RU"/>
              </w:rPr>
              <w:t>✔</w:t>
            </w:r>
          </w:p>
        </w:tc>
      </w:tr>
      <w:tr w:rsidR="000C1190" w:rsidRPr="006C424B" w14:paraId="3383D868" w14:textId="77777777" w:rsidTr="004558B1">
        <w:trPr>
          <w:gridAfter w:val="1"/>
          <w:wAfter w:w="20" w:type="dxa"/>
        </w:trPr>
        <w:tc>
          <w:tcPr>
            <w:tcW w:w="4815" w:type="dxa"/>
            <w:hideMark/>
          </w:tcPr>
          <w:p w14:paraId="61CBA3F6" w14:textId="77777777" w:rsidR="000C1190" w:rsidRPr="006C424B" w:rsidRDefault="000C1190" w:rsidP="002F33D0">
            <w:pPr>
              <w:ind w:firstLine="0"/>
              <w:jc w:val="both"/>
              <w:rPr>
                <w:rFonts w:eastAsia="Times New Roman"/>
                <w:szCs w:val="24"/>
                <w:lang w:eastAsia="ru-RU"/>
              </w:rPr>
            </w:pPr>
            <w:r w:rsidRPr="006C424B">
              <w:rPr>
                <w:rFonts w:eastAsia="Times New Roman"/>
                <w:bCs/>
                <w:szCs w:val="24"/>
                <w:lang w:eastAsia="ru-RU"/>
              </w:rPr>
              <w:t>Драйверы → Инновационный потенциал</w:t>
            </w:r>
          </w:p>
        </w:tc>
        <w:tc>
          <w:tcPr>
            <w:tcW w:w="1559" w:type="dxa"/>
            <w:hideMark/>
          </w:tcPr>
          <w:p w14:paraId="5E2B3000" w14:textId="77777777" w:rsidR="006C424B" w:rsidRDefault="000C1190" w:rsidP="002F33D0">
            <w:pPr>
              <w:ind w:firstLine="0"/>
              <w:jc w:val="both"/>
              <w:rPr>
                <w:rFonts w:eastAsia="Times New Roman"/>
                <w:szCs w:val="24"/>
                <w:lang w:eastAsia="ru-RU"/>
              </w:rPr>
            </w:pPr>
            <w:r w:rsidRPr="006C424B">
              <w:rPr>
                <w:rFonts w:eastAsia="Times New Roman"/>
                <w:szCs w:val="24"/>
                <w:lang w:eastAsia="ru-RU"/>
              </w:rPr>
              <w:t>β = 1</w:t>
            </w:r>
            <w:r w:rsidR="006C424B">
              <w:rPr>
                <w:rFonts w:eastAsia="Times New Roman"/>
                <w:szCs w:val="24"/>
                <w:lang w:val="kk-KZ" w:eastAsia="ru-RU"/>
              </w:rPr>
              <w:t>,</w:t>
            </w:r>
            <w:r w:rsidRPr="006C424B">
              <w:rPr>
                <w:rFonts w:eastAsia="Times New Roman"/>
                <w:szCs w:val="24"/>
                <w:lang w:eastAsia="ru-RU"/>
              </w:rPr>
              <w:t xml:space="preserve">411, </w:t>
            </w:r>
          </w:p>
          <w:p w14:paraId="5C5DED61" w14:textId="1C4AC93B" w:rsidR="000C1190" w:rsidRPr="006C424B" w:rsidRDefault="009A548D" w:rsidP="002F33D0">
            <w:pPr>
              <w:ind w:firstLine="0"/>
              <w:jc w:val="both"/>
              <w:rPr>
                <w:rFonts w:eastAsia="Times New Roman"/>
                <w:szCs w:val="24"/>
                <w:lang w:eastAsia="ru-RU"/>
              </w:rPr>
            </w:pPr>
            <w:r>
              <w:rPr>
                <w:rFonts w:eastAsia="Times New Roman"/>
                <w:szCs w:val="24"/>
                <w:lang w:eastAsia="ru-RU"/>
              </w:rPr>
              <w:t>p = 0</w:t>
            </w:r>
            <w:r>
              <w:rPr>
                <w:rFonts w:eastAsia="Times New Roman"/>
                <w:szCs w:val="24"/>
                <w:lang w:val="kk-KZ" w:eastAsia="ru-RU"/>
              </w:rPr>
              <w:t>,</w:t>
            </w:r>
            <w:r w:rsidR="000C1190" w:rsidRPr="006C424B">
              <w:rPr>
                <w:rFonts w:eastAsia="Times New Roman"/>
                <w:szCs w:val="24"/>
                <w:lang w:eastAsia="ru-RU"/>
              </w:rPr>
              <w:t xml:space="preserve">001 </w:t>
            </w:r>
            <w:r w:rsidR="000C1190" w:rsidRPr="006C424B">
              <w:rPr>
                <w:rFonts w:ascii="Segoe UI Symbol" w:eastAsia="Times New Roman" w:hAnsi="Segoe UI Symbol" w:cs="Segoe UI Symbol"/>
                <w:bCs/>
                <w:szCs w:val="24"/>
                <w:lang w:eastAsia="ru-RU"/>
              </w:rPr>
              <w:t>✔</w:t>
            </w:r>
          </w:p>
        </w:tc>
        <w:tc>
          <w:tcPr>
            <w:tcW w:w="1560" w:type="dxa"/>
            <w:hideMark/>
          </w:tcPr>
          <w:p w14:paraId="42897896" w14:textId="77777777" w:rsidR="006C424B" w:rsidRDefault="000C1190" w:rsidP="002F33D0">
            <w:pPr>
              <w:ind w:firstLine="0"/>
              <w:jc w:val="both"/>
              <w:rPr>
                <w:rFonts w:eastAsia="Times New Roman"/>
                <w:szCs w:val="24"/>
                <w:lang w:eastAsia="ru-RU"/>
              </w:rPr>
            </w:pPr>
            <w:r w:rsidRPr="006C424B">
              <w:rPr>
                <w:rFonts w:eastAsia="Times New Roman"/>
                <w:szCs w:val="24"/>
                <w:lang w:eastAsia="ru-RU"/>
              </w:rPr>
              <w:t>β = 1</w:t>
            </w:r>
            <w:r w:rsidR="006C424B">
              <w:rPr>
                <w:rFonts w:eastAsia="Times New Roman"/>
                <w:szCs w:val="24"/>
                <w:lang w:val="kk-KZ" w:eastAsia="ru-RU"/>
              </w:rPr>
              <w:t>,</w:t>
            </w:r>
            <w:r w:rsidRPr="006C424B">
              <w:rPr>
                <w:rFonts w:eastAsia="Times New Roman"/>
                <w:szCs w:val="24"/>
                <w:lang w:eastAsia="ru-RU"/>
              </w:rPr>
              <w:t xml:space="preserve">325, </w:t>
            </w:r>
          </w:p>
          <w:p w14:paraId="1A689A5A" w14:textId="0F58CBF0" w:rsidR="000C1190" w:rsidRPr="006C424B" w:rsidRDefault="000C1190" w:rsidP="009A548D">
            <w:pPr>
              <w:ind w:firstLine="0"/>
              <w:jc w:val="both"/>
              <w:rPr>
                <w:rFonts w:eastAsia="Times New Roman"/>
                <w:szCs w:val="24"/>
                <w:lang w:eastAsia="ru-RU"/>
              </w:rPr>
            </w:pPr>
            <w:r w:rsidRPr="006C424B">
              <w:rPr>
                <w:rFonts w:eastAsia="Times New Roman"/>
                <w:szCs w:val="24"/>
                <w:lang w:eastAsia="ru-RU"/>
              </w:rPr>
              <w:t>p = 0</w:t>
            </w:r>
            <w:r w:rsidR="009A548D">
              <w:rPr>
                <w:rFonts w:eastAsia="Times New Roman"/>
                <w:szCs w:val="24"/>
                <w:lang w:val="kk-KZ" w:eastAsia="ru-RU"/>
              </w:rPr>
              <w:t>,</w:t>
            </w:r>
            <w:r w:rsidRPr="006C424B">
              <w:rPr>
                <w:rFonts w:eastAsia="Times New Roman"/>
                <w:szCs w:val="24"/>
                <w:lang w:eastAsia="ru-RU"/>
              </w:rPr>
              <w:t xml:space="preserve">001 </w:t>
            </w:r>
            <w:r w:rsidRPr="006C424B">
              <w:rPr>
                <w:rFonts w:ascii="Segoe UI Symbol" w:eastAsia="Times New Roman" w:hAnsi="Segoe UI Symbol" w:cs="Segoe UI Symbol"/>
                <w:bCs/>
                <w:szCs w:val="24"/>
                <w:lang w:eastAsia="ru-RU"/>
              </w:rPr>
              <w:t>✔</w:t>
            </w:r>
          </w:p>
        </w:tc>
        <w:tc>
          <w:tcPr>
            <w:tcW w:w="0" w:type="auto"/>
            <w:hideMark/>
          </w:tcPr>
          <w:p w14:paraId="6FAF5D18" w14:textId="77777777" w:rsidR="006C424B" w:rsidRDefault="000C1190" w:rsidP="002F33D0">
            <w:pPr>
              <w:ind w:firstLine="0"/>
              <w:jc w:val="both"/>
              <w:rPr>
                <w:rFonts w:eastAsia="Times New Roman"/>
                <w:szCs w:val="24"/>
                <w:lang w:eastAsia="ru-RU"/>
              </w:rPr>
            </w:pPr>
            <w:r w:rsidRPr="006C424B">
              <w:rPr>
                <w:rFonts w:eastAsia="Times New Roman"/>
                <w:szCs w:val="24"/>
                <w:lang w:eastAsia="ru-RU"/>
              </w:rPr>
              <w:t>β = 1</w:t>
            </w:r>
            <w:r w:rsidR="006C424B">
              <w:rPr>
                <w:rFonts w:eastAsia="Times New Roman"/>
                <w:szCs w:val="24"/>
                <w:lang w:val="kk-KZ" w:eastAsia="ru-RU"/>
              </w:rPr>
              <w:t>,</w:t>
            </w:r>
            <w:r w:rsidRPr="006C424B">
              <w:rPr>
                <w:rFonts w:eastAsia="Times New Roman"/>
                <w:szCs w:val="24"/>
                <w:lang w:eastAsia="ru-RU"/>
              </w:rPr>
              <w:t xml:space="preserve">216, </w:t>
            </w:r>
          </w:p>
          <w:p w14:paraId="39F628B1" w14:textId="0C0ADED7" w:rsidR="000C1190" w:rsidRPr="006C424B" w:rsidRDefault="000C1190" w:rsidP="009A548D">
            <w:pPr>
              <w:ind w:firstLine="0"/>
              <w:jc w:val="both"/>
              <w:rPr>
                <w:rFonts w:eastAsia="Times New Roman"/>
                <w:szCs w:val="24"/>
                <w:lang w:eastAsia="ru-RU"/>
              </w:rPr>
            </w:pPr>
            <w:r w:rsidRPr="006C424B">
              <w:rPr>
                <w:rFonts w:eastAsia="Times New Roman"/>
                <w:szCs w:val="24"/>
                <w:lang w:eastAsia="ru-RU"/>
              </w:rPr>
              <w:t>p = 0</w:t>
            </w:r>
            <w:r w:rsidR="009A548D">
              <w:rPr>
                <w:rFonts w:eastAsia="Times New Roman"/>
                <w:szCs w:val="24"/>
                <w:lang w:val="kk-KZ" w:eastAsia="ru-RU"/>
              </w:rPr>
              <w:t>,</w:t>
            </w:r>
            <w:r w:rsidRPr="006C424B">
              <w:rPr>
                <w:rFonts w:eastAsia="Times New Roman"/>
                <w:szCs w:val="24"/>
                <w:lang w:eastAsia="ru-RU"/>
              </w:rPr>
              <w:t xml:space="preserve">000 </w:t>
            </w:r>
            <w:r w:rsidRPr="006C424B">
              <w:rPr>
                <w:rFonts w:ascii="Segoe UI Symbol" w:eastAsia="Times New Roman" w:hAnsi="Segoe UI Symbol" w:cs="Segoe UI Symbol"/>
                <w:bCs/>
                <w:szCs w:val="24"/>
                <w:lang w:eastAsia="ru-RU"/>
              </w:rPr>
              <w:t>✔</w:t>
            </w:r>
          </w:p>
        </w:tc>
      </w:tr>
      <w:tr w:rsidR="004558B1" w:rsidRPr="006C424B" w14:paraId="274BD72C" w14:textId="77777777" w:rsidTr="004558B1">
        <w:tc>
          <w:tcPr>
            <w:tcW w:w="9338" w:type="dxa"/>
            <w:gridSpan w:val="5"/>
          </w:tcPr>
          <w:p w14:paraId="5561E2EF" w14:textId="7A27BAFF" w:rsidR="004558B1" w:rsidRPr="004558B1" w:rsidRDefault="004558B1" w:rsidP="000F3C80">
            <w:pPr>
              <w:ind w:firstLine="459"/>
              <w:jc w:val="both"/>
              <w:rPr>
                <w:rFonts w:eastAsia="Times New Roman"/>
                <w:szCs w:val="24"/>
                <w:lang w:val="kk-KZ" w:eastAsia="ru-RU"/>
              </w:rPr>
            </w:pPr>
            <w:r w:rsidRPr="00EE311D">
              <w:rPr>
                <w:rFonts w:eastAsia="Times New Roman"/>
                <w:szCs w:val="24"/>
                <w:lang w:val="kk-KZ" w:eastAsia="ru-RU"/>
              </w:rPr>
              <w:t xml:space="preserve">Примечание – </w:t>
            </w:r>
            <w:r w:rsidR="000F3C80" w:rsidRPr="00EE311D">
              <w:rPr>
                <w:rFonts w:eastAsia="Times New Roman"/>
                <w:szCs w:val="24"/>
                <w:lang w:val="kk-KZ" w:eastAsia="ru-RU"/>
              </w:rPr>
              <w:t>П</w:t>
            </w:r>
            <w:r w:rsidR="0084493D" w:rsidRPr="00EE311D">
              <w:rPr>
                <w:rFonts w:eastAsia="Times New Roman"/>
                <w:szCs w:val="24"/>
                <w:lang w:val="kk-KZ" w:eastAsia="ru-RU"/>
              </w:rPr>
              <w:t>риведены стандартизированные коэффициенты β</w:t>
            </w:r>
          </w:p>
        </w:tc>
      </w:tr>
    </w:tbl>
    <w:p w14:paraId="6411D9E8"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p>
    <w:p w14:paraId="1BE1881A" w14:textId="61E2A920"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Наиболее выраженное влияние </w:t>
      </w:r>
      <w:r w:rsidR="006C424B">
        <w:rPr>
          <w:rFonts w:ascii="Times New Roman" w:hAnsi="Times New Roman" w:cs="Times New Roman"/>
          <w:sz w:val="28"/>
          <w:szCs w:val="28"/>
          <w:lang w:val="kk-KZ"/>
        </w:rPr>
        <w:t>индекса цифровой зрелости</w:t>
      </w:r>
      <w:r w:rsidRPr="000C1190">
        <w:rPr>
          <w:rFonts w:ascii="Times New Roman" w:hAnsi="Times New Roman" w:cs="Times New Roman"/>
          <w:sz w:val="28"/>
          <w:szCs w:val="28"/>
          <w:lang w:val="kk-KZ"/>
        </w:rPr>
        <w:t xml:space="preserve"> как медиатора зафиксировано в группе малых предприятий. Путь от драйверов к </w:t>
      </w:r>
      <w:r w:rsidR="00191BC3">
        <w:rPr>
          <w:rFonts w:ascii="Times New Roman" w:hAnsi="Times New Roman" w:cs="Times New Roman"/>
          <w:sz w:val="28"/>
          <w:szCs w:val="28"/>
          <w:lang w:val="kk-KZ"/>
        </w:rPr>
        <w:t>цифровой зрелости</w:t>
      </w:r>
      <w:r w:rsidRPr="000C1190">
        <w:rPr>
          <w:rFonts w:ascii="Times New Roman" w:hAnsi="Times New Roman" w:cs="Times New Roman"/>
          <w:sz w:val="28"/>
          <w:szCs w:val="28"/>
          <w:lang w:val="kk-KZ"/>
        </w:rPr>
        <w:t xml:space="preserve"> оказался статистически значимым (β = 1</w:t>
      </w:r>
      <w:r w:rsidR="00191BC3">
        <w:rPr>
          <w:rFonts w:ascii="Times New Roman" w:hAnsi="Times New Roman" w:cs="Times New Roman"/>
          <w:sz w:val="28"/>
          <w:szCs w:val="28"/>
          <w:lang w:val="kk-KZ"/>
        </w:rPr>
        <w:t>,</w:t>
      </w:r>
      <w:r w:rsidRPr="000C1190">
        <w:rPr>
          <w:rFonts w:ascii="Times New Roman" w:hAnsi="Times New Roman" w:cs="Times New Roman"/>
          <w:sz w:val="28"/>
          <w:szCs w:val="28"/>
          <w:lang w:val="kk-KZ"/>
        </w:rPr>
        <w:t>173, p &lt; 0</w:t>
      </w:r>
      <w:r w:rsidR="00191BC3">
        <w:rPr>
          <w:rFonts w:ascii="Times New Roman" w:hAnsi="Times New Roman" w:cs="Times New Roman"/>
          <w:sz w:val="28"/>
          <w:szCs w:val="28"/>
          <w:lang w:val="kk-KZ"/>
        </w:rPr>
        <w:t>,</w:t>
      </w:r>
      <w:r w:rsidRPr="000C1190">
        <w:rPr>
          <w:rFonts w:ascii="Times New Roman" w:hAnsi="Times New Roman" w:cs="Times New Roman"/>
          <w:sz w:val="28"/>
          <w:szCs w:val="28"/>
          <w:lang w:val="kk-KZ"/>
        </w:rPr>
        <w:t>001), как и путь от цифров</w:t>
      </w:r>
      <w:r w:rsidR="00191BC3">
        <w:rPr>
          <w:rFonts w:ascii="Times New Roman" w:hAnsi="Times New Roman" w:cs="Times New Roman"/>
          <w:sz w:val="28"/>
          <w:szCs w:val="28"/>
          <w:lang w:val="kk-KZ"/>
        </w:rPr>
        <w:t>ой зрелости</w:t>
      </w:r>
      <w:r w:rsidRPr="000C1190">
        <w:rPr>
          <w:rFonts w:ascii="Times New Roman" w:hAnsi="Times New Roman" w:cs="Times New Roman"/>
          <w:sz w:val="28"/>
          <w:szCs w:val="28"/>
          <w:lang w:val="kk-KZ"/>
        </w:rPr>
        <w:t xml:space="preserve"> к инновационному потенциалу (β = 0</w:t>
      </w:r>
      <w:r w:rsidR="00191BC3">
        <w:rPr>
          <w:rFonts w:ascii="Times New Roman" w:hAnsi="Times New Roman" w:cs="Times New Roman"/>
          <w:sz w:val="28"/>
          <w:szCs w:val="28"/>
          <w:lang w:val="kk-KZ"/>
        </w:rPr>
        <w:t>,</w:t>
      </w:r>
      <w:r w:rsidRPr="000C1190">
        <w:rPr>
          <w:rFonts w:ascii="Times New Roman" w:hAnsi="Times New Roman" w:cs="Times New Roman"/>
          <w:sz w:val="28"/>
          <w:szCs w:val="28"/>
          <w:lang w:val="kk-KZ"/>
        </w:rPr>
        <w:t>203, p = 0</w:t>
      </w:r>
      <w:r w:rsidR="00191BC3">
        <w:rPr>
          <w:rFonts w:ascii="Times New Roman" w:hAnsi="Times New Roman" w:cs="Times New Roman"/>
          <w:sz w:val="28"/>
          <w:szCs w:val="28"/>
          <w:lang w:val="kk-KZ"/>
        </w:rPr>
        <w:t>,</w:t>
      </w:r>
      <w:r w:rsidRPr="000C1190">
        <w:rPr>
          <w:rFonts w:ascii="Times New Roman" w:hAnsi="Times New Roman" w:cs="Times New Roman"/>
          <w:sz w:val="28"/>
          <w:szCs w:val="28"/>
          <w:lang w:val="kk-KZ"/>
        </w:rPr>
        <w:t>024). Это указывает на то, что цифровая зрелость выступает важным связующим звеном между наличием драйверов и способностью организации реализовать инновационный потенциал. У малых предприятий именно цифровые решения позволяют компенсировать дефицит ресурсов и управленческих механизмов.</w:t>
      </w:r>
    </w:p>
    <w:p w14:paraId="362F19B9" w14:textId="09C04D04"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lastRenderedPageBreak/>
        <w:t>В средних предприятиях наблюдается умеренный медиаторный эффект. Прямое влияние драйверов остаётся значимым (β = 1</w:t>
      </w:r>
      <w:r w:rsidR="00191BC3">
        <w:rPr>
          <w:rFonts w:ascii="Times New Roman" w:hAnsi="Times New Roman" w:cs="Times New Roman"/>
          <w:sz w:val="28"/>
          <w:szCs w:val="28"/>
          <w:lang w:val="kk-KZ"/>
        </w:rPr>
        <w:t>,</w:t>
      </w:r>
      <w:r w:rsidRPr="000C1190">
        <w:rPr>
          <w:rFonts w:ascii="Times New Roman" w:hAnsi="Times New Roman" w:cs="Times New Roman"/>
          <w:sz w:val="28"/>
          <w:szCs w:val="28"/>
          <w:lang w:val="kk-KZ"/>
        </w:rPr>
        <w:t>325, p = 0</w:t>
      </w:r>
      <w:r w:rsidR="00191BC3">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001), путь от драйверов к </w:t>
      </w:r>
      <w:r w:rsidR="00191BC3">
        <w:rPr>
          <w:rFonts w:ascii="Times New Roman" w:hAnsi="Times New Roman" w:cs="Times New Roman"/>
          <w:sz w:val="28"/>
          <w:szCs w:val="28"/>
          <w:lang w:val="kk-KZ"/>
        </w:rPr>
        <w:t>цифровой зрелости</w:t>
      </w:r>
      <w:r w:rsidRPr="000C1190">
        <w:rPr>
          <w:rFonts w:ascii="Times New Roman" w:hAnsi="Times New Roman" w:cs="Times New Roman"/>
          <w:sz w:val="28"/>
          <w:szCs w:val="28"/>
          <w:lang w:val="kk-KZ"/>
        </w:rPr>
        <w:t xml:space="preserve"> также статистически подтверждён (β = 1</w:t>
      </w:r>
      <w:r w:rsidR="00191BC3">
        <w:rPr>
          <w:rFonts w:ascii="Times New Roman" w:hAnsi="Times New Roman" w:cs="Times New Roman"/>
          <w:sz w:val="28"/>
          <w:szCs w:val="28"/>
          <w:lang w:val="kk-KZ"/>
        </w:rPr>
        <w:t>,</w:t>
      </w:r>
      <w:r w:rsidRPr="000C1190">
        <w:rPr>
          <w:rFonts w:ascii="Times New Roman" w:hAnsi="Times New Roman" w:cs="Times New Roman"/>
          <w:sz w:val="28"/>
          <w:szCs w:val="28"/>
          <w:lang w:val="kk-KZ"/>
        </w:rPr>
        <w:t>137, p = 0</w:t>
      </w:r>
      <w:r w:rsidR="00191BC3">
        <w:rPr>
          <w:rFonts w:ascii="Times New Roman" w:hAnsi="Times New Roman" w:cs="Times New Roman"/>
          <w:sz w:val="28"/>
          <w:szCs w:val="28"/>
          <w:lang w:val="kk-KZ"/>
        </w:rPr>
        <w:t>,</w:t>
      </w:r>
      <w:r w:rsidRPr="000C1190">
        <w:rPr>
          <w:rFonts w:ascii="Times New Roman" w:hAnsi="Times New Roman" w:cs="Times New Roman"/>
          <w:sz w:val="28"/>
          <w:szCs w:val="28"/>
          <w:lang w:val="kk-KZ"/>
        </w:rPr>
        <w:t>002), тогда как влияние цифров</w:t>
      </w:r>
      <w:r w:rsidR="00191BC3">
        <w:rPr>
          <w:rFonts w:ascii="Times New Roman" w:hAnsi="Times New Roman" w:cs="Times New Roman"/>
          <w:sz w:val="28"/>
          <w:szCs w:val="28"/>
          <w:lang w:val="kk-KZ"/>
        </w:rPr>
        <w:t>ой зрелости</w:t>
      </w:r>
      <w:r w:rsidRPr="000C1190">
        <w:rPr>
          <w:rFonts w:ascii="Times New Roman" w:hAnsi="Times New Roman" w:cs="Times New Roman"/>
          <w:sz w:val="28"/>
          <w:szCs w:val="28"/>
          <w:lang w:val="kk-KZ"/>
        </w:rPr>
        <w:t xml:space="preserve"> на инновационный потенциал находится на границе значимости (β = 0</w:t>
      </w:r>
      <w:r w:rsidR="00191BC3">
        <w:rPr>
          <w:rFonts w:ascii="Times New Roman" w:hAnsi="Times New Roman" w:cs="Times New Roman"/>
          <w:sz w:val="28"/>
          <w:szCs w:val="28"/>
          <w:lang w:val="kk-KZ"/>
        </w:rPr>
        <w:t>,</w:t>
      </w:r>
      <w:r w:rsidRPr="000C1190">
        <w:rPr>
          <w:rFonts w:ascii="Times New Roman" w:hAnsi="Times New Roman" w:cs="Times New Roman"/>
          <w:sz w:val="28"/>
          <w:szCs w:val="28"/>
          <w:lang w:val="kk-KZ"/>
        </w:rPr>
        <w:t>233, p = 0</w:t>
      </w:r>
      <w:r w:rsidR="00191BC3">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053). Это может свидетельствовать о переходной стадии цифровой </w:t>
      </w:r>
      <w:r w:rsidR="00191BC3">
        <w:rPr>
          <w:rFonts w:ascii="Times New Roman" w:hAnsi="Times New Roman" w:cs="Times New Roman"/>
          <w:sz w:val="28"/>
          <w:szCs w:val="28"/>
          <w:lang w:val="kk-KZ"/>
        </w:rPr>
        <w:t>адаптации</w:t>
      </w:r>
      <w:r w:rsidRPr="000C1190">
        <w:rPr>
          <w:rFonts w:ascii="Times New Roman" w:hAnsi="Times New Roman" w:cs="Times New Roman"/>
          <w:sz w:val="28"/>
          <w:szCs w:val="28"/>
          <w:lang w:val="kk-KZ"/>
        </w:rPr>
        <w:t>, когда цифровые инструменты ещё не играют решающей роли, но постепенно усиливают воздействие управленческих факторов.</w:t>
      </w:r>
    </w:p>
    <w:p w14:paraId="47FAA499" w14:textId="4E5C66EC"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Для крупных предприятий основную роль по-прежнему играют традиционные драйверы. Путь от них к инновационному потенциалу демонстрирует высокую значимость (β = 1</w:t>
      </w:r>
      <w:r w:rsidR="00191BC3">
        <w:rPr>
          <w:rFonts w:ascii="Times New Roman" w:hAnsi="Times New Roman" w:cs="Times New Roman"/>
          <w:sz w:val="28"/>
          <w:szCs w:val="28"/>
          <w:lang w:val="kk-KZ"/>
        </w:rPr>
        <w:t>,</w:t>
      </w:r>
      <w:r w:rsidRPr="000C1190">
        <w:rPr>
          <w:rFonts w:ascii="Times New Roman" w:hAnsi="Times New Roman" w:cs="Times New Roman"/>
          <w:sz w:val="28"/>
          <w:szCs w:val="28"/>
          <w:lang w:val="kk-KZ"/>
        </w:rPr>
        <w:t>411, p = 0</w:t>
      </w:r>
      <w:r w:rsidR="00191BC3">
        <w:rPr>
          <w:rFonts w:ascii="Times New Roman" w:hAnsi="Times New Roman" w:cs="Times New Roman"/>
          <w:sz w:val="28"/>
          <w:szCs w:val="28"/>
          <w:lang w:val="kk-KZ"/>
        </w:rPr>
        <w:t>,</w:t>
      </w:r>
      <w:r w:rsidRPr="000C1190">
        <w:rPr>
          <w:rFonts w:ascii="Times New Roman" w:hAnsi="Times New Roman" w:cs="Times New Roman"/>
          <w:sz w:val="28"/>
          <w:szCs w:val="28"/>
          <w:lang w:val="kk-KZ"/>
        </w:rPr>
        <w:t>001), при этом медиаторный эффект цифровизации не подтверждается (β = 0</w:t>
      </w:r>
      <w:r w:rsidR="00191BC3">
        <w:rPr>
          <w:rFonts w:ascii="Times New Roman" w:hAnsi="Times New Roman" w:cs="Times New Roman"/>
          <w:sz w:val="28"/>
          <w:szCs w:val="28"/>
          <w:lang w:val="kk-KZ"/>
        </w:rPr>
        <w:t>,</w:t>
      </w:r>
      <w:r w:rsidRPr="000C1190">
        <w:rPr>
          <w:rFonts w:ascii="Times New Roman" w:hAnsi="Times New Roman" w:cs="Times New Roman"/>
          <w:sz w:val="28"/>
          <w:szCs w:val="28"/>
          <w:lang w:val="kk-KZ"/>
        </w:rPr>
        <w:t>124, p = 0</w:t>
      </w:r>
      <w:r w:rsidR="00191BC3">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216). Несмотря на то, что влияние драйверов на </w:t>
      </w:r>
      <w:r w:rsidR="00191BC3">
        <w:rPr>
          <w:rFonts w:ascii="Times New Roman" w:hAnsi="Times New Roman" w:cs="Times New Roman"/>
          <w:sz w:val="28"/>
          <w:szCs w:val="28"/>
          <w:lang w:val="kk-KZ"/>
        </w:rPr>
        <w:t>цифровую зрелость</w:t>
      </w:r>
      <w:r w:rsidRPr="000C1190">
        <w:rPr>
          <w:rFonts w:ascii="Times New Roman" w:hAnsi="Times New Roman" w:cs="Times New Roman"/>
          <w:sz w:val="28"/>
          <w:szCs w:val="28"/>
          <w:lang w:val="kk-KZ"/>
        </w:rPr>
        <w:t xml:space="preserve"> остаётся значимым (β = 0</w:t>
      </w:r>
      <w:r w:rsidR="00191BC3">
        <w:rPr>
          <w:rFonts w:ascii="Times New Roman" w:hAnsi="Times New Roman" w:cs="Times New Roman"/>
          <w:sz w:val="28"/>
          <w:szCs w:val="28"/>
          <w:lang w:val="kk-KZ"/>
        </w:rPr>
        <w:t>,</w:t>
      </w:r>
      <w:r w:rsidRPr="000C1190">
        <w:rPr>
          <w:rFonts w:ascii="Times New Roman" w:hAnsi="Times New Roman" w:cs="Times New Roman"/>
          <w:sz w:val="28"/>
          <w:szCs w:val="28"/>
          <w:lang w:val="kk-KZ"/>
        </w:rPr>
        <w:t>899, p = 0</w:t>
      </w:r>
      <w:r w:rsidR="00191BC3">
        <w:rPr>
          <w:rFonts w:ascii="Times New Roman" w:hAnsi="Times New Roman" w:cs="Times New Roman"/>
          <w:sz w:val="28"/>
          <w:szCs w:val="28"/>
          <w:lang w:val="kk-KZ"/>
        </w:rPr>
        <w:t>,</w:t>
      </w:r>
      <w:r w:rsidRPr="000C1190">
        <w:rPr>
          <w:rFonts w:ascii="Times New Roman" w:hAnsi="Times New Roman" w:cs="Times New Roman"/>
          <w:sz w:val="28"/>
          <w:szCs w:val="28"/>
          <w:lang w:val="kk-KZ"/>
        </w:rPr>
        <w:t>038), уровень цифровой зрелости сам по себе не оказывает существенного воздействия на восприятие инновационного потенциала. Это, вероятно, объясняется тем, что крупные структуры уже институционализировали цифровые практики и не воспринимают их как фактор, усиливающий инновационные результаты.</w:t>
      </w:r>
    </w:p>
    <w:p w14:paraId="75896BFA" w14:textId="06A4AA3B"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Таким образом, различия между группами носят количественный, а не структурный характер. Во всех случаях драйверы оказывают значимое прямое влияние, однако роль </w:t>
      </w:r>
      <w:r w:rsidR="00191BC3">
        <w:rPr>
          <w:rFonts w:ascii="Times New Roman" w:hAnsi="Times New Roman" w:cs="Times New Roman"/>
          <w:sz w:val="28"/>
          <w:szCs w:val="28"/>
          <w:lang w:val="kk-KZ"/>
        </w:rPr>
        <w:t>цифровой зрелости предприятий</w:t>
      </w:r>
      <w:r w:rsidRPr="000C1190">
        <w:rPr>
          <w:rFonts w:ascii="Times New Roman" w:hAnsi="Times New Roman" w:cs="Times New Roman"/>
          <w:sz w:val="28"/>
          <w:szCs w:val="28"/>
          <w:lang w:val="kk-KZ"/>
        </w:rPr>
        <w:t xml:space="preserve"> как медиатора варьируется: она максимальна для малых предприятий, умеренна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для средних и минимальна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для крупных. Эти выводы подчёркивают необходимость адаптации инструментов поддержки инновационного развития с учётом размерности бизнеса. Для малых структур приоритетным направлением должна стать цифровая </w:t>
      </w:r>
      <w:r w:rsidR="00191BC3">
        <w:rPr>
          <w:rFonts w:ascii="Times New Roman" w:hAnsi="Times New Roman" w:cs="Times New Roman"/>
          <w:sz w:val="28"/>
          <w:szCs w:val="28"/>
          <w:lang w:val="kk-KZ"/>
        </w:rPr>
        <w:t>адаптация</w:t>
      </w:r>
      <w:r w:rsidRPr="000C1190">
        <w:rPr>
          <w:rFonts w:ascii="Times New Roman" w:hAnsi="Times New Roman" w:cs="Times New Roman"/>
          <w:sz w:val="28"/>
          <w:szCs w:val="28"/>
          <w:lang w:val="kk-KZ"/>
        </w:rPr>
        <w:t xml:space="preserve">, тогда как для крупных предприятий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институциональное закрепление инновационных стратегий и поддержка зрелых управленческих механизмов.</w:t>
      </w:r>
    </w:p>
    <w:p w14:paraId="34005354" w14:textId="75C58027"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Проведённое структурное моделирование позволило подтвердить гипотезу о значимости управленческих, кадровых и технологических драйверов в формировании инновационного потенциала предпринимательских структур. При этом была эмпирически установлена медиирующая роль </w:t>
      </w:r>
      <w:r w:rsidR="00191BC3">
        <w:rPr>
          <w:rFonts w:ascii="Times New Roman" w:hAnsi="Times New Roman" w:cs="Times New Roman"/>
          <w:sz w:val="28"/>
          <w:szCs w:val="28"/>
          <w:lang w:val="kk-KZ"/>
        </w:rPr>
        <w:t>цифровой адаптации</w:t>
      </w:r>
      <w:r w:rsidRPr="000C1190">
        <w:rPr>
          <w:rFonts w:ascii="Times New Roman" w:hAnsi="Times New Roman" w:cs="Times New Roman"/>
          <w:sz w:val="28"/>
          <w:szCs w:val="28"/>
          <w:lang w:val="kk-KZ"/>
        </w:rPr>
        <w:t>, усиливающая влияние драйверов на инновационные результаты.</w:t>
      </w:r>
    </w:p>
    <w:p w14:paraId="0B897A96" w14:textId="49C485E7"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Особое значение цифров</w:t>
      </w:r>
      <w:r w:rsidR="00191BC3">
        <w:rPr>
          <w:rFonts w:ascii="Times New Roman" w:hAnsi="Times New Roman" w:cs="Times New Roman"/>
          <w:sz w:val="28"/>
          <w:szCs w:val="28"/>
          <w:lang w:val="kk-KZ"/>
        </w:rPr>
        <w:t>ая зрелось</w:t>
      </w:r>
      <w:r w:rsidRPr="000C1190">
        <w:rPr>
          <w:rFonts w:ascii="Times New Roman" w:hAnsi="Times New Roman" w:cs="Times New Roman"/>
          <w:sz w:val="28"/>
          <w:szCs w:val="28"/>
          <w:lang w:val="kk-KZ"/>
        </w:rPr>
        <w:t xml:space="preserve"> приобретает в малом бизнесе, где ограниченность ресурсов и недостаточная институциональная зрелость делают цифровые инструменты критически важными для реализации инновационного потенциала. В среднем бизнесе </w:t>
      </w:r>
      <w:r w:rsidR="00191BC3" w:rsidRPr="000C1190">
        <w:rPr>
          <w:rFonts w:ascii="Times New Roman" w:hAnsi="Times New Roman" w:cs="Times New Roman"/>
          <w:sz w:val="28"/>
          <w:szCs w:val="28"/>
          <w:lang w:val="kk-KZ"/>
        </w:rPr>
        <w:t>цифров</w:t>
      </w:r>
      <w:r w:rsidR="00191BC3">
        <w:rPr>
          <w:rFonts w:ascii="Times New Roman" w:hAnsi="Times New Roman" w:cs="Times New Roman"/>
          <w:sz w:val="28"/>
          <w:szCs w:val="28"/>
          <w:lang w:val="kk-KZ"/>
        </w:rPr>
        <w:t>ая зрелось</w:t>
      </w:r>
      <w:r w:rsidR="00191BC3" w:rsidRPr="000C1190">
        <w:rPr>
          <w:rFonts w:ascii="Times New Roman" w:hAnsi="Times New Roman" w:cs="Times New Roman"/>
          <w:sz w:val="28"/>
          <w:szCs w:val="28"/>
          <w:lang w:val="kk-KZ"/>
        </w:rPr>
        <w:t xml:space="preserve"> </w:t>
      </w:r>
      <w:r w:rsidRPr="000C1190">
        <w:rPr>
          <w:rFonts w:ascii="Times New Roman" w:hAnsi="Times New Roman" w:cs="Times New Roman"/>
          <w:sz w:val="28"/>
          <w:szCs w:val="28"/>
          <w:lang w:val="kk-KZ"/>
        </w:rPr>
        <w:t>играет усиливающую роль, однако пока не носит определяющего характера. Для крупных предприятий цифровая зрелость не оказывает статистически значимого влияния на восприятие инновационности, что свидетельствует о наличии альтернативных каналов трансляции инновационного поведения.</w:t>
      </w:r>
    </w:p>
    <w:p w14:paraId="34308165" w14:textId="5606EFD7"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Таким образом, выявленные различия подчеркивают необходимость дифференцированного подхода к управлению инновационным развитием. В </w:t>
      </w:r>
      <w:r w:rsidRPr="000C1190">
        <w:rPr>
          <w:rFonts w:ascii="Times New Roman" w:hAnsi="Times New Roman" w:cs="Times New Roman"/>
          <w:sz w:val="28"/>
          <w:szCs w:val="28"/>
          <w:lang w:val="kk-KZ"/>
        </w:rPr>
        <w:lastRenderedPageBreak/>
        <w:t xml:space="preserve">малом бизнесе требуется акцент на цифровую </w:t>
      </w:r>
      <w:r w:rsidR="00191BC3">
        <w:rPr>
          <w:rFonts w:ascii="Times New Roman" w:hAnsi="Times New Roman" w:cs="Times New Roman"/>
          <w:sz w:val="28"/>
          <w:szCs w:val="28"/>
          <w:lang w:val="kk-KZ"/>
        </w:rPr>
        <w:t>адаптацию</w:t>
      </w:r>
      <w:r w:rsidRPr="000C1190">
        <w:rPr>
          <w:rFonts w:ascii="Times New Roman" w:hAnsi="Times New Roman" w:cs="Times New Roman"/>
          <w:sz w:val="28"/>
          <w:szCs w:val="28"/>
          <w:lang w:val="kk-KZ"/>
        </w:rPr>
        <w:t xml:space="preserve"> и развитие компетенций, в то время как крупным структурам более актуальны меры институционального и стратегического характера.</w:t>
      </w:r>
      <w:r w:rsidR="007916F5">
        <w:rPr>
          <w:rFonts w:ascii="Times New Roman" w:hAnsi="Times New Roman" w:cs="Times New Roman"/>
          <w:sz w:val="28"/>
          <w:szCs w:val="28"/>
          <w:lang w:val="kk-KZ"/>
        </w:rPr>
        <w:t xml:space="preserve"> </w:t>
      </w:r>
      <w:r w:rsidR="00773F07" w:rsidRPr="00773F07">
        <w:rPr>
          <w:rFonts w:ascii="Times New Roman" w:hAnsi="Times New Roman" w:cs="Times New Roman"/>
          <w:sz w:val="28"/>
          <w:szCs w:val="28"/>
          <w:lang w:val="kk-KZ"/>
        </w:rPr>
        <w:t>Это подтверждает неоднородность процессов цифровой адаптации, что согласуется с выводами международных исследований о различиях в цифровой готовности предприятий в переходных экономиках</w:t>
      </w:r>
      <w:r w:rsidR="00773F07">
        <w:rPr>
          <w:rFonts w:ascii="Times New Roman" w:hAnsi="Times New Roman" w:cs="Times New Roman"/>
          <w:sz w:val="28"/>
          <w:szCs w:val="28"/>
          <w:lang w:val="kk-KZ"/>
        </w:rPr>
        <w:t xml:space="preserve"> </w:t>
      </w:r>
      <w:r w:rsidR="00773F07">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{"citationID":"ahidbetm3u","properties":{"formattedCitation":"[201\\uc0\\u8211{}203]","plainCitation":"[201–203]","noteIndex":0},"citationItems":[{"id":261,"uris":["http://zotero.org/users/16887523/items/F6RZP5MJ"],"itemData":{"id":261,"type":"article-journal","abstract":"Type of the article: Research Article\nAbstractDigital transformation is a key factor in the competitiveness of enterprises in the modern world. The study aims to analyze the readiness of enterprises in Kazakhstan for digital transformation at the regional and sectoral levels. The main research method was statistical analysis based on an index approach using data for 2023 from Kazakhstan’s Bureau of National Statistics, reflecting the digital readiness and digital maturity of enterprises. According to the findings, in Kazakhstan, the level of readiness of enterprises for digital transformation is heterogeneous both in regional and sectoral terms. Kazakhstani enterprises are characterized by a high level of basic digital readiness (81.4% of enterprises had computers, 79.5% – Internet access), an unsatisfactory level of advanced digital readiness (5.6% of enterprises had IT-specialists, 1.1% – own data centers, 3.1% – implemented business processes innovations in information and communication systems), and digital maturity (26.5% of enterprises had Internet resources, electronic invoices – 79.1%, automated internal business processes – 16.7%, cloud computing – 11.0%, big data technologies – 1.9%, and RFID technologies – 1.1%). A digital gap in the readiness of enterprises for digital transformation was revealed between the leading (Almaty and Astana cities, Atyrau, and Karaganda regions) and lagging (Mangystau, Turkestan, and Kyzylorda regions) regions, and between the sectors, where enterprises in industry, trade, information and communication, hospitality and healthcare are significantly ahead of enterprises in agriculture, construction, and real estate. It is advisable to make more active use of innovation infrastructure facilities to increase the digital potential of enterprises.\nAcknowledgmentsThis research has been funded by the Science Committee of the Ministry of Science and Higher Education of the Republic of Kazakhstan (IRN 19680544 “Innovation infrastructure of Kazakhstan in the context of digitalization: assessment of the state and development of an atlas”).","container-title":"Problems and Perspectives in Management","DOI":"10.21511/ppm.23(3).2025.12","ISSN":"17277051, 18105467","issue":"3","journalAbbreviation":"Problems and Perspectives in Management","license":"http://creativecommons.org/licenses/by/3.0/deed.en_US","page":"161-175","source":"DOI.org (Crossref)","title":"Digital transformation readiness of Kazakhstani enterprises: Mapping regional and sectoral capacities","title-short":"Digital transformation readiness of Kazakhstani enterprises","URL":"https://www.businessperspectives.org/index.php/journals/problems-and-perspectives-in-management/issue-492/digital-transformation-readiness-of-kazakhstani-enterprises-mapping-regional-and-sectoral-capacities","volume":"23","author":[{"family":"Satpayeva","given":"Zaira"},{"family":"Bekmurat","given":"Zhanibek"},{"family":"Medeni","given":"Tunç"},{"family":"Kangalakova","given":"Dana"},{"family":"Xue","given":"Liangliang"}],"accessed":{"date-parts":[["2025",11,26]]},"issued":{"date-parts":[["2025",8,5]]}}},{"id":262,"uris":["http://zotero.org/users/16887523/items/KBKGIE7R"],"itemData":{"id":262,"type":"article-journal","container-title":"Journal of Global Information Technology Management","DOI":"10.1080/1097198X.2022.2062994","ISSN":"1097-198X, 2333-6846","issue":"2","journalAbbreviation":"Journal of Global Information Technology Management","language":"en","page":"159-187","source":"DOI.org (Crossref)","title":"A digitalized global economy: Studying the effect of digital readiness of countries on international merger and acquisition flows","title-short":"A digitalized global economy","URL":"https://www.tandfonline.com/doi/full/10.1080/1097198X.2022.2062994","volume":"25","author":[{"family":"Moeini Gharagozloo","given":"M. Mahdi"},{"family":"Chen","given":"Chen"},{"family":"Nair","given":"Anil"},{"family":"Moeini Gharagozloo","given":"Ali"}],"accessed":{"date-parts":[["2025",11,26]]},"issued":{"date-parts":[["2022",4,3]]}}},{"id":263,"uris":["http://zotero.org/users/16887523/items/FZWBL3DX"],"itemData":{"id":263,"type":"article-journal","container-title":"Journal of International Entrepreneurship","DOI":"10.1007/s10843-021-00296-6","ISSN":"1570-7385, 1573-7349","issue":"3","journalAbbreviation":"J Int Entrep","language":"en","page":"474-502","source":"DOI.org (Crossref)","title":"More power for international entrepreneurs: the effect of digital readiness of economies on channeling national R&amp;D resources to entrepreneurship","title-short":"More power for international entrepreneurs","URL":"https://link.springer.com/10.1007/s10843-021-00296-6","volume":"20","author":[{"family":"Moeini Gharagozloo","given":"M. Mahdi"},{"family":"Askarzadeh","given":"Fatemeh"},{"family":"Moeini Gharagozloo","given":"Ali"}],"accessed":{"date-parts":[["2025",11,26]]},"issued":{"date-parts":[["2022",9]]}}}],"schema":"https://github.com/citation-style-language/schema/raw/master/csl-citation.json"} </w:instrText>
      </w:r>
      <w:r w:rsidR="00773F07">
        <w:rPr>
          <w:rFonts w:ascii="Times New Roman" w:hAnsi="Times New Roman" w:cs="Times New Roman"/>
          <w:sz w:val="28"/>
          <w:szCs w:val="28"/>
          <w:lang w:val="kk-KZ"/>
        </w:rPr>
        <w:fldChar w:fldCharType="separate"/>
      </w:r>
      <w:r w:rsidR="00AE44BA" w:rsidRPr="00AE44BA">
        <w:rPr>
          <w:rFonts w:ascii="Times New Roman" w:hAnsi="Times New Roman" w:cs="Times New Roman"/>
          <w:sz w:val="28"/>
          <w:szCs w:val="24"/>
        </w:rPr>
        <w:t>[201–203]</w:t>
      </w:r>
      <w:r w:rsidR="00773F07">
        <w:rPr>
          <w:rFonts w:ascii="Times New Roman" w:hAnsi="Times New Roman" w:cs="Times New Roman"/>
          <w:sz w:val="28"/>
          <w:szCs w:val="28"/>
          <w:lang w:val="kk-KZ"/>
        </w:rPr>
        <w:fldChar w:fldCharType="end"/>
      </w:r>
      <w:r w:rsidR="00773F07">
        <w:rPr>
          <w:rFonts w:ascii="Times New Roman" w:hAnsi="Times New Roman" w:cs="Times New Roman"/>
          <w:sz w:val="28"/>
          <w:szCs w:val="28"/>
          <w:lang w:val="kk-KZ"/>
        </w:rPr>
        <w:t>.</w:t>
      </w:r>
    </w:p>
    <w:p w14:paraId="43E0BC4F" w14:textId="377D8296"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Для дополнительной интерпретации и упрощения применения результатов структурного моделирования на практике, представляется целесообразным выразить выявленные зависимости в виде линейных математических моделей. Каждое из трёх уравнений отражает влияние драйверов инновационного развития (латентная переменная </w:t>
      </w:r>
      <m:oMath>
        <m:r>
          <w:rPr>
            <w:rFonts w:ascii="Cambria Math" w:hAnsi="Cambria Math"/>
            <w:sz w:val="28"/>
            <w:szCs w:val="28"/>
            <w:lang w:val="en-US"/>
          </w:rPr>
          <m:t>Exo</m:t>
        </m:r>
        <m:r>
          <w:rPr>
            <w:rFonts w:ascii="Cambria Math" w:hAnsi="Cambria Math"/>
            <w:sz w:val="28"/>
            <w:szCs w:val="28"/>
          </w:rPr>
          <m:t>1</m:t>
        </m:r>
      </m:oMath>
      <w:r w:rsidRPr="000C1190">
        <w:rPr>
          <w:rFonts w:ascii="Times New Roman" w:hAnsi="Times New Roman" w:cs="Times New Roman"/>
          <w:sz w:val="28"/>
          <w:szCs w:val="28"/>
          <w:lang w:val="kk-KZ"/>
        </w:rPr>
        <w:t xml:space="preserve">) как напрямую, так и опосредованно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через медиатор </w:t>
      </w:r>
      <w:r w:rsidR="00191BC3">
        <w:rPr>
          <w:rFonts w:ascii="Times New Roman" w:hAnsi="Times New Roman" w:cs="Times New Roman"/>
          <w:sz w:val="28"/>
          <w:szCs w:val="28"/>
          <w:lang w:val="kk-KZ"/>
        </w:rPr>
        <w:t>Индекса цифровой зрелости (</w:t>
      </w:r>
      <m:oMath>
        <m:r>
          <m:rPr>
            <m:sty m:val="p"/>
          </m:rPr>
          <w:rPr>
            <w:rFonts w:ascii="Cambria Math" w:hAnsi="Cambria Math"/>
            <w:sz w:val="28"/>
            <w:szCs w:val="28"/>
            <w:lang w:val="kk-KZ"/>
          </w:rPr>
          <m:t>Digitalization Index</m:t>
        </m:r>
      </m:oMath>
      <w:r w:rsidR="00191BC3">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на субъективную оценку инновационного потенциала (</w:t>
      </w:r>
      <m:oMath>
        <m:r>
          <w:rPr>
            <w:rFonts w:ascii="Cambria Math" w:hAnsi="Cambria Math"/>
            <w:sz w:val="28"/>
            <w:szCs w:val="28"/>
            <w:lang w:val="kk-KZ"/>
          </w:rPr>
          <m:t>IP</m:t>
        </m:r>
      </m:oMath>
      <w:r w:rsidRPr="000C1190">
        <w:rPr>
          <w:rFonts w:ascii="Times New Roman" w:hAnsi="Times New Roman" w:cs="Times New Roman"/>
          <w:sz w:val="28"/>
          <w:szCs w:val="28"/>
          <w:lang w:val="kk-KZ"/>
        </w:rPr>
        <w:t>).</w:t>
      </w:r>
    </w:p>
    <w:p w14:paraId="1FA4FA84" w14:textId="549881AF" w:rsid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Таким образом, каждая модель включает два уравнения: первое описывает влияние драйверов на уровень цифров</w:t>
      </w:r>
      <w:r w:rsidR="00191BC3">
        <w:rPr>
          <w:rFonts w:ascii="Times New Roman" w:hAnsi="Times New Roman" w:cs="Times New Roman"/>
          <w:sz w:val="28"/>
          <w:szCs w:val="28"/>
          <w:lang w:val="kk-KZ"/>
        </w:rPr>
        <w:t>ой зрелости</w:t>
      </w:r>
      <w:r w:rsidR="004558B1">
        <w:rPr>
          <w:rFonts w:ascii="Times New Roman" w:hAnsi="Times New Roman" w:cs="Times New Roman"/>
          <w:sz w:val="28"/>
          <w:szCs w:val="28"/>
          <w:lang w:val="kk-KZ"/>
        </w:rPr>
        <w:t xml:space="preserve"> (1</w:t>
      </w:r>
      <w:r w:rsidR="00FD618C">
        <w:rPr>
          <w:rFonts w:ascii="Times New Roman" w:hAnsi="Times New Roman" w:cs="Times New Roman"/>
          <w:sz w:val="28"/>
          <w:szCs w:val="28"/>
          <w:lang w:val="kk-KZ"/>
        </w:rPr>
        <w:t>3</w:t>
      </w:r>
      <w:r w:rsidR="004558B1">
        <w:rPr>
          <w:rFonts w:ascii="Times New Roman" w:hAnsi="Times New Roman" w:cs="Times New Roman"/>
          <w:sz w:val="28"/>
          <w:szCs w:val="28"/>
          <w:lang w:val="kk-KZ"/>
        </w:rPr>
        <w:t>), (1</w:t>
      </w:r>
      <w:r w:rsidR="00FD618C">
        <w:rPr>
          <w:rFonts w:ascii="Times New Roman" w:hAnsi="Times New Roman" w:cs="Times New Roman"/>
          <w:sz w:val="28"/>
          <w:szCs w:val="28"/>
          <w:lang w:val="kk-KZ"/>
        </w:rPr>
        <w:t>5</w:t>
      </w:r>
      <w:r w:rsidR="004558B1">
        <w:rPr>
          <w:rFonts w:ascii="Times New Roman" w:hAnsi="Times New Roman" w:cs="Times New Roman"/>
          <w:sz w:val="28"/>
          <w:szCs w:val="28"/>
          <w:lang w:val="kk-KZ"/>
        </w:rPr>
        <w:t>), (1</w:t>
      </w:r>
      <w:r w:rsidR="00FD618C">
        <w:rPr>
          <w:rFonts w:ascii="Times New Roman" w:hAnsi="Times New Roman" w:cs="Times New Roman"/>
          <w:sz w:val="28"/>
          <w:szCs w:val="28"/>
          <w:lang w:val="kk-KZ"/>
        </w:rPr>
        <w:t>7</w:t>
      </w:r>
      <w:r w:rsidR="004558B1">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второе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влияние как драйверов, так и цифров</w:t>
      </w:r>
      <w:r w:rsidR="00191BC3">
        <w:rPr>
          <w:rFonts w:ascii="Times New Roman" w:hAnsi="Times New Roman" w:cs="Times New Roman"/>
          <w:sz w:val="28"/>
          <w:szCs w:val="28"/>
          <w:lang w:val="kk-KZ"/>
        </w:rPr>
        <w:t>ой зрелости</w:t>
      </w:r>
      <w:r w:rsidRPr="000C1190">
        <w:rPr>
          <w:rFonts w:ascii="Times New Roman" w:hAnsi="Times New Roman" w:cs="Times New Roman"/>
          <w:sz w:val="28"/>
          <w:szCs w:val="28"/>
          <w:lang w:val="kk-KZ"/>
        </w:rPr>
        <w:t xml:space="preserve"> на инновационный потенциал</w:t>
      </w:r>
      <w:r w:rsidR="00C46283">
        <w:rPr>
          <w:rFonts w:ascii="Times New Roman" w:hAnsi="Times New Roman" w:cs="Times New Roman"/>
          <w:sz w:val="28"/>
          <w:szCs w:val="28"/>
          <w:lang w:val="kk-KZ"/>
        </w:rPr>
        <w:t xml:space="preserve"> (</w:t>
      </w:r>
      <w:r w:rsidR="004558B1">
        <w:rPr>
          <w:rFonts w:ascii="Times New Roman" w:hAnsi="Times New Roman" w:cs="Times New Roman"/>
          <w:sz w:val="28"/>
          <w:szCs w:val="28"/>
          <w:lang w:val="kk-KZ"/>
        </w:rPr>
        <w:t>1</w:t>
      </w:r>
      <w:r w:rsidR="00FD618C">
        <w:rPr>
          <w:rFonts w:ascii="Times New Roman" w:hAnsi="Times New Roman" w:cs="Times New Roman"/>
          <w:sz w:val="28"/>
          <w:szCs w:val="28"/>
          <w:lang w:val="kk-KZ"/>
        </w:rPr>
        <w:t>4</w:t>
      </w:r>
      <w:r w:rsidR="004558B1">
        <w:rPr>
          <w:rFonts w:ascii="Times New Roman" w:hAnsi="Times New Roman" w:cs="Times New Roman"/>
          <w:sz w:val="28"/>
          <w:szCs w:val="28"/>
          <w:lang w:val="kk-KZ"/>
        </w:rPr>
        <w:t>), (1</w:t>
      </w:r>
      <w:r w:rsidR="00FD618C">
        <w:rPr>
          <w:rFonts w:ascii="Times New Roman" w:hAnsi="Times New Roman" w:cs="Times New Roman"/>
          <w:sz w:val="28"/>
          <w:szCs w:val="28"/>
          <w:lang w:val="kk-KZ"/>
        </w:rPr>
        <w:t>6</w:t>
      </w:r>
      <w:r w:rsidR="004558B1">
        <w:rPr>
          <w:rFonts w:ascii="Times New Roman" w:hAnsi="Times New Roman" w:cs="Times New Roman"/>
          <w:sz w:val="28"/>
          <w:szCs w:val="28"/>
          <w:lang w:val="kk-KZ"/>
        </w:rPr>
        <w:t xml:space="preserve">), </w:t>
      </w:r>
      <w:r w:rsidR="00C46283">
        <w:rPr>
          <w:rFonts w:ascii="Times New Roman" w:hAnsi="Times New Roman" w:cs="Times New Roman"/>
          <w:sz w:val="28"/>
          <w:szCs w:val="28"/>
          <w:lang w:val="kk-KZ"/>
        </w:rPr>
        <w:t>(1</w:t>
      </w:r>
      <w:r w:rsidR="00FD618C">
        <w:rPr>
          <w:rFonts w:ascii="Times New Roman" w:hAnsi="Times New Roman" w:cs="Times New Roman"/>
          <w:sz w:val="28"/>
          <w:szCs w:val="28"/>
          <w:lang w:val="kk-KZ"/>
        </w:rPr>
        <w:t>8</w:t>
      </w:r>
      <w:r w:rsidR="00C46283">
        <w:rPr>
          <w:rFonts w:ascii="Times New Roman" w:hAnsi="Times New Roman" w:cs="Times New Roman"/>
          <w:sz w:val="28"/>
          <w:szCs w:val="28"/>
          <w:lang w:val="kk-KZ"/>
        </w:rPr>
        <w:t>)</w:t>
      </w:r>
      <w:r w:rsidRPr="000C1190">
        <w:rPr>
          <w:rFonts w:ascii="Times New Roman" w:hAnsi="Times New Roman" w:cs="Times New Roman"/>
          <w:sz w:val="28"/>
          <w:szCs w:val="28"/>
          <w:lang w:val="kk-KZ"/>
        </w:rPr>
        <w:t>.</w:t>
      </w:r>
    </w:p>
    <w:p w14:paraId="20E1CE0D" w14:textId="678A24F6" w:rsidR="00C46283" w:rsidRDefault="00C46283" w:rsidP="002F33D0">
      <w:pPr>
        <w:spacing w:after="0" w:line="240" w:lineRule="auto"/>
        <w:ind w:firstLine="567"/>
        <w:jc w:val="both"/>
        <w:rPr>
          <w:rFonts w:ascii="Times New Roman" w:hAnsi="Times New Roman" w:cs="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4"/>
        <w:gridCol w:w="701"/>
      </w:tblGrid>
      <w:tr w:rsidR="00C46283" w14:paraId="0A475C97" w14:textId="77777777" w:rsidTr="00C46283">
        <w:tc>
          <w:tcPr>
            <w:tcW w:w="8926" w:type="dxa"/>
          </w:tcPr>
          <w:p w14:paraId="62BDAB47" w14:textId="77777777" w:rsidR="00C46283" w:rsidRPr="00773F07" w:rsidRDefault="001D4931" w:rsidP="002F33D0">
            <w:pPr>
              <w:jc w:val="both"/>
              <w:rPr>
                <w:i/>
                <w:sz w:val="28"/>
                <w:szCs w:val="28"/>
              </w:rPr>
            </w:pPr>
            <m:oMathPara>
              <m:oMath>
                <m:sSub>
                  <m:sSubPr>
                    <m:ctrlPr>
                      <w:rPr>
                        <w:rFonts w:ascii="Cambria Math" w:hAnsi="Cambria Math"/>
                        <w:i/>
                        <w:sz w:val="28"/>
                        <w:szCs w:val="28"/>
                        <w:lang w:val="kk-KZ"/>
                      </w:rPr>
                    </m:ctrlPr>
                  </m:sSubPr>
                  <m:e>
                    <m:r>
                      <m:rPr>
                        <m:sty m:val="p"/>
                      </m:rPr>
                      <w:rPr>
                        <w:rFonts w:ascii="Cambria Math" w:hAnsi="Cambria Math"/>
                        <w:sz w:val="28"/>
                        <w:szCs w:val="28"/>
                        <w:lang w:val="kk-KZ"/>
                      </w:rPr>
                      <m:t>Digitalization Index</m:t>
                    </m:r>
                  </m:e>
                  <m:sub>
                    <m:r>
                      <w:rPr>
                        <w:rFonts w:ascii="Cambria Math" w:hAnsi="Cambria Math"/>
                        <w:sz w:val="28"/>
                        <w:szCs w:val="28"/>
                        <w:lang w:val="kk-KZ"/>
                      </w:rPr>
                      <m:t>крупн.</m:t>
                    </m:r>
                  </m:sub>
                </m:sSub>
                <m:r>
                  <w:rPr>
                    <w:rFonts w:ascii="Cambria Math" w:hAnsi="Cambria Math"/>
                    <w:sz w:val="28"/>
                    <w:szCs w:val="28"/>
                    <w:lang w:val="kk-KZ"/>
                  </w:rPr>
                  <m:t>=0,899∙</m:t>
                </m:r>
                <m:r>
                  <w:rPr>
                    <w:rFonts w:ascii="Cambria Math" w:hAnsi="Cambria Math"/>
                    <w:sz w:val="28"/>
                    <w:szCs w:val="28"/>
                    <w:lang w:val="en-US"/>
                  </w:rPr>
                  <m:t>Exo</m:t>
                </m:r>
                <m:r>
                  <w:rPr>
                    <w:rFonts w:ascii="Cambria Math" w:hAnsi="Cambria Math"/>
                    <w:sz w:val="28"/>
                    <w:szCs w:val="28"/>
                  </w:rPr>
                  <m:t>1+</m:t>
                </m:r>
                <m:r>
                  <w:rPr>
                    <w:rFonts w:ascii="Cambria Math" w:hAnsi="Cambria Math"/>
                    <w:sz w:val="28"/>
                    <w:szCs w:val="28"/>
                    <w:lang w:val="en-US"/>
                  </w:rPr>
                  <m:t>ε</m:t>
                </m:r>
              </m:oMath>
            </m:oMathPara>
          </w:p>
          <w:p w14:paraId="42027965" w14:textId="77777777" w:rsidR="00C46283" w:rsidRDefault="00C46283" w:rsidP="002F33D0">
            <w:pPr>
              <w:jc w:val="both"/>
              <w:rPr>
                <w:sz w:val="28"/>
                <w:szCs w:val="28"/>
                <w:lang w:val="kk-KZ"/>
              </w:rPr>
            </w:pPr>
          </w:p>
        </w:tc>
        <w:tc>
          <w:tcPr>
            <w:tcW w:w="702" w:type="dxa"/>
          </w:tcPr>
          <w:p w14:paraId="73F7F38D" w14:textId="479BA483" w:rsidR="00C46283" w:rsidRDefault="00C46283" w:rsidP="00FD618C">
            <w:pPr>
              <w:ind w:firstLine="0"/>
              <w:jc w:val="right"/>
              <w:rPr>
                <w:sz w:val="28"/>
                <w:szCs w:val="28"/>
                <w:lang w:val="kk-KZ"/>
              </w:rPr>
            </w:pPr>
            <w:r>
              <w:rPr>
                <w:sz w:val="28"/>
                <w:szCs w:val="28"/>
                <w:lang w:val="kk-KZ"/>
              </w:rPr>
              <w:t>(</w:t>
            </w:r>
            <w:r w:rsidR="004558B1">
              <w:rPr>
                <w:sz w:val="28"/>
                <w:szCs w:val="28"/>
                <w:lang w:val="kk-KZ"/>
              </w:rPr>
              <w:t>1</w:t>
            </w:r>
            <w:r w:rsidR="00FD618C">
              <w:rPr>
                <w:sz w:val="28"/>
                <w:szCs w:val="28"/>
                <w:lang w:val="kk-KZ"/>
              </w:rPr>
              <w:t>3</w:t>
            </w:r>
            <w:r>
              <w:rPr>
                <w:sz w:val="28"/>
                <w:szCs w:val="28"/>
                <w:lang w:val="kk-KZ"/>
              </w:rPr>
              <w:t>)</w:t>
            </w:r>
          </w:p>
        </w:tc>
      </w:tr>
      <w:tr w:rsidR="00C46283" w14:paraId="662B5795" w14:textId="77777777" w:rsidTr="00C46283">
        <w:tc>
          <w:tcPr>
            <w:tcW w:w="8926" w:type="dxa"/>
          </w:tcPr>
          <w:p w14:paraId="6EB7C3C6" w14:textId="2451EBCC" w:rsidR="00C46283" w:rsidRDefault="001D4931" w:rsidP="002F33D0">
            <w:pPr>
              <w:jc w:val="both"/>
              <w:rPr>
                <w:sz w:val="28"/>
                <w:szCs w:val="28"/>
                <w:lang w:val="kk-KZ"/>
              </w:rPr>
            </w:pPr>
            <m:oMathPara>
              <m:oMath>
                <m:sSub>
                  <m:sSubPr>
                    <m:ctrlPr>
                      <w:rPr>
                        <w:rFonts w:ascii="Cambria Math" w:hAnsi="Cambria Math"/>
                        <w:i/>
                        <w:sz w:val="28"/>
                        <w:szCs w:val="28"/>
                        <w:lang w:val="kk-KZ"/>
                      </w:rPr>
                    </m:ctrlPr>
                  </m:sSubPr>
                  <m:e>
                    <m:r>
                      <w:rPr>
                        <w:rFonts w:ascii="Cambria Math" w:hAnsi="Cambria Math"/>
                        <w:sz w:val="28"/>
                        <w:szCs w:val="28"/>
                        <w:lang w:val="kk-KZ"/>
                      </w:rPr>
                      <m:t>IP</m:t>
                    </m:r>
                  </m:e>
                  <m:sub>
                    <m:r>
                      <w:rPr>
                        <w:rFonts w:ascii="Cambria Math" w:hAnsi="Cambria Math"/>
                        <w:sz w:val="28"/>
                        <w:szCs w:val="28"/>
                        <w:lang w:val="kk-KZ"/>
                      </w:rPr>
                      <m:t>крупн.</m:t>
                    </m:r>
                  </m:sub>
                </m:sSub>
                <m:r>
                  <w:rPr>
                    <w:rFonts w:ascii="Cambria Math" w:hAnsi="Cambria Math"/>
                    <w:sz w:val="28"/>
                    <w:szCs w:val="28"/>
                    <w:lang w:val="kk-KZ"/>
                  </w:rPr>
                  <m:t>=1,411∙</m:t>
                </m:r>
                <m:r>
                  <w:rPr>
                    <w:rFonts w:ascii="Cambria Math" w:hAnsi="Cambria Math"/>
                    <w:sz w:val="28"/>
                    <w:szCs w:val="28"/>
                    <w:lang w:val="en-US"/>
                  </w:rPr>
                  <m:t>Exo</m:t>
                </m:r>
                <m:r>
                  <w:rPr>
                    <w:rFonts w:ascii="Cambria Math" w:hAnsi="Cambria Math"/>
                    <w:sz w:val="28"/>
                    <w:szCs w:val="28"/>
                  </w:rPr>
                  <m:t>1+0,124∙</m:t>
                </m:r>
                <m:r>
                  <m:rPr>
                    <m:sty m:val="p"/>
                  </m:rPr>
                  <w:rPr>
                    <w:rFonts w:ascii="Cambria Math" w:hAnsi="Cambria Math"/>
                    <w:sz w:val="28"/>
                    <w:szCs w:val="28"/>
                    <w:lang w:val="kk-KZ"/>
                  </w:rPr>
                  <m:t>Digitalization Index</m:t>
                </m:r>
                <m:r>
                  <w:rPr>
                    <w:rFonts w:ascii="Cambria Math" w:hAnsi="Cambria Math"/>
                    <w:sz w:val="28"/>
                    <w:szCs w:val="28"/>
                  </w:rPr>
                  <m:t>+</m:t>
                </m:r>
                <m:r>
                  <w:rPr>
                    <w:rFonts w:ascii="Cambria Math" w:hAnsi="Cambria Math"/>
                    <w:sz w:val="28"/>
                    <w:szCs w:val="28"/>
                    <w:lang w:val="en-US"/>
                  </w:rPr>
                  <m:t>ε</m:t>
                </m:r>
              </m:oMath>
            </m:oMathPara>
          </w:p>
        </w:tc>
        <w:tc>
          <w:tcPr>
            <w:tcW w:w="702" w:type="dxa"/>
          </w:tcPr>
          <w:p w14:paraId="1ADE889B" w14:textId="146C93A3" w:rsidR="00C46283" w:rsidRDefault="00C46283" w:rsidP="00FD618C">
            <w:pPr>
              <w:ind w:firstLine="0"/>
              <w:jc w:val="right"/>
              <w:rPr>
                <w:sz w:val="28"/>
                <w:szCs w:val="28"/>
                <w:lang w:val="kk-KZ"/>
              </w:rPr>
            </w:pPr>
            <w:r>
              <w:rPr>
                <w:sz w:val="28"/>
                <w:szCs w:val="28"/>
                <w:lang w:val="kk-KZ"/>
              </w:rPr>
              <w:t>(</w:t>
            </w:r>
            <w:r w:rsidR="004558B1">
              <w:rPr>
                <w:sz w:val="28"/>
                <w:szCs w:val="28"/>
                <w:lang w:val="kk-KZ"/>
              </w:rPr>
              <w:t>1</w:t>
            </w:r>
            <w:r w:rsidR="00FD618C">
              <w:rPr>
                <w:sz w:val="28"/>
                <w:szCs w:val="28"/>
                <w:lang w:val="kk-KZ"/>
              </w:rPr>
              <w:t>4</w:t>
            </w:r>
            <w:r>
              <w:rPr>
                <w:sz w:val="28"/>
                <w:szCs w:val="28"/>
                <w:lang w:val="kk-KZ"/>
              </w:rPr>
              <w:t>)</w:t>
            </w:r>
          </w:p>
        </w:tc>
      </w:tr>
    </w:tbl>
    <w:p w14:paraId="39B8D7A5" w14:textId="77777777" w:rsidR="00C46283" w:rsidRPr="000C1190" w:rsidRDefault="00C46283" w:rsidP="002F33D0">
      <w:pPr>
        <w:spacing w:after="0" w:line="240" w:lineRule="auto"/>
        <w:ind w:firstLine="567"/>
        <w:jc w:val="both"/>
        <w:rPr>
          <w:rFonts w:ascii="Times New Roman" w:hAnsi="Times New Roman" w:cs="Times New Roman"/>
          <w:sz w:val="28"/>
          <w:szCs w:val="28"/>
          <w:lang w:val="kk-KZ"/>
        </w:rPr>
      </w:pPr>
    </w:p>
    <w:p w14:paraId="6EE7F771" w14:textId="2F18BF2F" w:rsid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Влияние </w:t>
      </w:r>
      <w:r w:rsidR="00C46283" w:rsidRPr="000C1190">
        <w:rPr>
          <w:rFonts w:ascii="Times New Roman" w:hAnsi="Times New Roman" w:cs="Times New Roman"/>
          <w:sz w:val="28"/>
          <w:szCs w:val="28"/>
          <w:lang w:val="kk-KZ"/>
        </w:rPr>
        <w:t>цифров</w:t>
      </w:r>
      <w:r w:rsidR="00C46283">
        <w:rPr>
          <w:rFonts w:ascii="Times New Roman" w:hAnsi="Times New Roman" w:cs="Times New Roman"/>
          <w:sz w:val="28"/>
          <w:szCs w:val="28"/>
          <w:lang w:val="kk-KZ"/>
        </w:rPr>
        <w:t>ой зрелости</w:t>
      </w:r>
      <w:r w:rsidR="004558B1">
        <w:rPr>
          <w:rFonts w:ascii="Times New Roman" w:hAnsi="Times New Roman" w:cs="Times New Roman"/>
          <w:sz w:val="28"/>
          <w:szCs w:val="28"/>
          <w:lang w:val="kk-KZ"/>
        </w:rPr>
        <w:t xml:space="preserve"> </w:t>
      </w:r>
      <w:r w:rsidRPr="000C1190">
        <w:rPr>
          <w:rFonts w:ascii="Times New Roman" w:hAnsi="Times New Roman" w:cs="Times New Roman"/>
          <w:sz w:val="28"/>
          <w:szCs w:val="28"/>
        </w:rPr>
        <w:t>на инновационны</w:t>
      </w:r>
      <w:r w:rsidR="004558B1">
        <w:rPr>
          <w:rFonts w:ascii="Times New Roman" w:hAnsi="Times New Roman" w:cs="Times New Roman"/>
          <w:sz w:val="28"/>
          <w:szCs w:val="28"/>
        </w:rPr>
        <w:t>й потенциал незначимо (p=</w:t>
      </w:r>
      <w:r w:rsidRPr="000C1190">
        <w:rPr>
          <w:rFonts w:ascii="Times New Roman" w:hAnsi="Times New Roman" w:cs="Times New Roman"/>
          <w:sz w:val="28"/>
          <w:szCs w:val="28"/>
        </w:rPr>
        <w:t>0,216), медиаторный эффект отсутствует.</w:t>
      </w:r>
    </w:p>
    <w:p w14:paraId="1B0131CF" w14:textId="09286F3B" w:rsidR="00C46283" w:rsidRDefault="00C46283" w:rsidP="002F33D0">
      <w:pPr>
        <w:spacing w:after="0" w:line="240" w:lineRule="auto"/>
        <w:ind w:firstLine="567"/>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4"/>
        <w:gridCol w:w="701"/>
      </w:tblGrid>
      <w:tr w:rsidR="00C46283" w14:paraId="31B4DD26" w14:textId="77777777" w:rsidTr="00C46283">
        <w:tc>
          <w:tcPr>
            <w:tcW w:w="8926" w:type="dxa"/>
          </w:tcPr>
          <w:p w14:paraId="764B24EC" w14:textId="77777777" w:rsidR="00C46283" w:rsidRPr="00773F07" w:rsidRDefault="001D4931" w:rsidP="002F33D0">
            <w:pPr>
              <w:jc w:val="both"/>
              <w:rPr>
                <w:i/>
                <w:sz w:val="28"/>
                <w:szCs w:val="28"/>
              </w:rPr>
            </w:pPr>
            <m:oMathPara>
              <m:oMath>
                <m:sSub>
                  <m:sSubPr>
                    <m:ctrlPr>
                      <w:rPr>
                        <w:rFonts w:ascii="Cambria Math" w:hAnsi="Cambria Math"/>
                        <w:i/>
                        <w:sz w:val="28"/>
                        <w:szCs w:val="28"/>
                        <w:lang w:val="kk-KZ"/>
                      </w:rPr>
                    </m:ctrlPr>
                  </m:sSubPr>
                  <m:e>
                    <m:r>
                      <m:rPr>
                        <m:sty m:val="p"/>
                      </m:rPr>
                      <w:rPr>
                        <w:rFonts w:ascii="Cambria Math" w:hAnsi="Cambria Math"/>
                        <w:sz w:val="28"/>
                        <w:szCs w:val="28"/>
                        <w:lang w:val="kk-KZ"/>
                      </w:rPr>
                      <m:t>Digitalization Index</m:t>
                    </m:r>
                  </m:e>
                  <m:sub>
                    <m:r>
                      <w:rPr>
                        <w:rFonts w:ascii="Cambria Math" w:hAnsi="Cambria Math"/>
                        <w:sz w:val="28"/>
                        <w:szCs w:val="28"/>
                        <w:lang w:val="kk-KZ"/>
                      </w:rPr>
                      <m:t>средн.</m:t>
                    </m:r>
                  </m:sub>
                </m:sSub>
                <m:r>
                  <w:rPr>
                    <w:rFonts w:ascii="Cambria Math" w:hAnsi="Cambria Math"/>
                    <w:sz w:val="28"/>
                    <w:szCs w:val="28"/>
                    <w:lang w:val="kk-KZ"/>
                  </w:rPr>
                  <m:t>=1,137∙</m:t>
                </m:r>
                <m:r>
                  <w:rPr>
                    <w:rFonts w:ascii="Cambria Math" w:hAnsi="Cambria Math"/>
                    <w:sz w:val="28"/>
                    <w:szCs w:val="28"/>
                    <w:lang w:val="en-US"/>
                  </w:rPr>
                  <m:t>Exo</m:t>
                </m:r>
                <m:r>
                  <w:rPr>
                    <w:rFonts w:ascii="Cambria Math" w:hAnsi="Cambria Math"/>
                    <w:sz w:val="28"/>
                    <w:szCs w:val="28"/>
                  </w:rPr>
                  <m:t>1+</m:t>
                </m:r>
                <m:r>
                  <w:rPr>
                    <w:rFonts w:ascii="Cambria Math" w:hAnsi="Cambria Math"/>
                    <w:sz w:val="28"/>
                    <w:szCs w:val="28"/>
                    <w:lang w:val="en-US"/>
                  </w:rPr>
                  <m:t>ε</m:t>
                </m:r>
              </m:oMath>
            </m:oMathPara>
          </w:p>
          <w:p w14:paraId="15DBEDDF" w14:textId="4AB5260A" w:rsidR="00C46283" w:rsidRDefault="00C46283" w:rsidP="002F33D0">
            <w:pPr>
              <w:ind w:firstLine="0"/>
              <w:jc w:val="both"/>
              <w:rPr>
                <w:sz w:val="28"/>
                <w:szCs w:val="28"/>
              </w:rPr>
            </w:pPr>
          </w:p>
        </w:tc>
        <w:tc>
          <w:tcPr>
            <w:tcW w:w="702" w:type="dxa"/>
          </w:tcPr>
          <w:p w14:paraId="3141505D" w14:textId="13BEE7C8" w:rsidR="00C46283" w:rsidRPr="00C46283" w:rsidRDefault="00C46283" w:rsidP="00FD618C">
            <w:pPr>
              <w:ind w:firstLine="0"/>
              <w:jc w:val="right"/>
              <w:rPr>
                <w:sz w:val="28"/>
                <w:szCs w:val="28"/>
                <w:lang w:val="kk-KZ"/>
              </w:rPr>
            </w:pPr>
            <w:r>
              <w:rPr>
                <w:sz w:val="28"/>
                <w:szCs w:val="28"/>
                <w:lang w:val="kk-KZ"/>
              </w:rPr>
              <w:t>(</w:t>
            </w:r>
            <w:r w:rsidR="004558B1">
              <w:rPr>
                <w:sz w:val="28"/>
                <w:szCs w:val="28"/>
                <w:lang w:val="kk-KZ"/>
              </w:rPr>
              <w:t>1</w:t>
            </w:r>
            <w:r w:rsidR="00FD618C">
              <w:rPr>
                <w:sz w:val="28"/>
                <w:szCs w:val="28"/>
                <w:lang w:val="kk-KZ"/>
              </w:rPr>
              <w:t>5</w:t>
            </w:r>
            <w:r>
              <w:rPr>
                <w:sz w:val="28"/>
                <w:szCs w:val="28"/>
                <w:lang w:val="kk-KZ"/>
              </w:rPr>
              <w:t>)</w:t>
            </w:r>
          </w:p>
        </w:tc>
      </w:tr>
      <w:tr w:rsidR="00C46283" w14:paraId="129D3543" w14:textId="77777777" w:rsidTr="00C46283">
        <w:tc>
          <w:tcPr>
            <w:tcW w:w="8926" w:type="dxa"/>
          </w:tcPr>
          <w:p w14:paraId="0294BAB9" w14:textId="2AF18FB6" w:rsidR="00C46283" w:rsidRPr="00C46283" w:rsidRDefault="001D4931" w:rsidP="002F33D0">
            <w:pPr>
              <w:jc w:val="both"/>
              <w:rPr>
                <w:sz w:val="28"/>
                <w:szCs w:val="28"/>
                <w:lang w:val="kk-KZ"/>
              </w:rPr>
            </w:pPr>
            <m:oMathPara>
              <m:oMath>
                <m:sSub>
                  <m:sSubPr>
                    <m:ctrlPr>
                      <w:rPr>
                        <w:rFonts w:ascii="Cambria Math" w:hAnsi="Cambria Math"/>
                        <w:i/>
                        <w:sz w:val="28"/>
                        <w:szCs w:val="28"/>
                        <w:lang w:val="kk-KZ"/>
                      </w:rPr>
                    </m:ctrlPr>
                  </m:sSubPr>
                  <m:e>
                    <m:r>
                      <w:rPr>
                        <w:rFonts w:ascii="Cambria Math" w:hAnsi="Cambria Math"/>
                        <w:sz w:val="28"/>
                        <w:szCs w:val="28"/>
                        <w:lang w:val="kk-KZ"/>
                      </w:rPr>
                      <m:t>IP</m:t>
                    </m:r>
                  </m:e>
                  <m:sub>
                    <m:r>
                      <w:rPr>
                        <w:rFonts w:ascii="Cambria Math" w:hAnsi="Cambria Math"/>
                        <w:sz w:val="28"/>
                        <w:szCs w:val="28"/>
                        <w:lang w:val="kk-KZ"/>
                      </w:rPr>
                      <m:t>средн.</m:t>
                    </m:r>
                  </m:sub>
                </m:sSub>
                <m:r>
                  <w:rPr>
                    <w:rFonts w:ascii="Cambria Math" w:hAnsi="Cambria Math"/>
                    <w:sz w:val="28"/>
                    <w:szCs w:val="28"/>
                    <w:lang w:val="kk-KZ"/>
                  </w:rPr>
                  <m:t>=1,325∙</m:t>
                </m:r>
                <m:r>
                  <w:rPr>
                    <w:rFonts w:ascii="Cambria Math" w:hAnsi="Cambria Math"/>
                    <w:sz w:val="28"/>
                    <w:szCs w:val="28"/>
                    <w:lang w:val="en-US"/>
                  </w:rPr>
                  <m:t>Exo</m:t>
                </m:r>
                <m:r>
                  <w:rPr>
                    <w:rFonts w:ascii="Cambria Math" w:hAnsi="Cambria Math"/>
                    <w:sz w:val="28"/>
                    <w:szCs w:val="28"/>
                  </w:rPr>
                  <m:t>1+0,233∙</m:t>
                </m:r>
                <m:r>
                  <m:rPr>
                    <m:sty m:val="p"/>
                  </m:rPr>
                  <w:rPr>
                    <w:rFonts w:ascii="Cambria Math" w:hAnsi="Cambria Math"/>
                    <w:sz w:val="28"/>
                    <w:szCs w:val="28"/>
                    <w:lang w:val="kk-KZ"/>
                  </w:rPr>
                  <m:t>Digitalization Index</m:t>
                </m:r>
                <m:r>
                  <w:rPr>
                    <w:rFonts w:ascii="Cambria Math" w:hAnsi="Cambria Math"/>
                    <w:sz w:val="28"/>
                    <w:szCs w:val="28"/>
                  </w:rPr>
                  <m:t>+</m:t>
                </m:r>
                <m:r>
                  <w:rPr>
                    <w:rFonts w:ascii="Cambria Math" w:hAnsi="Cambria Math"/>
                    <w:sz w:val="28"/>
                    <w:szCs w:val="28"/>
                    <w:lang w:val="en-US"/>
                  </w:rPr>
                  <m:t>ε</m:t>
                </m:r>
              </m:oMath>
            </m:oMathPara>
          </w:p>
        </w:tc>
        <w:tc>
          <w:tcPr>
            <w:tcW w:w="702" w:type="dxa"/>
          </w:tcPr>
          <w:p w14:paraId="1ECBFC5D" w14:textId="7D3F051C" w:rsidR="00C46283" w:rsidRPr="00C46283" w:rsidRDefault="00C46283" w:rsidP="00FD618C">
            <w:pPr>
              <w:ind w:firstLine="0"/>
              <w:jc w:val="right"/>
              <w:rPr>
                <w:sz w:val="28"/>
                <w:szCs w:val="28"/>
                <w:lang w:val="kk-KZ"/>
              </w:rPr>
            </w:pPr>
            <w:r>
              <w:rPr>
                <w:sz w:val="28"/>
                <w:szCs w:val="28"/>
                <w:lang w:val="kk-KZ"/>
              </w:rPr>
              <w:t>(</w:t>
            </w:r>
            <w:r w:rsidR="004558B1">
              <w:rPr>
                <w:sz w:val="28"/>
                <w:szCs w:val="28"/>
                <w:lang w:val="kk-KZ"/>
              </w:rPr>
              <w:t>1</w:t>
            </w:r>
            <w:r w:rsidR="00FD618C">
              <w:rPr>
                <w:sz w:val="28"/>
                <w:szCs w:val="28"/>
                <w:lang w:val="kk-KZ"/>
              </w:rPr>
              <w:t>6</w:t>
            </w:r>
            <w:r>
              <w:rPr>
                <w:sz w:val="28"/>
                <w:szCs w:val="28"/>
                <w:lang w:val="kk-KZ"/>
              </w:rPr>
              <w:t>)</w:t>
            </w:r>
          </w:p>
        </w:tc>
      </w:tr>
    </w:tbl>
    <w:p w14:paraId="1B86F690"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p>
    <w:p w14:paraId="23ADB24E" w14:textId="755F1225" w:rsid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Медиаторный путь выражен умеренно, влияние </w:t>
      </w:r>
      <w:r w:rsidR="00C46283" w:rsidRPr="000C1190">
        <w:rPr>
          <w:rFonts w:ascii="Times New Roman" w:hAnsi="Times New Roman" w:cs="Times New Roman"/>
          <w:sz w:val="28"/>
          <w:szCs w:val="28"/>
          <w:lang w:val="kk-KZ"/>
        </w:rPr>
        <w:t>цифров</w:t>
      </w:r>
      <w:r w:rsidR="00C46283">
        <w:rPr>
          <w:rFonts w:ascii="Times New Roman" w:hAnsi="Times New Roman" w:cs="Times New Roman"/>
          <w:sz w:val="28"/>
          <w:szCs w:val="28"/>
          <w:lang w:val="kk-KZ"/>
        </w:rPr>
        <w:t xml:space="preserve">ой зрелости </w:t>
      </w:r>
      <w:r w:rsidRPr="000C1190">
        <w:rPr>
          <w:rFonts w:ascii="Times New Roman" w:hAnsi="Times New Roman" w:cs="Times New Roman"/>
          <w:sz w:val="28"/>
          <w:szCs w:val="28"/>
        </w:rPr>
        <w:t>близко к</w:t>
      </w:r>
      <w:r w:rsidR="004558B1">
        <w:rPr>
          <w:rFonts w:ascii="Times New Roman" w:hAnsi="Times New Roman" w:cs="Times New Roman"/>
          <w:sz w:val="28"/>
          <w:szCs w:val="28"/>
        </w:rPr>
        <w:t xml:space="preserve"> статистической значимости (p=</w:t>
      </w:r>
      <w:r w:rsidRPr="000C1190">
        <w:rPr>
          <w:rFonts w:ascii="Times New Roman" w:hAnsi="Times New Roman" w:cs="Times New Roman"/>
          <w:sz w:val="28"/>
          <w:szCs w:val="28"/>
        </w:rPr>
        <w:t>0,053).</w:t>
      </w:r>
    </w:p>
    <w:p w14:paraId="2B5EFC47" w14:textId="4000C23C" w:rsidR="00C46283" w:rsidRDefault="00C46283" w:rsidP="002F33D0">
      <w:pPr>
        <w:spacing w:after="0" w:line="240" w:lineRule="auto"/>
        <w:ind w:firstLine="567"/>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4"/>
        <w:gridCol w:w="701"/>
      </w:tblGrid>
      <w:tr w:rsidR="00C46283" w14:paraId="0E06D510" w14:textId="77777777" w:rsidTr="00C46283">
        <w:tc>
          <w:tcPr>
            <w:tcW w:w="8926" w:type="dxa"/>
          </w:tcPr>
          <w:p w14:paraId="01490B23" w14:textId="77777777" w:rsidR="00C46283" w:rsidRPr="00773F07" w:rsidRDefault="001D4931" w:rsidP="002F33D0">
            <w:pPr>
              <w:jc w:val="both"/>
              <w:rPr>
                <w:i/>
                <w:sz w:val="28"/>
                <w:szCs w:val="28"/>
              </w:rPr>
            </w:pPr>
            <m:oMathPara>
              <m:oMath>
                <m:sSub>
                  <m:sSubPr>
                    <m:ctrlPr>
                      <w:rPr>
                        <w:rFonts w:ascii="Cambria Math" w:hAnsi="Cambria Math"/>
                        <w:i/>
                        <w:sz w:val="28"/>
                        <w:szCs w:val="28"/>
                        <w:lang w:val="kk-KZ"/>
                      </w:rPr>
                    </m:ctrlPr>
                  </m:sSubPr>
                  <m:e>
                    <m:r>
                      <m:rPr>
                        <m:sty m:val="p"/>
                      </m:rPr>
                      <w:rPr>
                        <w:rFonts w:ascii="Cambria Math" w:hAnsi="Cambria Math"/>
                        <w:sz w:val="28"/>
                        <w:szCs w:val="28"/>
                        <w:lang w:val="kk-KZ"/>
                      </w:rPr>
                      <m:t>Digitalization Index</m:t>
                    </m:r>
                  </m:e>
                  <m:sub>
                    <m:r>
                      <w:rPr>
                        <w:rFonts w:ascii="Cambria Math" w:hAnsi="Cambria Math"/>
                        <w:sz w:val="28"/>
                        <w:szCs w:val="28"/>
                        <w:lang w:val="kk-KZ"/>
                      </w:rPr>
                      <m:t>мал.</m:t>
                    </m:r>
                  </m:sub>
                </m:sSub>
                <m:r>
                  <w:rPr>
                    <w:rFonts w:ascii="Cambria Math" w:hAnsi="Cambria Math"/>
                    <w:sz w:val="28"/>
                    <w:szCs w:val="28"/>
                    <w:lang w:val="kk-KZ"/>
                  </w:rPr>
                  <m:t>=1,173∙</m:t>
                </m:r>
                <m:r>
                  <w:rPr>
                    <w:rFonts w:ascii="Cambria Math" w:hAnsi="Cambria Math"/>
                    <w:sz w:val="28"/>
                    <w:szCs w:val="28"/>
                    <w:lang w:val="en-US"/>
                  </w:rPr>
                  <m:t>Exo</m:t>
                </m:r>
                <m:r>
                  <w:rPr>
                    <w:rFonts w:ascii="Cambria Math" w:hAnsi="Cambria Math"/>
                    <w:sz w:val="28"/>
                    <w:szCs w:val="28"/>
                  </w:rPr>
                  <m:t>1+</m:t>
                </m:r>
                <m:r>
                  <w:rPr>
                    <w:rFonts w:ascii="Cambria Math" w:hAnsi="Cambria Math"/>
                    <w:sz w:val="28"/>
                    <w:szCs w:val="28"/>
                    <w:lang w:val="en-US"/>
                  </w:rPr>
                  <m:t>ε</m:t>
                </m:r>
              </m:oMath>
            </m:oMathPara>
          </w:p>
          <w:p w14:paraId="5022EF4B" w14:textId="77777777" w:rsidR="00C46283" w:rsidRDefault="00C46283" w:rsidP="002F33D0">
            <w:pPr>
              <w:jc w:val="both"/>
              <w:rPr>
                <w:sz w:val="28"/>
                <w:szCs w:val="28"/>
              </w:rPr>
            </w:pPr>
          </w:p>
        </w:tc>
        <w:tc>
          <w:tcPr>
            <w:tcW w:w="702" w:type="dxa"/>
          </w:tcPr>
          <w:p w14:paraId="6742F03A" w14:textId="0CFBD859" w:rsidR="00C46283" w:rsidRPr="00C46283" w:rsidRDefault="00C46283" w:rsidP="00FD618C">
            <w:pPr>
              <w:ind w:firstLine="0"/>
              <w:jc w:val="right"/>
              <w:rPr>
                <w:sz w:val="28"/>
                <w:szCs w:val="28"/>
                <w:lang w:val="kk-KZ"/>
              </w:rPr>
            </w:pPr>
            <w:r>
              <w:rPr>
                <w:sz w:val="28"/>
                <w:szCs w:val="28"/>
                <w:lang w:val="kk-KZ"/>
              </w:rPr>
              <w:t>(</w:t>
            </w:r>
            <w:r w:rsidR="004558B1">
              <w:rPr>
                <w:sz w:val="28"/>
                <w:szCs w:val="28"/>
                <w:lang w:val="kk-KZ"/>
              </w:rPr>
              <w:t>1</w:t>
            </w:r>
            <w:r w:rsidR="00FD618C">
              <w:rPr>
                <w:sz w:val="28"/>
                <w:szCs w:val="28"/>
                <w:lang w:val="kk-KZ"/>
              </w:rPr>
              <w:t>7</w:t>
            </w:r>
            <w:r>
              <w:rPr>
                <w:sz w:val="28"/>
                <w:szCs w:val="28"/>
                <w:lang w:val="kk-KZ"/>
              </w:rPr>
              <w:t>)</w:t>
            </w:r>
          </w:p>
        </w:tc>
      </w:tr>
      <w:tr w:rsidR="00C46283" w14:paraId="576940EA" w14:textId="77777777" w:rsidTr="00C46283">
        <w:tc>
          <w:tcPr>
            <w:tcW w:w="8926" w:type="dxa"/>
          </w:tcPr>
          <w:p w14:paraId="3728812F" w14:textId="7C4F32E3" w:rsidR="00C46283" w:rsidRPr="00C46283" w:rsidRDefault="001D4931" w:rsidP="002F33D0">
            <w:pPr>
              <w:jc w:val="both"/>
              <w:rPr>
                <w:sz w:val="28"/>
                <w:szCs w:val="28"/>
                <w:lang w:val="kk-KZ"/>
              </w:rPr>
            </w:pPr>
            <m:oMathPara>
              <m:oMath>
                <m:sSub>
                  <m:sSubPr>
                    <m:ctrlPr>
                      <w:rPr>
                        <w:rFonts w:ascii="Cambria Math" w:hAnsi="Cambria Math"/>
                        <w:i/>
                        <w:sz w:val="28"/>
                        <w:szCs w:val="28"/>
                        <w:lang w:val="kk-KZ"/>
                      </w:rPr>
                    </m:ctrlPr>
                  </m:sSubPr>
                  <m:e>
                    <m:r>
                      <w:rPr>
                        <w:rFonts w:ascii="Cambria Math" w:hAnsi="Cambria Math"/>
                        <w:sz w:val="28"/>
                        <w:szCs w:val="28"/>
                        <w:lang w:val="kk-KZ"/>
                      </w:rPr>
                      <m:t>IP</m:t>
                    </m:r>
                  </m:e>
                  <m:sub>
                    <m:r>
                      <w:rPr>
                        <w:rFonts w:ascii="Cambria Math" w:hAnsi="Cambria Math"/>
                        <w:sz w:val="28"/>
                        <w:szCs w:val="28"/>
                        <w:lang w:val="kk-KZ"/>
                      </w:rPr>
                      <m:t>мал.</m:t>
                    </m:r>
                  </m:sub>
                </m:sSub>
                <m:r>
                  <w:rPr>
                    <w:rFonts w:ascii="Cambria Math" w:hAnsi="Cambria Math"/>
                    <w:sz w:val="28"/>
                    <w:szCs w:val="28"/>
                    <w:lang w:val="kk-KZ"/>
                  </w:rPr>
                  <m:t>=1,216∙</m:t>
                </m:r>
                <m:r>
                  <w:rPr>
                    <w:rFonts w:ascii="Cambria Math" w:hAnsi="Cambria Math"/>
                    <w:sz w:val="28"/>
                    <w:szCs w:val="28"/>
                    <w:lang w:val="en-US"/>
                  </w:rPr>
                  <m:t>Exo</m:t>
                </m:r>
                <m:r>
                  <w:rPr>
                    <w:rFonts w:ascii="Cambria Math" w:hAnsi="Cambria Math"/>
                    <w:sz w:val="28"/>
                    <w:szCs w:val="28"/>
                  </w:rPr>
                  <m:t>1+0,203∙</m:t>
                </m:r>
                <m:r>
                  <m:rPr>
                    <m:sty m:val="p"/>
                  </m:rPr>
                  <w:rPr>
                    <w:rFonts w:ascii="Cambria Math" w:hAnsi="Cambria Math"/>
                    <w:sz w:val="28"/>
                    <w:szCs w:val="28"/>
                    <w:lang w:val="kk-KZ"/>
                  </w:rPr>
                  <m:t>Digitalization Index</m:t>
                </m:r>
                <m:r>
                  <w:rPr>
                    <w:rFonts w:ascii="Cambria Math" w:hAnsi="Cambria Math"/>
                    <w:sz w:val="28"/>
                    <w:szCs w:val="28"/>
                  </w:rPr>
                  <m:t>+</m:t>
                </m:r>
                <m:r>
                  <w:rPr>
                    <w:rFonts w:ascii="Cambria Math" w:hAnsi="Cambria Math"/>
                    <w:sz w:val="28"/>
                    <w:szCs w:val="28"/>
                    <w:lang w:val="en-US"/>
                  </w:rPr>
                  <m:t>ε</m:t>
                </m:r>
              </m:oMath>
            </m:oMathPara>
          </w:p>
        </w:tc>
        <w:tc>
          <w:tcPr>
            <w:tcW w:w="702" w:type="dxa"/>
          </w:tcPr>
          <w:p w14:paraId="27F0AEA9" w14:textId="442B5957" w:rsidR="00C46283" w:rsidRPr="00C46283" w:rsidRDefault="00C46283" w:rsidP="00FD618C">
            <w:pPr>
              <w:ind w:firstLine="0"/>
              <w:jc w:val="right"/>
              <w:rPr>
                <w:sz w:val="28"/>
                <w:szCs w:val="28"/>
                <w:lang w:val="kk-KZ"/>
              </w:rPr>
            </w:pPr>
            <w:r>
              <w:rPr>
                <w:sz w:val="28"/>
                <w:szCs w:val="28"/>
                <w:lang w:val="kk-KZ"/>
              </w:rPr>
              <w:t>(</w:t>
            </w:r>
            <w:r w:rsidR="004558B1">
              <w:rPr>
                <w:sz w:val="28"/>
                <w:szCs w:val="28"/>
                <w:lang w:val="kk-KZ"/>
              </w:rPr>
              <w:t>1</w:t>
            </w:r>
            <w:r w:rsidR="00FD618C">
              <w:rPr>
                <w:sz w:val="28"/>
                <w:szCs w:val="28"/>
                <w:lang w:val="kk-KZ"/>
              </w:rPr>
              <w:t>8</w:t>
            </w:r>
            <w:r>
              <w:rPr>
                <w:sz w:val="28"/>
                <w:szCs w:val="28"/>
                <w:lang w:val="kk-KZ"/>
              </w:rPr>
              <w:t>)</w:t>
            </w:r>
          </w:p>
        </w:tc>
      </w:tr>
    </w:tbl>
    <w:p w14:paraId="599E1275" w14:textId="1B6D3EC9" w:rsidR="000C1190" w:rsidRPr="000C1190" w:rsidRDefault="000C1190" w:rsidP="002F33D0">
      <w:pPr>
        <w:spacing w:after="0" w:line="240" w:lineRule="auto"/>
        <w:jc w:val="both"/>
        <w:rPr>
          <w:rFonts w:ascii="Times New Roman" w:hAnsi="Times New Roman" w:cs="Times New Roman"/>
          <w:sz w:val="28"/>
          <w:szCs w:val="28"/>
        </w:rPr>
      </w:pPr>
    </w:p>
    <w:p w14:paraId="22FD7296" w14:textId="2D137973"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В данной группе </w:t>
      </w:r>
      <w:r w:rsidR="00C46283" w:rsidRPr="000C1190">
        <w:rPr>
          <w:rFonts w:ascii="Times New Roman" w:hAnsi="Times New Roman" w:cs="Times New Roman"/>
          <w:sz w:val="28"/>
          <w:szCs w:val="28"/>
          <w:lang w:val="kk-KZ"/>
        </w:rPr>
        <w:t>цифров</w:t>
      </w:r>
      <w:r w:rsidR="00C46283">
        <w:rPr>
          <w:rFonts w:ascii="Times New Roman" w:hAnsi="Times New Roman" w:cs="Times New Roman"/>
          <w:sz w:val="28"/>
          <w:szCs w:val="28"/>
          <w:lang w:val="kk-KZ"/>
        </w:rPr>
        <w:t xml:space="preserve">ая зрелость </w:t>
      </w:r>
      <w:r w:rsidRPr="000C1190">
        <w:rPr>
          <w:rFonts w:ascii="Times New Roman" w:hAnsi="Times New Roman" w:cs="Times New Roman"/>
          <w:sz w:val="28"/>
          <w:szCs w:val="28"/>
        </w:rPr>
        <w:t>выступает значимым медиатором, усиливая влияние драйверов на иннов</w:t>
      </w:r>
      <w:r w:rsidR="004558B1">
        <w:rPr>
          <w:rFonts w:ascii="Times New Roman" w:hAnsi="Times New Roman" w:cs="Times New Roman"/>
          <w:sz w:val="28"/>
          <w:szCs w:val="28"/>
        </w:rPr>
        <w:t>ационный потенциал (p=</w:t>
      </w:r>
      <w:r w:rsidRPr="000C1190">
        <w:rPr>
          <w:rFonts w:ascii="Times New Roman" w:hAnsi="Times New Roman" w:cs="Times New Roman"/>
          <w:sz w:val="28"/>
          <w:szCs w:val="28"/>
        </w:rPr>
        <w:t>0,024).</w:t>
      </w:r>
    </w:p>
    <w:p w14:paraId="70219EC9" w14:textId="4E90AC2B" w:rsidR="000C1190" w:rsidRPr="000C1190" w:rsidRDefault="000C1190" w:rsidP="002F33D0">
      <w:pPr>
        <w:spacing w:after="0" w:line="240" w:lineRule="auto"/>
        <w:ind w:firstLine="567"/>
        <w:jc w:val="both"/>
        <w:rPr>
          <w:rFonts w:ascii="Times New Roman" w:hAnsi="Times New Roman" w:cs="Times New Roman"/>
          <w:sz w:val="28"/>
          <w:szCs w:val="28"/>
        </w:rPr>
      </w:pPr>
      <w:r w:rsidRPr="000C1190">
        <w:rPr>
          <w:rFonts w:ascii="Times New Roman" w:hAnsi="Times New Roman" w:cs="Times New Roman"/>
          <w:sz w:val="28"/>
          <w:szCs w:val="28"/>
        </w:rPr>
        <w:t xml:space="preserve">Таким образом, формализация структурных моделей подчёркивает различия в роли </w:t>
      </w:r>
      <w:r w:rsidR="00C46283" w:rsidRPr="000C1190">
        <w:rPr>
          <w:rFonts w:ascii="Times New Roman" w:hAnsi="Times New Roman" w:cs="Times New Roman"/>
          <w:sz w:val="28"/>
          <w:szCs w:val="28"/>
          <w:lang w:val="kk-KZ"/>
        </w:rPr>
        <w:t>цифров</w:t>
      </w:r>
      <w:r w:rsidR="00C46283">
        <w:rPr>
          <w:rFonts w:ascii="Times New Roman" w:hAnsi="Times New Roman" w:cs="Times New Roman"/>
          <w:sz w:val="28"/>
          <w:szCs w:val="28"/>
          <w:lang w:val="kk-KZ"/>
        </w:rPr>
        <w:t xml:space="preserve">ой зрелости </w:t>
      </w:r>
      <w:r w:rsidRPr="000C1190">
        <w:rPr>
          <w:rFonts w:ascii="Times New Roman" w:hAnsi="Times New Roman" w:cs="Times New Roman"/>
          <w:sz w:val="28"/>
          <w:szCs w:val="28"/>
        </w:rPr>
        <w:t xml:space="preserve">в зависимости от масштаба предпринимательской деятельности: от компенсаторного инструмента в малом бизнесе </w:t>
      </w:r>
      <w:r w:rsidR="009D20AE">
        <w:rPr>
          <w:rFonts w:ascii="Times New Roman" w:hAnsi="Times New Roman" w:cs="Times New Roman"/>
          <w:sz w:val="28"/>
          <w:szCs w:val="28"/>
        </w:rPr>
        <w:t>–</w:t>
      </w:r>
      <w:r w:rsidRPr="000C1190">
        <w:rPr>
          <w:rFonts w:ascii="Times New Roman" w:hAnsi="Times New Roman" w:cs="Times New Roman"/>
          <w:sz w:val="28"/>
          <w:szCs w:val="28"/>
        </w:rPr>
        <w:t xml:space="preserve"> до менее значимого компонента в среде крупных организаций </w:t>
      </w:r>
      <w:r w:rsidRPr="000C1190">
        <w:rPr>
          <w:rFonts w:ascii="Times New Roman" w:hAnsi="Times New Roman" w:cs="Times New Roman"/>
          <w:sz w:val="28"/>
          <w:szCs w:val="28"/>
        </w:rPr>
        <w:lastRenderedPageBreak/>
        <w:t>с уже сформированной институциональной системой инновационного управления.</w:t>
      </w:r>
    </w:p>
    <w:p w14:paraId="54D56AFF" w14:textId="77777777" w:rsidR="000C1190" w:rsidRPr="000C1190" w:rsidRDefault="000C1190" w:rsidP="002F33D0">
      <w:pPr>
        <w:spacing w:after="0" w:line="240" w:lineRule="auto"/>
        <w:ind w:firstLine="567"/>
        <w:jc w:val="both"/>
        <w:rPr>
          <w:rFonts w:ascii="Times New Roman" w:hAnsi="Times New Roman" w:cs="Times New Roman"/>
          <w:b/>
          <w:sz w:val="28"/>
          <w:szCs w:val="28"/>
          <w:lang w:val="kk-KZ"/>
        </w:rPr>
      </w:pPr>
      <w:r w:rsidRPr="000C1190">
        <w:rPr>
          <w:rFonts w:ascii="Times New Roman" w:hAnsi="Times New Roman" w:cs="Times New Roman"/>
          <w:b/>
          <w:sz w:val="28"/>
          <w:szCs w:val="28"/>
          <w:lang w:val="kk-KZ"/>
        </w:rPr>
        <w:t>Выводы по разделу 2.3</w:t>
      </w:r>
    </w:p>
    <w:p w14:paraId="1A769AB8" w14:textId="3FE3B4CE"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Результаты анализа подтвердили ключевую гипотезу о медиирующей роли цифровой адаптации в формировании инновационного потенциала предпринимательских структур. Построенная структурная модель показала высокие показатели согласия и статистическую устойчивость, что позволяет утверждать: цифровая зрелость предприятий действительно выступает опосредующим звеном между драйверами инновационного развития и субъективной оценкой инновационного потенциала. Это означает, что управленческие, кадровые и технологические практики усиливают инновационные результаты не только напрямую, но и </w:t>
      </w:r>
      <w:r w:rsidR="00773F07" w:rsidRPr="00773F07">
        <w:rPr>
          <w:rFonts w:ascii="Times New Roman" w:hAnsi="Times New Roman" w:cs="Times New Roman"/>
          <w:sz w:val="28"/>
          <w:szCs w:val="28"/>
          <w:lang w:val="kk-KZ"/>
        </w:rPr>
        <w:t>развитие цифровой среды, отражающей степень цифровой адаптации предприятия</w:t>
      </w:r>
      <w:r w:rsidRPr="000C1190">
        <w:rPr>
          <w:rFonts w:ascii="Times New Roman" w:hAnsi="Times New Roman" w:cs="Times New Roman"/>
          <w:sz w:val="28"/>
          <w:szCs w:val="28"/>
          <w:lang w:val="kk-KZ"/>
        </w:rPr>
        <w:t>, повышающей эффективность внутренних процессов и скорость внедрения инноваций.</w:t>
      </w:r>
    </w:p>
    <w:p w14:paraId="531A55C4" w14:textId="363C2AEA"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Проведённый многогрупповой анализ выявил различия по масштабам предприятий. Для крупных структур цифровая зрелость не оказывает существенного влияния на инновационный потенциал, так как </w:t>
      </w:r>
      <w:r w:rsidR="00773F07" w:rsidRPr="00773F07">
        <w:rPr>
          <w:rFonts w:ascii="Times New Roman" w:hAnsi="Times New Roman" w:cs="Times New Roman"/>
          <w:sz w:val="28"/>
          <w:szCs w:val="28"/>
          <w:lang w:val="kk-KZ"/>
        </w:rPr>
        <w:t>цифровая зрелость у них утратила вариативность и не объясняет различия в инновационном потенциале</w:t>
      </w:r>
      <w:r w:rsidRPr="000C1190">
        <w:rPr>
          <w:rFonts w:ascii="Times New Roman" w:hAnsi="Times New Roman" w:cs="Times New Roman"/>
          <w:sz w:val="28"/>
          <w:szCs w:val="28"/>
          <w:lang w:val="kk-KZ"/>
        </w:rPr>
        <w:t>. В среднем бизнесе цифров</w:t>
      </w:r>
      <w:r w:rsidR="00773F07">
        <w:rPr>
          <w:rFonts w:ascii="Times New Roman" w:hAnsi="Times New Roman" w:cs="Times New Roman"/>
          <w:sz w:val="28"/>
          <w:szCs w:val="28"/>
          <w:lang w:val="kk-KZ"/>
        </w:rPr>
        <w:t>ая зрелость</w:t>
      </w:r>
      <w:r w:rsidRPr="000C1190">
        <w:rPr>
          <w:rFonts w:ascii="Times New Roman" w:hAnsi="Times New Roman" w:cs="Times New Roman"/>
          <w:sz w:val="28"/>
          <w:szCs w:val="28"/>
          <w:lang w:val="kk-KZ"/>
        </w:rPr>
        <w:t xml:space="preserve"> проявляет умеренный медиирующий эффект, постепенно укрепляя связь между драйверами и инновационными результатами. В малых предприятиях этот эффект наиболее выражен: цифровые инструменты становятся ключевым компенсаторным механизмом, позволяющим преодолеть ресурсные и институциональные ограничения и повысить эффективность управления.</w:t>
      </w:r>
    </w:p>
    <w:p w14:paraId="345920A3" w14:textId="56FD2538"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Таким образом, цифровая адаптация выполняет функцию усилителя действия драйверов инновационного развития, трансформируя их влияние в конкретные инновационные результаты. При этом выявленные различия по размерности предприятий подтверждают необходимость дифференцированного подхода к управлению инновационным развитием. Для малого бизнеса приоритетным направлением является ускоренная цифровая </w:t>
      </w:r>
      <w:r w:rsidR="00773F07">
        <w:rPr>
          <w:rFonts w:ascii="Times New Roman" w:hAnsi="Times New Roman" w:cs="Times New Roman"/>
          <w:sz w:val="28"/>
          <w:szCs w:val="28"/>
          <w:lang w:val="kk-KZ"/>
        </w:rPr>
        <w:t>адаптация</w:t>
      </w:r>
      <w:r w:rsidRPr="000C1190">
        <w:rPr>
          <w:rFonts w:ascii="Times New Roman" w:hAnsi="Times New Roman" w:cs="Times New Roman"/>
          <w:sz w:val="28"/>
          <w:szCs w:val="28"/>
          <w:lang w:val="kk-KZ"/>
        </w:rPr>
        <w:t xml:space="preserve"> и развитие цифровых компетенций персонала; для среднего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интеграция цифровых инструментов в управленческие процессы; для крупных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институциональное закрепление инновационных стратегий и расширение экосистемы открытых инноваций.</w:t>
      </w:r>
    </w:p>
    <w:p w14:paraId="5A45DE49" w14:textId="5DE612A4"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Полученные результаты эмпирически подтверждают авторскую концепцию цифровой адаптации как процессного медиатора в системе проектирования инновационного потенциала. Именно согласованность управленческих, кадровых и технологических драйверов </w:t>
      </w:r>
      <w:r w:rsidR="00773F07" w:rsidRPr="00773F07">
        <w:rPr>
          <w:rFonts w:ascii="Times New Roman" w:hAnsi="Times New Roman" w:cs="Times New Roman"/>
          <w:sz w:val="28"/>
          <w:szCs w:val="28"/>
          <w:lang w:val="kk-KZ"/>
        </w:rPr>
        <w:t>с уровнем цифровой адаптации предприятия выступает условием устойчивой инновационной активности</w:t>
      </w:r>
      <w:r w:rsidRPr="000C1190">
        <w:rPr>
          <w:rFonts w:ascii="Times New Roman" w:hAnsi="Times New Roman" w:cs="Times New Roman"/>
          <w:sz w:val="28"/>
          <w:szCs w:val="28"/>
          <w:lang w:val="kk-KZ"/>
        </w:rPr>
        <w:t xml:space="preserve"> и определяет </w:t>
      </w:r>
      <w:r w:rsidR="00773F07" w:rsidRPr="00773F07">
        <w:rPr>
          <w:rFonts w:ascii="Times New Roman" w:hAnsi="Times New Roman" w:cs="Times New Roman"/>
          <w:sz w:val="28"/>
          <w:szCs w:val="28"/>
          <w:lang w:val="kk-KZ"/>
        </w:rPr>
        <w:t>чувствительность предприятия к воздействию внешней среды</w:t>
      </w:r>
      <w:r w:rsidRPr="000C1190">
        <w:rPr>
          <w:rFonts w:ascii="Times New Roman" w:hAnsi="Times New Roman" w:cs="Times New Roman"/>
          <w:sz w:val="28"/>
          <w:szCs w:val="28"/>
          <w:lang w:val="kk-KZ"/>
        </w:rPr>
        <w:t>. Таким образом, цифровая адаптация становится не просто функциональной характеристикой, а системообразующим механизмом, определяющим различия в инновационной динамике предприятий различного масштаба.</w:t>
      </w:r>
    </w:p>
    <w:p w14:paraId="158FE7A9" w14:textId="0D69B8C4" w:rsidR="000C1190" w:rsidRPr="000C1190" w:rsidRDefault="000C1190" w:rsidP="002F33D0">
      <w:pPr>
        <w:spacing w:after="0" w:line="240" w:lineRule="auto"/>
        <w:ind w:firstLine="567"/>
        <w:jc w:val="both"/>
        <w:rPr>
          <w:rFonts w:ascii="Times New Roman" w:hAnsi="Times New Roman" w:cs="Times New Roman"/>
          <w:b/>
          <w:sz w:val="28"/>
          <w:szCs w:val="28"/>
          <w:lang w:val="kk-KZ"/>
        </w:rPr>
      </w:pPr>
      <w:r w:rsidRPr="000C1190">
        <w:rPr>
          <w:rFonts w:ascii="Times New Roman" w:hAnsi="Times New Roman" w:cs="Times New Roman"/>
          <w:b/>
          <w:sz w:val="28"/>
          <w:szCs w:val="28"/>
          <w:lang w:val="kk-KZ"/>
        </w:rPr>
        <w:lastRenderedPageBreak/>
        <w:t xml:space="preserve">Выводы по </w:t>
      </w:r>
      <w:r w:rsidR="0018767C">
        <w:rPr>
          <w:rFonts w:ascii="Times New Roman" w:hAnsi="Times New Roman" w:cs="Times New Roman"/>
          <w:b/>
          <w:sz w:val="28"/>
          <w:szCs w:val="28"/>
          <w:lang w:val="kk-KZ"/>
        </w:rPr>
        <w:t>второй</w:t>
      </w:r>
      <w:r w:rsidRPr="000C1190">
        <w:rPr>
          <w:rFonts w:ascii="Times New Roman" w:hAnsi="Times New Roman" w:cs="Times New Roman"/>
          <w:b/>
          <w:sz w:val="28"/>
          <w:szCs w:val="28"/>
          <w:lang w:val="kk-KZ"/>
        </w:rPr>
        <w:t xml:space="preserve"> главе</w:t>
      </w:r>
    </w:p>
    <w:p w14:paraId="4CB70726" w14:textId="6DF6A1F1"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Во второй главе диссертации проведён комплексный эмпирический анализ внутренних и внешних факторов, определяющих формирование и реализацию инновационного потенциала предпринимательских структур Казахстана, а также оценена роль цифровой адаптации как медиирующего механизма. Полученные результаты подтвердили основные теоретические положения первой главы, согласно которым инновационный потенциал представляет собой многоуровневую систему, основанную на взаимодействии ресурсных, кадровых, культурных и институциональных компонентов в условиях цифровой </w:t>
      </w:r>
      <w:r w:rsidR="00346E72">
        <w:rPr>
          <w:rFonts w:ascii="Times New Roman" w:hAnsi="Times New Roman" w:cs="Times New Roman"/>
          <w:sz w:val="28"/>
          <w:szCs w:val="28"/>
          <w:lang w:val="kk-KZ"/>
        </w:rPr>
        <w:t>адаптации</w:t>
      </w:r>
      <w:r w:rsidRPr="000C1190">
        <w:rPr>
          <w:rFonts w:ascii="Times New Roman" w:hAnsi="Times New Roman" w:cs="Times New Roman"/>
          <w:sz w:val="28"/>
          <w:szCs w:val="28"/>
          <w:lang w:val="kk-KZ"/>
        </w:rPr>
        <w:t>.</w:t>
      </w:r>
    </w:p>
    <w:p w14:paraId="249A24F5" w14:textId="4808DBF3"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 xml:space="preserve">Анализ внутренней структуры инновационного потенциала показал, что ключевую роль в его формировании играют управленческо-инновационные и технологические ресурсы, тогда как финансовый фактор выступает вспомогательным. Эти результаты подтвердили ресурсно-процессную логику модели: именно управленческие и технологические блоки формируют ядро инновационной способности предприятия, а финансовая база обеспечивает устойчивость процессов. В рамках кадрового анализа выявлено, что человеческий капитал является системным драйвером инновационного развития, однако его влияние варьируется по размерности бизнеса. Для крупных предприятий определяющими стали технологические hard-компетенции и ориентация на устойчивое развитие, для средних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сочетание soft- и hard-навыков (креативность, командная работа, технологическое мышление), а для малых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индивидуальные компетенции сотрудников, компенсирующие институциональные ограничения. Эти выводы подтвердили, что инновационный потенциал является функцией качества человеческого капитала, а развитие компетенций </w:t>
      </w:r>
      <w:r w:rsidR="009D20AE">
        <w:rPr>
          <w:rFonts w:ascii="Times New Roman" w:hAnsi="Times New Roman" w:cs="Times New Roman"/>
          <w:sz w:val="28"/>
          <w:szCs w:val="28"/>
          <w:lang w:val="kk-KZ"/>
        </w:rPr>
        <w:t>–</w:t>
      </w:r>
      <w:r w:rsidRPr="000C1190">
        <w:rPr>
          <w:rFonts w:ascii="Times New Roman" w:hAnsi="Times New Roman" w:cs="Times New Roman"/>
          <w:sz w:val="28"/>
          <w:szCs w:val="28"/>
          <w:lang w:val="kk-KZ"/>
        </w:rPr>
        <w:t xml:space="preserve"> центральным элементом его проектирования.</w:t>
      </w:r>
    </w:p>
    <w:p w14:paraId="488890E9"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Исследование инновационной культуры позволило выявить низкий уровень институционализации культурных практик и отсутствие их прямого влияния на инновационный потенциал. Вместе с тем латентный кластерный анализ показал, что высокая инновационная восприимчивость характерна для предприятий с гибкой, частично институционализированной культурой, способной адаптироваться к неопределённости. Это эмпирически подтверждает, что не формальная полнота инструментов, а внутренняя гибкость организационной среды является источником устойчивого инновационного поведения.</w:t>
      </w:r>
    </w:p>
    <w:p w14:paraId="3A2C268B" w14:textId="3765DC28"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Во внешнем контуре установлено, что драйверы и барьеры инновационного развития образуют устойчивые латентные структуры, адекватно отражающие институциональную реальность. Эмпирическая проверка подтвердила, что инновационн</w:t>
      </w:r>
      <w:r w:rsidR="00346E72">
        <w:rPr>
          <w:rFonts w:ascii="Times New Roman" w:hAnsi="Times New Roman" w:cs="Times New Roman"/>
          <w:sz w:val="28"/>
          <w:szCs w:val="28"/>
          <w:lang w:val="kk-KZ"/>
        </w:rPr>
        <w:t xml:space="preserve">ый потенциал </w:t>
      </w:r>
      <w:r w:rsidRPr="000C1190">
        <w:rPr>
          <w:rFonts w:ascii="Times New Roman" w:hAnsi="Times New Roman" w:cs="Times New Roman"/>
          <w:sz w:val="28"/>
          <w:szCs w:val="28"/>
          <w:lang w:val="kk-KZ"/>
        </w:rPr>
        <w:t xml:space="preserve">предприятий напрямую зависит от управленческой поддержки, кадрового потенциала, инновационной культуры и цифровых технологий, тогда как основными препятствиями остаются нехватка финансирования и ограниченный доступ к государственной поддержке. Логистический анализ выявил </w:t>
      </w:r>
      <w:r w:rsidRPr="000C1190">
        <w:rPr>
          <w:rFonts w:ascii="Times New Roman" w:hAnsi="Times New Roman" w:cs="Times New Roman"/>
          <w:sz w:val="28"/>
          <w:szCs w:val="28"/>
          <w:lang w:val="kk-KZ"/>
        </w:rPr>
        <w:lastRenderedPageBreak/>
        <w:t>институциональное неравенство между малыми и крупными предприятиями: вероятность участия малых структур в программах господдержки в 2,7 раза ниже, что объясняется не информированностью, а структурными и ресурсными ограничениями. Эти результаты подтверждают необходимость адаптации инструментов государственной политики к особенностям малого бизнеса и интеграции цифровых решений в механизмы поддержки.</w:t>
      </w:r>
    </w:p>
    <w:p w14:paraId="4ACF6B8D" w14:textId="5D20DAC4"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Заключительный этап анализа продемонстрировал, что цифровая адаптация выполняет ключевую опосредующую функцию в системе формирования инновационного потенциала. Включение индекса цифровой зрелости в структурную модель позволило выявить, что цифров</w:t>
      </w:r>
      <w:r w:rsidR="00346E72">
        <w:rPr>
          <w:rFonts w:ascii="Times New Roman" w:hAnsi="Times New Roman" w:cs="Times New Roman"/>
          <w:sz w:val="28"/>
          <w:szCs w:val="28"/>
          <w:lang w:val="kk-KZ"/>
        </w:rPr>
        <w:t>ая зрелость</w:t>
      </w:r>
      <w:r w:rsidRPr="000C1190">
        <w:rPr>
          <w:rFonts w:ascii="Times New Roman" w:hAnsi="Times New Roman" w:cs="Times New Roman"/>
          <w:sz w:val="28"/>
          <w:szCs w:val="28"/>
          <w:lang w:val="kk-KZ"/>
        </w:rPr>
        <w:t xml:space="preserve"> усиливает действие драйверов инновационного развития и смягчает влияние барьеров. При этом медиирующий эффект наиболее выражен у малых предприятий, умерен у средних и несущественен у крупных, где цифровые технологии уже встроены в управленские процессы. Эти выводы подтверждают авторскую трактовку цифровой адаптации как процессного медиатора в ресурсно-процессном механизме формирования инновационного потенциала.</w:t>
      </w:r>
    </w:p>
    <w:p w14:paraId="125DDDE3"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r w:rsidRPr="000C1190">
        <w:rPr>
          <w:rFonts w:ascii="Times New Roman" w:hAnsi="Times New Roman" w:cs="Times New Roman"/>
          <w:sz w:val="28"/>
          <w:szCs w:val="28"/>
          <w:lang w:val="kk-KZ"/>
        </w:rPr>
        <w:t>Таким образом, результаты второй главы не только эмпирически подтвердили положения теоретической модели, но и создали основу для проектной части диссертации. Установленные взаимосвязи между драйверами, цифровой адаптацией и инновационным потенциалом формируют методологическую базу для разработки модели проектирования и управления инновационным потенциалом предпринимательских структур. Именно цифровая адаптация, интегрирующая ресурсы, компетенции и управленческие механизмы, становится системообразующим элементом, определяющим эффективность инновационного развития и направляющим дальнейшее проектирование инструментов и методик, представленных в третьей главе.</w:t>
      </w:r>
    </w:p>
    <w:p w14:paraId="361602E4" w14:textId="77777777" w:rsidR="000C1190" w:rsidRPr="000C1190" w:rsidRDefault="000C1190" w:rsidP="002F33D0">
      <w:pPr>
        <w:spacing w:after="0" w:line="240" w:lineRule="auto"/>
        <w:ind w:firstLine="567"/>
        <w:jc w:val="both"/>
        <w:rPr>
          <w:rFonts w:ascii="Times New Roman" w:hAnsi="Times New Roman" w:cs="Times New Roman"/>
          <w:sz w:val="28"/>
          <w:szCs w:val="28"/>
          <w:lang w:val="kk-KZ"/>
        </w:rPr>
      </w:pPr>
    </w:p>
    <w:p w14:paraId="701FFF9C" w14:textId="33897A49" w:rsidR="000547B4" w:rsidRDefault="000547B4" w:rsidP="002F33D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5A7B9953" w14:textId="77777777" w:rsidR="002F33D0" w:rsidRPr="004B6734" w:rsidRDefault="002F33D0" w:rsidP="002F33D0">
      <w:pPr>
        <w:spacing w:after="0" w:line="240" w:lineRule="auto"/>
        <w:ind w:firstLine="567"/>
        <w:jc w:val="both"/>
        <w:rPr>
          <w:rFonts w:ascii="Times New Roman" w:hAnsi="Times New Roman" w:cs="Times New Roman"/>
          <w:b/>
          <w:caps/>
          <w:sz w:val="28"/>
          <w:szCs w:val="28"/>
        </w:rPr>
      </w:pPr>
      <w:r w:rsidRPr="004B6734">
        <w:rPr>
          <w:rFonts w:ascii="Times New Roman" w:hAnsi="Times New Roman" w:cs="Times New Roman"/>
          <w:b/>
          <w:caps/>
          <w:sz w:val="28"/>
          <w:szCs w:val="28"/>
        </w:rPr>
        <w:lastRenderedPageBreak/>
        <w:t>3 Проектирование инновационного потенциала предпринимательских структур в условиях цифровой трансформации</w:t>
      </w:r>
    </w:p>
    <w:p w14:paraId="52B5F71E" w14:textId="77777777" w:rsidR="002F33D0" w:rsidRPr="002F33D0" w:rsidRDefault="002F33D0" w:rsidP="002F33D0">
      <w:pPr>
        <w:spacing w:after="0" w:line="240" w:lineRule="auto"/>
        <w:ind w:firstLine="567"/>
        <w:jc w:val="both"/>
        <w:rPr>
          <w:rFonts w:ascii="Times New Roman" w:hAnsi="Times New Roman" w:cs="Times New Roman"/>
          <w:b/>
          <w:sz w:val="28"/>
          <w:szCs w:val="28"/>
        </w:rPr>
      </w:pPr>
    </w:p>
    <w:p w14:paraId="29D61E4E" w14:textId="77777777" w:rsidR="002F33D0" w:rsidRPr="002F33D0" w:rsidRDefault="002F33D0" w:rsidP="002F33D0">
      <w:pPr>
        <w:spacing w:after="0" w:line="240" w:lineRule="auto"/>
        <w:ind w:firstLine="567"/>
        <w:jc w:val="both"/>
        <w:rPr>
          <w:rFonts w:ascii="Times New Roman" w:hAnsi="Times New Roman" w:cs="Times New Roman"/>
          <w:b/>
          <w:sz w:val="28"/>
          <w:szCs w:val="28"/>
        </w:rPr>
      </w:pPr>
      <w:r w:rsidRPr="002F33D0">
        <w:rPr>
          <w:rFonts w:ascii="Times New Roman" w:hAnsi="Times New Roman" w:cs="Times New Roman"/>
          <w:b/>
          <w:sz w:val="28"/>
          <w:szCs w:val="28"/>
        </w:rPr>
        <w:t>3.1 Приоритетные направления обеспечения устойчивого развития предпринимательских структур на основе проектирования инновационного потенциала</w:t>
      </w:r>
    </w:p>
    <w:p w14:paraId="1655591A" w14:textId="53B78629"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В условиях цифровой трансформации устойчивое развитие предпринимательских структур определяется не только способностью к внедрению инноваций, но и уровнем их институциональной, экономической и адаптивной устойчивости</w:t>
      </w:r>
      <w:r w:rsidR="004B6734">
        <w:rPr>
          <w:rFonts w:ascii="Times New Roman" w:hAnsi="Times New Roman" w:cs="Times New Roman"/>
          <w:sz w:val="28"/>
          <w:szCs w:val="28"/>
          <w:lang w:val="kk-KZ"/>
        </w:rPr>
        <w:t xml:space="preserve"> </w:t>
      </w:r>
      <w:r w:rsidR="004B6734">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{"citationID":"a1ln94258fm","properties":{"formattedCitation":"[204]","plainCitation":"[204]","noteIndex":0},"citationItems":[{"id":264,"uris":["http://zotero.org/users/16887523/items/3U9KNYLJ"],"itemData":{"id":264,"type":"article-journal","abstract":"Raya Karlibaeva  \nE-mail: r.karlibaeva@tsue.uz \nAssociate Professor,Tashkent State University of Economics \nTashkent, Uzbekistan \nhttps://orcid.org/0000-0002-8492-9807 \n  \nRustam Yakhshiboyev  \nE-mail: r.yaxshiboyev@tsue.uz \nSenior lecturer, Tashkent State University of Economics \nTashkent, Uzbekistan \nhttps://orcid.org/0000-0002-2733-9085 \n  \nAbstract: This article examines the process of digital transformation in business, highlighting key aspects such as strategy development, adoption of innovative solutions, and sustainable development. Success factors include adapting to rapid technological changes, investing in IT infrastructure, and developing employees' digital skills. Innovation is crucial for competitive advantage, enabling the creation of new products, improved processes, and enhanced efficiency through technologies like AI, big data, and IoT. \n   Sustainable development, an integral part of digital transformation, involves economic efficiency, social responsibility, and environmental sustainability. This includes using eco-friendly technologies, reducing carbon footprints, and managing resources responsibly. \n   The analysis emphasizes that successful digital transformation requires a comprehensive approach, including technological adaptation, robust IT infrastructure, employee skill development, and a culture of innovation. Sustainable practices also play a pivotal role, ensuring long-term success and contributing to a more sustainable and inclusive digital economy. \n  \nKeywords: digital transformation, business strategies, innovation, sustainable development, technological changes, IT infrastructure, competitive advantages, digital skills. \n  \nJEL classification: O3","container-title":"Innovative economics and management","DOI":"10.46361/2449-2604.11.2.2024.101-108","ISSN":"2449-2604, 2449-2418","issue":"2","journalAbbreviation":"iem","page":"101-108","source":"DOI.org (Crossref)","title":"INNOVATIVE APPROACHES TO SUSTAINABLE BUSINESS DEVELOPMENT IN THE ERA OF DIGITAL TRANSFORMATION","URL":"https://iem.ge/ojs/index.php/journal/article/view/204","volume":"11","author":[{"family":"Karlibaeva","given":"Raya"},{"family":"Yakhshiboyev","given":"Rustam"}],"accessed":{"date-parts":[["2025",11,29]]},"issued":{"date-parts":[["2024",7,17]]}}}],"schema":"https://github.com/citation-style-language/schema/raw/master/csl-citation.json"} </w:instrText>
      </w:r>
      <w:r w:rsidR="004B6734">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[204]</w:t>
      </w:r>
      <w:r w:rsidR="004B6734">
        <w:rPr>
          <w:rFonts w:ascii="Times New Roman" w:hAnsi="Times New Roman" w:cs="Times New Roman"/>
          <w:sz w:val="28"/>
          <w:szCs w:val="28"/>
          <w:lang w:val="kk-KZ"/>
        </w:rPr>
        <w:fldChar w:fldCharType="end"/>
      </w:r>
      <w:r w:rsidRPr="002F33D0">
        <w:rPr>
          <w:rFonts w:ascii="Times New Roman" w:hAnsi="Times New Roman" w:cs="Times New Roman"/>
          <w:sz w:val="28"/>
          <w:szCs w:val="28"/>
        </w:rPr>
        <w:t>. Результаты анализа, представленные в предыдущих главах, показали, что инновационный потенциал выступает не самостоятельной целью, а механизмом формирования долгосрочной устойчивости, обеспечивая конкурентоспособность, кадровое развитие, технологическую модернизацию и снижение рисков</w:t>
      </w:r>
      <w:r w:rsidR="004B6734">
        <w:rPr>
          <w:rFonts w:ascii="Times New Roman" w:hAnsi="Times New Roman" w:cs="Times New Roman"/>
          <w:sz w:val="28"/>
          <w:szCs w:val="28"/>
          <w:lang w:val="kk-KZ"/>
        </w:rPr>
        <w:t xml:space="preserve"> </w:t>
      </w:r>
      <w:r w:rsidR="004B6734">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{"citationID":"a2qqcj7krg0","properties":{"formattedCitation":"[205]","plainCitation":"[205]","noteIndex":0},"citationItems":[{"id":265,"uris":["http://zotero.org/users/16887523/items/7FWYYK3N"],"itemData":{"id":265,"type":"article-journal","abstract":"As digital transformation continues to advance at a rapid pace, the imperative for innovating and transforming business models becomes increasingly pronounced, underscoring the significance of business sustainability. Delving into the sustainable performance of enterprises holds the potential to not only identify underlying risks and foster robust operations but also bolster the trajectory of a company's sustainable development. This study scrutinizes the impact of sustainable technologies on enterprise sustainability performance, with a keen focus on the interplay between digital transformation and green innovation as delineated in the existing literature. Findings suggest that the relationship between digital transformation and sustainable performance is intricate, and influenced by a multitude of factors. Moreover, green innovation emerges not only as a direct driver of sustainable performance but also as a facilitator of digital transformation, thereby amplifying its role in fostering sustainable development within enterprises. By examining these dynamics, this research aims to provide insights that can inform strategic decision-making aimed at enhancing sustainability within organizations.","container-title":"Highlights in Business, Economics and Management","DOI":"10.54097/d8c3yk70","ISSN":"2957-952X","journalAbbreviation":"HBEM","license":"https://creativecommons.org/licenses/by-nc/4.0","page":"625-630","source":"DOI.org (Crossref)","title":"Examining Green Innovation and Digital Transformation as Essential Factors of Sustainable Performance","URL":"https://drpress.org/ojs/index.php/HBEM/article/view/23655","volume":"39","author":[{"family":"Lu","given":"Sijie"}],"accessed":{"date-parts":[["2025",11,29]]},"issued":{"date-parts":[["2024",8,8]]}}}],"schema":"https://github.com/citation-style-language/schema/raw/master/csl-citation.json"} </w:instrText>
      </w:r>
      <w:r w:rsidR="004B6734">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[205]</w:t>
      </w:r>
      <w:r w:rsidR="004B6734">
        <w:rPr>
          <w:rFonts w:ascii="Times New Roman" w:hAnsi="Times New Roman" w:cs="Times New Roman"/>
          <w:sz w:val="28"/>
          <w:szCs w:val="28"/>
          <w:lang w:val="kk-KZ"/>
        </w:rPr>
        <w:fldChar w:fldCharType="end"/>
      </w:r>
      <w:r w:rsidRPr="002F33D0">
        <w:rPr>
          <w:rFonts w:ascii="Times New Roman" w:hAnsi="Times New Roman" w:cs="Times New Roman"/>
          <w:sz w:val="28"/>
          <w:szCs w:val="28"/>
        </w:rPr>
        <w:t>. В этой связи проектирование инновационного потенциала следует рассматривать как ключевой инструмент формирования устойчивой траектории развития предпринимательских структур</w:t>
      </w:r>
      <w:r w:rsidR="004B6734">
        <w:rPr>
          <w:rFonts w:ascii="Times New Roman" w:hAnsi="Times New Roman" w:cs="Times New Roman"/>
          <w:sz w:val="28"/>
          <w:szCs w:val="28"/>
          <w:lang w:val="kk-KZ"/>
        </w:rPr>
        <w:t xml:space="preserve"> </w:t>
      </w:r>
      <w:r w:rsidR="004B6734">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2g63kof6q2","properties":{"formattedCitation":"[206]","plainCitation":"[206]","noteIndex":0},"citationItems":[{"id":267,"uris":["http://zotero.org/users/16887523/items/6YA9NI9J"],"itemData":{"id":267,"type":"book","DOI":"10.30525/978-9934-26-494-8","ISBN":"978-9934-26-494-8","publisher":"Publishing House “Baltija Publishing”","source":"DOI.org (Crossref)","title":"Transformational economy: theoretical and practical aspects","title-short":"Transformational economy","URL":"http://www.baltijapublishing.lv/omp/index.php/bp/catalog/book/534","author":[{"family":"Hilorme","given":"Tetiana"}],"accessed":{"date-parts":[["2025",11,29]]},"issued":{"date-parts":[["2024"]]}}}],"schema":"https://github.com/citation-style-language/schema/raw/master/csl-citation.json"} </w:instrText>
      </w:r>
      <w:r w:rsidR="004B6734">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[206]</w:t>
      </w:r>
      <w:r w:rsidR="004B6734">
        <w:rPr>
          <w:rFonts w:ascii="Times New Roman" w:hAnsi="Times New Roman" w:cs="Times New Roman"/>
          <w:sz w:val="28"/>
          <w:szCs w:val="28"/>
          <w:lang w:val="kk-KZ"/>
        </w:rPr>
        <w:fldChar w:fldCharType="end"/>
      </w:r>
      <w:r w:rsidRPr="002F33D0">
        <w:rPr>
          <w:rFonts w:ascii="Times New Roman" w:hAnsi="Times New Roman" w:cs="Times New Roman"/>
          <w:sz w:val="28"/>
          <w:szCs w:val="28"/>
        </w:rPr>
        <w:t>. Выделенные в ходе эмпирического анализа приоритеты отражают как внутреннюю архитектуру инновационного потенциала, так и направления повышения устойчивости бизнеса в экономическом, социальном и технологическом измерениях</w:t>
      </w:r>
      <w:r w:rsidR="007A7D88">
        <w:rPr>
          <w:rFonts w:ascii="Times New Roman" w:hAnsi="Times New Roman" w:cs="Times New Roman"/>
          <w:sz w:val="28"/>
          <w:szCs w:val="28"/>
          <w:lang w:val="kk-KZ"/>
        </w:rPr>
        <w:t xml:space="preserve"> </w:t>
      </w:r>
      <w:r w:rsidR="007A7D88">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{"citationID":"a159isl3j15","properties":{"formattedCitation":"[207,208]","plainCitation":"[207,208]","noteIndex":0},"citationItems":[{"id":268,"uris":["http://zotero.org/users/16887523/items/ZU5MAF9S"],"itemData":{"id":268,"type":"article-journal","abstract":"The interplay between digital transformation and sustainability, the so-called twin transformation, is not merely a contemporary trend but a transformative approach that holds the potential to reshape our economic and social structures towards a more sustainable future. The twin transformation is furthermore seen as a key driver for achieving global sustainability goals and fostering green innovations. Given the transformative potential at the nexus of digital transformation and sustainability, it is of paramount interest to investigate where future developments in this combined field are headed. Building upon that, the central research question that underpins this publication is: What are the future research trends for the twin transformation? In order to gain an overview of the topic and answer the research question, a systematic literature analysis was carried out. A total of 98 papers were retained for our analysis. As a result of our study, future research paths for the twin transformation were found in the fields of Industry Sectors, Politics and Regulatory Affairs, Sustainable Development, Business Conduct and Environmental Impact. This exploration has highlighted several key areas that warrant further investigation to fully harness the synergistic benefits of integrating digital technologies with sustainability initiatives. In conclusion, the intersection of sustainability and digital transformation holds significant potential for creating a more sustainable future.","container-title":"International Journal of Innovation Management","DOI":"10.1142/S1363919625400134","ISSN":"1363-9196, 1757-5877","issue":"05n06","journalAbbreviation":"Int. J. Innov. Mgt.","language":"en","page":"2540013","source":"DOI.org (Crossref)","title":"EXPLORING FUTURE RESEARCH PATHS FOR THE TWIN TRANSFORMATION — COMBINING DIGITAL AND SUSTAINABLE INNOVATION","URL":"https://www.worldscientific.com/doi/10.1142/S1363919625400134","volume":"29","author":[{"family":"Philp","given":"Simone"},{"family":"Ulrich","given":"Patrick"},{"family":"Metzger","given":"Jasmina"},{"family":"Stockert","given":"Felix"}],"accessed":{"date-parts":[["2025",11,29]]},"issued":{"date-parts":[["2025",6]]}}},{"id":269,"uris":["http://zotero.org/users/16887523/items/ZIGGV8BY"],"itemData":{"id":269,"type":"article-journal","abstract":"Business process digitization is integral to modern business, particularly in ensuring sustainable development. It profoundly impacts marketing, innovation, and overall company functions. To achieve successful digitalization, understanding your business needs and aligning digital technologies with your objectives are crucial. This study aims to uncover the key marketing and innovation factors driving the digitalization of business within sustainable development contexts.\n\nThe research employs several methods: analysis, synthesis, forecasting, observation, factor analysis, modeling, and graphic representation. Key findings reveal the core components of the digitization process, encompassing automation, electronic document management, cloud technologies, the Internet of Things, database analytics, system integration, artificial intelligence, blockchain, and cybersecurity. These components collectively revamp traditional processes into more efficient ones, utilizing digital advancements to improve productivity, customer service, and cost-effectiveness.\n\nIdentified are two influential factor groups: marketing and innovation. The research presents a model facilitating flexible, efficient, and competitive business processes. Implementing this model enables companies to enhance product and service quality, lower expenses, and elevate profitability. Essentially, it empowers businesses to adapt and thrive in the digital landscape while aligning with sustainability goals.\n\nIn essence, this research delineates the crucial elements and factors pivotal in the digital transformation of businesses, offering a model that steers companies towards enhanced efficiency, competitiveness, and profitability within the sustainable development framework.","container-title":"Actual Problems of International Relations","DOI":"10.17721/apmv.2024.161.1.168-176","ISSN":"23086912, 26638959","issue":"161","journalAbbreviation":"APIR","page":"168-176","source":"DOI.org (Crossref)","title":"BUSINESS PROCESSES IN CONDITIONS OF SUSTAINABLE DEVELOPMENT: DIGITAL TRANSFORMATION OF MARKETING AND INNOVATION","title-short":"BUSINESS PROCESSES IN CONDITIONS OF SUSTAINABLE DEVELOPMENT","URL":"http://apir.iir.edu.ua/index.php/apmv/article/view/3945","author":[{"family":"Krysovatyy","given":"Ihor"},{"family":"Aliiev","given":"Elman"}],"accessed":{"date-parts":[["2025",11,29]]},"issued":{"date-parts":[["2024"]]}}}],"schema":"https://github.com/citation-style-language/schema/raw/master/csl-citation.json"} </w:instrText>
      </w:r>
      <w:r w:rsidR="007A7D88">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[207,208]</w:t>
      </w:r>
      <w:r w:rsidR="007A7D88">
        <w:rPr>
          <w:rFonts w:ascii="Times New Roman" w:hAnsi="Times New Roman" w:cs="Times New Roman"/>
          <w:sz w:val="28"/>
          <w:szCs w:val="28"/>
          <w:lang w:val="kk-KZ"/>
        </w:rPr>
        <w:fldChar w:fldCharType="end"/>
      </w:r>
      <w:r w:rsidRPr="002F33D0">
        <w:rPr>
          <w:rFonts w:ascii="Times New Roman" w:hAnsi="Times New Roman" w:cs="Times New Roman"/>
          <w:sz w:val="28"/>
          <w:szCs w:val="28"/>
        </w:rPr>
        <w:t>.</w:t>
      </w:r>
    </w:p>
    <w:p w14:paraId="6347E7DA" w14:textId="4BC749C3"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Современные тенденции цифровой трансформации экономики формируют новые требования к управлению инновационным развитием предпринимательских структур. В условиях ускоряющихся технологических изменений, усложнения внешней среды и высокой турбулентности рынков традиционные подходы к планированию инновационной деятельности теряют эффективность</w:t>
      </w:r>
      <w:r w:rsidR="007A7D88">
        <w:rPr>
          <w:rFonts w:ascii="Times New Roman" w:hAnsi="Times New Roman" w:cs="Times New Roman"/>
          <w:sz w:val="28"/>
          <w:szCs w:val="28"/>
          <w:lang w:val="kk-KZ"/>
        </w:rPr>
        <w:t xml:space="preserve"> </w:t>
      </w:r>
      <w:r w:rsidR="007A7D88">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{"citationID":"a2ah1heduop","properties":{"formattedCitation":"[209]","plainCitation":"[209]","noteIndex":0},"citationItems":[{"id":271,"uris":["http://zotero.org/users/16887523/items/54ECP4XU"],"itemData":{"id":271,"type":"article-journal","abstract":"With the rapid development of science and technology and the intensification of market competition, digital transformation has become an important way for enterprises to survive and develop. Digital transformation is of great significance to enterprise innovation management. By improving efficiency and response speed, optimizing resource allocation, broadening innovation horizons, improving products and services, enhancing employees' innovation capabilities, and strengthening risk management, digital transformation provides strong support for enterprise innovation management. Digital transformation is not only a technical upgrade, but also a profound change in enterprise management mode, business process and organizational culture. In this process, the enterprise innovation management has also been greatly promoted and influenced. This paper will take Haier Group as an example to explore how digital transformation drives enterprise management innovation, and analyze the key elements and strategies in its transformation process.","container-title":"International Journal of Global Economics and Management","DOI":"10.62051/ijgem.v4n3.08","ISSN":"3005-8090, 3005-9690","issue":"3","journalAbbreviation":"IJGEM","license":"https://creativecommons.org/licenses/by-nc/4.0","page":"62-67","source":"DOI.org (Crossref)","title":"Research on Enterprise Management Innovation Driven by Digital Transformation: A case study of Haier Group","title-short":"Research on Enterprise Management Innovation Driven by Digital Transformation","URL":"https://wepub.org/index.php/IJGEM/article/view/4051","volume":"4","author":[{"family":"Wu","given":"Yuxuan"}],"accessed":{"date-parts":[["2025",11,29]]},"issued":{"date-parts":[["2024",10,22]]}}}],"schema":"https://github.com/citation-style-language/schema/raw/master/csl-citation.json"} </w:instrText>
      </w:r>
      <w:r w:rsidR="007A7D88">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[209]</w:t>
      </w:r>
      <w:r w:rsidR="007A7D88">
        <w:rPr>
          <w:rFonts w:ascii="Times New Roman" w:hAnsi="Times New Roman" w:cs="Times New Roman"/>
          <w:sz w:val="28"/>
          <w:szCs w:val="28"/>
          <w:lang w:val="kk-KZ"/>
        </w:rPr>
        <w:fldChar w:fldCharType="end"/>
      </w:r>
      <w:r w:rsidRPr="002F33D0">
        <w:rPr>
          <w:rFonts w:ascii="Times New Roman" w:hAnsi="Times New Roman" w:cs="Times New Roman"/>
          <w:sz w:val="28"/>
          <w:szCs w:val="28"/>
        </w:rPr>
        <w:t>. Классическое планирование, основанное на линейном прогнозировании и статичном распределении ресурсов, не обеспечивает необходимой гибкости и адаптивности</w:t>
      </w:r>
      <w:r w:rsidR="007A7D88">
        <w:rPr>
          <w:rFonts w:ascii="Times New Roman" w:hAnsi="Times New Roman" w:cs="Times New Roman"/>
          <w:sz w:val="28"/>
          <w:szCs w:val="28"/>
          <w:lang w:val="kk-KZ"/>
        </w:rPr>
        <w:t xml:space="preserve"> </w:t>
      </w:r>
      <w:r w:rsidR="007A7D88">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{"citationID":"a1vp62bevvp","properties":{"formattedCitation":"[210]","plainCitation":"[210]","noteIndex":0},"citationItems":[{"id":272,"uris":["http://zotero.org/users/16887523/items/CDHEZ92G"],"itemData":{"id":272,"type":"article-journal","abstract":"This study analyzes the theoretical foundations of digital transformation and organizational sustainability. In particular, the main approaches and concepts related to digital transformation, innovation, and organizational sustainability are examined. An assessment of the impact of digital transformation on the company’s innovative activities is carried out, within the framework of which the mechanisms of the influence of digitalization on the process of generation and implementation of innovations in organizations are studied. The role of personnel training and development in the process of digital transformation is studied, including an analysis of the role of employee training in adapting to digital changes and increasing the company’s sustainability.","container-title":"EKONOMIKA I UPRAVLENIE: PROBLEMY, RESHENIYA","DOI":"10.36871/ek.up.p.r.2024.12.07.025","ISSN":"22273891, 2308927X","issue":"153","journalAbbreviation":"EUPR","page":"199-205","source":"DOI.org (Crossref)","title":"INNOVATIVE CAPABILITIES AND ORGANIZATIONAL FLEXIBILITY IN THE ERA OF DIGITAL TRANSFORMATION","URL":"https://s-lib.com/en/issues/eiu_2024_12_v7_a25/","volume":"12/7","author":[{"family":"Rudakova","given":"Lidiya Vladimirovna"},{"family":"Trofimova","given":"Natalya N."}],"accessed":{"date-parts":[["2025",11,29]]},"issued":{"date-parts":[["2024"]]}}}],"schema":"https://github.com/citation-style-language/schema/raw/master/csl-citation.json"} </w:instrText>
      </w:r>
      <w:r w:rsidR="007A7D88">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[210]</w:t>
      </w:r>
      <w:r w:rsidR="007A7D88">
        <w:rPr>
          <w:rFonts w:ascii="Times New Roman" w:hAnsi="Times New Roman" w:cs="Times New Roman"/>
          <w:sz w:val="28"/>
          <w:szCs w:val="28"/>
          <w:lang w:val="kk-KZ"/>
        </w:rPr>
        <w:fldChar w:fldCharType="end"/>
      </w:r>
      <w:r w:rsidRPr="002F33D0">
        <w:rPr>
          <w:rFonts w:ascii="Times New Roman" w:hAnsi="Times New Roman" w:cs="Times New Roman"/>
          <w:sz w:val="28"/>
          <w:szCs w:val="28"/>
        </w:rPr>
        <w:t>, поскольку опирается на предпосылку стабильности внешних условий. В отличие от него, проектирование инновационного потенциала представляет собой более динамичный и комплексный процесс, направленный не на фиксацию конечных показателей, а на моделирование возможных траекторий развития инновационной системы предприятия с учётом его ресурсной обеспеченности, организационных способностей и уровня цифровой зрелости.</w:t>
      </w:r>
    </w:p>
    <w:p w14:paraId="589672E1" w14:textId="4AEEB5FB"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Сущность проектирования инновационного потенциала заключается в целенаправленном моделировании структурных и функциональных характеристик системы, определяющих способность предпринимательской структуры к созданию, восприятию и реализации инноваций</w:t>
      </w:r>
      <w:r w:rsidR="007A7D88">
        <w:rPr>
          <w:rFonts w:ascii="Times New Roman" w:hAnsi="Times New Roman" w:cs="Times New Roman"/>
          <w:sz w:val="28"/>
          <w:szCs w:val="28"/>
          <w:lang w:val="kk-KZ"/>
        </w:rPr>
        <w:t xml:space="preserve"> </w:t>
      </w:r>
      <w:r w:rsidR="007A7D88">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{"citationID":"a12gl498chq","properties":{"formattedCitation":"[211]","plainCitation":"[211]","noteIndex":0},"citationItems":[{"id":273,"uris":["http://zotero.org/users/16887523/items/95PGXXT8"],"itemData":{"id":273,"type":"article-journal","abstract":"The object of research in the article is the process of digital transformation. The subject of the research is the innovative potential in the context of digital transformations. The purpose of this study is to determine the components of the innovative potential of business entities in the context of digital transformation. As a result of the study, it was substantiated that the development of innovative potential in the context of digital transformation is possible by applying a strategy for developing innovative potential in the context of digital transformation. The main stages of the strategy for developing the innovative potential of economic entities in the context of digital transformation include defi ning the goal, the necessary choice of digital tools to achieve the basic principles, and, of course, obtaining the result itself, taking into account the interaction of the components of the innovative potential of economic entities. The importance of determining the goals of digital transformation for the development of innovative potential, the achievement of which will be facilitated by digital tools that will lead to the formation of the basic principles of digital transformation and ensure the achievement of results through the implementation of the innovative potential of business entities, as well as the interaction of the components of innovative potential in the context of digital transformation with taking into account the innovative activity of business entities. Among the main digital components of innovative development, the following are highlighted: the digitalization of society, the digitalization of business processes and management systems. The results and conclusions of this study can be used in managing the digital transformation of economic activity.","container-title":"Вестник Челябинского государственного университета","DOI":"10.47475/1994-2796-2023-478-8-194-204","ISSN":"19942796","issue":"8","journalAbbreviation":"Bulletin of ChelSU","page":"194-204","source":"DOI.org (Crossref)","title":"Инновационный потенциал субъектов хозяйственной деятельности в условиях цифровой трансформации","URL":"https://journals.csu.ru/index.php/BulletinCSU/issue/view/216/Issue_81","volume":"478","author":[{"family":"Киселёв","given":"Р. O."}],"accessed":{"date-parts":[["2025",11,29]]},"issued":{"date-parts":[["2023"]]}}}],"schema":"https://github.com/citation-style-language/schema/raw/master/csl-citation.json"} </w:instrText>
      </w:r>
      <w:r w:rsidR="007A7D88">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[211]</w:t>
      </w:r>
      <w:r w:rsidR="007A7D88">
        <w:rPr>
          <w:rFonts w:ascii="Times New Roman" w:hAnsi="Times New Roman" w:cs="Times New Roman"/>
          <w:sz w:val="28"/>
          <w:szCs w:val="28"/>
          <w:lang w:val="kk-KZ"/>
        </w:rPr>
        <w:fldChar w:fldCharType="end"/>
      </w:r>
      <w:r w:rsidRPr="002F33D0">
        <w:rPr>
          <w:rFonts w:ascii="Times New Roman" w:hAnsi="Times New Roman" w:cs="Times New Roman"/>
          <w:sz w:val="28"/>
          <w:szCs w:val="28"/>
        </w:rPr>
        <w:t>. При этом ключевое внимание уделяется взаимодействию между ресурсной базой, человеческим капиталом, инновационной культурой и институциональной средой</w:t>
      </w:r>
      <w:r w:rsidR="00BA571D">
        <w:rPr>
          <w:rFonts w:ascii="Times New Roman" w:hAnsi="Times New Roman" w:cs="Times New Roman"/>
          <w:sz w:val="28"/>
          <w:szCs w:val="28"/>
          <w:lang w:val="kk-KZ"/>
        </w:rPr>
        <w:t xml:space="preserve"> </w:t>
      </w:r>
      <w:r w:rsidR="00BA571D">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{"citationID":"a9r9gkc50","properties":{"formattedCitation":"[212]","plainCitation":"[212]","noteIndex":0},"citationItems":[{"id":274,"uris":["http://zotero.org/users/16887523/items/DQYRKWPV"],"itemData":{"id":274,"type":"article-journal","abstract":"The article is devoted to the study of problems of managing the resource potential of an organization in the \nconditions of innovative development of the economy and its digital transformation. The essence of managing resource \npotential and its key elements in new economic conditions is revealed. The feasibility of using innovative forms of \norganizing management activities and digital tools for its implementation is substantiated. The priority directions for \nimproving the process of managing the company's resource potential are identified, the most acceptable innovative \ntechnologies are considered, the use of which can ensure maximum efficiency in the implementation of each of them. The \nprospects for further optimization of the process of managing the company's resource potential based on the active \nimplementation and use of innovations have been identified.","container-title":"Вестник Полоцкого государственного университета. Серия D. Экономические и юридические науки","DOI":"10.52928/2070-1632-2023-65-3-45-48","ISSN":"2710-1916, 2070-1632","issue":"3","journalAbbreviation":"Vestnik of Polotsk State University Part D Economic and legal sciences","license":"https://creativecommons.org/licenses/by/4.0/","page":"45-48","source":"DOI.org (Crossref)","title":"ИННОВАЦИОННЫЙ ИНСТРУМЕНТАРИЙ УПРАВЛЕНИЯ РЕСУРСНЫМ ПОТЕНЦИАЛОМ КОМПАНИИ","URL":"https://journals.psu.by/economics/article/view/5255","author":[{"family":"МОЛОХОВИЧ","given":"M. В."}],"accessed":{"date-parts":[["2025",11,29]]},"issued":{"date-parts":[["2023",12,18]]}}}],"schema":"https://github.com/citation-style-language/schema/raw/master/csl-citation.json"} </w:instrText>
      </w:r>
      <w:r w:rsidR="00BA571D">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[212]</w:t>
      </w:r>
      <w:r w:rsidR="00BA571D">
        <w:rPr>
          <w:rFonts w:ascii="Times New Roman" w:hAnsi="Times New Roman" w:cs="Times New Roman"/>
          <w:sz w:val="28"/>
          <w:szCs w:val="28"/>
          <w:lang w:val="kk-KZ"/>
        </w:rPr>
        <w:fldChar w:fldCharType="end"/>
      </w:r>
      <w:r w:rsidRPr="002F33D0">
        <w:rPr>
          <w:rFonts w:ascii="Times New Roman" w:hAnsi="Times New Roman" w:cs="Times New Roman"/>
          <w:sz w:val="28"/>
          <w:szCs w:val="28"/>
        </w:rPr>
        <w:t xml:space="preserve">. В отличие от традиционного стратегического планирования, ориентированного прежде всего на распределение уже имеющихся ресурсов, проектирование предполагает их развитие и трансформацию под </w:t>
      </w:r>
      <w:r w:rsidRPr="002F33D0">
        <w:rPr>
          <w:rFonts w:ascii="Times New Roman" w:hAnsi="Times New Roman" w:cs="Times New Roman"/>
          <w:sz w:val="28"/>
          <w:szCs w:val="28"/>
        </w:rPr>
        <w:lastRenderedPageBreak/>
        <w:t>воздействием цифровых и технологических изменений</w:t>
      </w:r>
      <w:r w:rsidR="00BA571D">
        <w:rPr>
          <w:rFonts w:ascii="Times New Roman" w:hAnsi="Times New Roman" w:cs="Times New Roman"/>
          <w:sz w:val="28"/>
          <w:szCs w:val="28"/>
          <w:lang w:val="kk-KZ"/>
        </w:rPr>
        <w:t xml:space="preserve"> </w:t>
      </w:r>
      <w:r w:rsidR="00BA571D">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{"citationID":"a1cfj4lg5oo","properties":{"formattedCitation":"[213]","plainCitation":"[213]","noteIndex":0},"citationItems":[{"id":276,"uris":["http://zotero.org/users/16887523/items/U6KPS6I7"],"itemData":{"id":276,"type":"article-journal","abstract":"The article examines the main aspects of managing an innovation strategy, including digital transformation and customer focus. The factors that determine the company’s innovative potential and indicators for assessing its level are identified. Conceptual approaches to the formation, assessment and management of an enterprise’s innovative potential are considered. The key parameters of an enterprise’s integrated approach to innovative development are formulated. An analysis of the key tasks of developing the enterprise’s innovative potential is conducted.","container-title":"Экономика и управление: проблемы, решения","DOI":"10.36871/ek.up.p.r.2024.12.01.007","ISSN":"22273891, 2308927X","issue":"153","journalAbbreviation":"EUPR","page":"63-70","source":"DOI.org (Crossref)","title":"СТРАТЕГИЯ УКРЕПЛЕНИЯ ИННОВАЦИОННОГО ПОТЕНЦИАЛА КОМПАНИИ И ЕГО АДАПТАЦИИ К ВЫСОКОДИНАМИЧНЫМ РЫНОЧНЫМ УСЛОВИЯМ","URL":"https://s-lib.com/en/issues/eiu_2024_12_v1_a7/","volume":"12/1","author":[{"family":"Трофимова","given":"Н. Н."}],"accessed":{"date-parts":[["2025",11,29]]},"issued":{"date-parts":[["2024"]]}}}],"schema":"https://github.com/citation-style-language/schema/raw/master/csl-citation.json"} </w:instrText>
      </w:r>
      <w:r w:rsidR="00BA571D">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[213]</w:t>
      </w:r>
      <w:r w:rsidR="00BA571D">
        <w:rPr>
          <w:rFonts w:ascii="Times New Roman" w:hAnsi="Times New Roman" w:cs="Times New Roman"/>
          <w:sz w:val="28"/>
          <w:szCs w:val="28"/>
          <w:lang w:val="kk-KZ"/>
        </w:rPr>
        <w:fldChar w:fldCharType="end"/>
      </w:r>
      <w:r w:rsidRPr="002F33D0">
        <w:rPr>
          <w:rFonts w:ascii="Times New Roman" w:hAnsi="Times New Roman" w:cs="Times New Roman"/>
          <w:sz w:val="28"/>
          <w:szCs w:val="28"/>
        </w:rPr>
        <w:t>. Это делает проектирование не только инструментом управления, но и прогностической функцией, позволяющей выявлять потенциальные возможности инновационного роста и оценивать вероятные траектории их реализации.</w:t>
      </w:r>
    </w:p>
    <w:p w14:paraId="1EC21608" w14:textId="40E98299"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Проектирование инновационного потенциала выполняет одновременно управленческую и прогно</w:t>
      </w:r>
      <w:r w:rsidR="009A548D">
        <w:rPr>
          <w:rFonts w:ascii="Times New Roman" w:hAnsi="Times New Roman" w:cs="Times New Roman"/>
          <w:sz w:val="28"/>
          <w:szCs w:val="28"/>
          <w:lang w:val="kk-KZ"/>
        </w:rPr>
        <w:t>з</w:t>
      </w:r>
      <w:r w:rsidRPr="002F33D0">
        <w:rPr>
          <w:rFonts w:ascii="Times New Roman" w:hAnsi="Times New Roman" w:cs="Times New Roman"/>
          <w:sz w:val="28"/>
          <w:szCs w:val="28"/>
        </w:rPr>
        <w:t xml:space="preserve">тическую функции цифровой экономики. Управленческая функция заключается в систематизации внутренних ресурсов предприятия и их согласовании с внешними возможностями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от механизмов государственной поддержки до рыночных драйверов инноваций</w:t>
      </w:r>
      <w:r w:rsidR="00BA571D">
        <w:rPr>
          <w:rFonts w:ascii="Times New Roman" w:hAnsi="Times New Roman" w:cs="Times New Roman"/>
          <w:sz w:val="28"/>
          <w:szCs w:val="28"/>
          <w:lang w:val="kk-KZ"/>
        </w:rPr>
        <w:t xml:space="preserve"> </w:t>
      </w:r>
      <w:r w:rsidR="00BA571D">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{"citationID":"aqbelfssv2","properties":{"formattedCitation":"[214]","plainCitation":"[214]","noteIndex":0},"citationItems":[{"id":277,"uris":["http://zotero.org/users/16887523/items/AENPTHF7"],"itemData":{"id":277,"type":"article-journal","abstract":"The article considers the development of the approach to complex adaptive management of the potential for innovative development (PID) of the industrial enterprise in the conditions of the formation and development of the digital economy. The impact of information computer technologies of the fourth industrial revolution on each component subsystems (including their elements) of the PID of the industrial enterprise from the standpoint of ensuring its sustainable innovative growth are determined and systematized by the nature of action (favorable or unfavorable). Approaches to purposeful management of PID component subsystems of the industrial enterprise have been developed in order to update their condition in relation to external conditions and ensure favorable internal prerequisites for innovative development in the digital economy. Their application makes it possible to reasonably align the internal possibilities of innovative development of the industrial enterprise (its PID) with the external ones in the conditions of the digital economy. The enlarged scheme has been developed that reflects the sequence and content of the formalized procedures for managing the PID of the industrial enterprise in the context of its transition to the path of innovative development in the conditions of the digital economy. It can be used as a methodological basis for the implementation of the developed approaches in the practice of innovative activity of industrial enterprises. The presented developments collectively form the approach to complex adaptive management according to formalized PID procedures of the industrial enterprise, including its component subsystems-potentials and their elements, in the context of ensuring the compliance of internal and external conditions of innovative growth of the enterprise in the digital economy. The developed approach, in contrast to the existing ones, provides the adaptive management of all components (as well as their elements) of PID in a complex, which increases the degree of coherence and validity of the management of innovative development at industrial enterprises in the digital economy.","container-title":"Economic Herald of SHEI USUCT","DOI":"10.32434/2415-3974-2022-16-2-97-106","ISSN":"24153974, 26642670","issue":"2","journalAbbreviation":"EH SHEI USUCT","page":"97-106","source":"DOI.org (Crossref)","title":"Management of the innovative development potential of industrial enterprises in the digital economy","URL":"http://ek-visnik.dp.ua/wp-content/uploads/pdf/2022-2/Illiashenko.pdf","volume":"16","author":[{"family":"Illiashenko","given":"Sergii"},{"family":"Shypulina","given":"Yuliia"},{"family":"Illiashenko","given":"Nataliia"},{"family":"Raiko","given":"Diana"}],"accessed":{"date-parts":[["2025",11,29]]},"issued":{"date-parts":[["2022"]]}}}],"schema":"https://github.com/citation-style-language/schema/raw/master/csl-citation.json"} </w:instrText>
      </w:r>
      <w:r w:rsidR="00BA571D">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[214]</w:t>
      </w:r>
      <w:r w:rsidR="00BA571D">
        <w:rPr>
          <w:rFonts w:ascii="Times New Roman" w:hAnsi="Times New Roman" w:cs="Times New Roman"/>
          <w:sz w:val="28"/>
          <w:szCs w:val="28"/>
          <w:lang w:val="kk-KZ"/>
        </w:rPr>
        <w:fldChar w:fldCharType="end"/>
      </w:r>
      <w:r w:rsidRPr="002F33D0">
        <w:rPr>
          <w:rFonts w:ascii="Times New Roman" w:hAnsi="Times New Roman" w:cs="Times New Roman"/>
          <w:sz w:val="28"/>
          <w:szCs w:val="28"/>
        </w:rPr>
        <w:t>. Прогно</w:t>
      </w:r>
      <w:r w:rsidR="009A548D">
        <w:rPr>
          <w:rFonts w:ascii="Times New Roman" w:hAnsi="Times New Roman" w:cs="Times New Roman"/>
          <w:sz w:val="28"/>
          <w:szCs w:val="28"/>
          <w:lang w:val="kk-KZ"/>
        </w:rPr>
        <w:t>з</w:t>
      </w:r>
      <w:r w:rsidRPr="002F33D0">
        <w:rPr>
          <w:rFonts w:ascii="Times New Roman" w:hAnsi="Times New Roman" w:cs="Times New Roman"/>
          <w:sz w:val="28"/>
          <w:szCs w:val="28"/>
        </w:rPr>
        <w:t>тическая функция выражается в способности предвосхищать технологические изменения и адаптировать внутренние процессы к условиям неопределённости. Таким образом, проектирование следует рассматривать не как разовый акт формулирования стратегических приоритетов, а как непрерывный процесс обновления и адаптации инновационного потенциала.</w:t>
      </w:r>
    </w:p>
    <w:p w14:paraId="16D3E0CA" w14:textId="7C81EFE9"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Необходимость проектирования обусловлена также внутренней сложностью инновационного потенциала, который представляет собой многокомпонентную систему, включающую ресурсы, компетенции, организационные механизмы и институциональные связи. В этой связи возникает потребность в интеграции двух взаимодополняющих подходов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ресурсного и процессного. Ресурсный подход акцентирует внимание на наличии и качестве материальных, финансовых, человеческих и информационных активов, формирующих основу инновационной деятельности. Процессный подход, напротив, фокусируется на механизмах преобразования ресурсов в инновационные результаты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через обучение, взаимодействие, обмен знаниями и организационные изменения. Только их синтез позволяет сформировать целостное представление об инновационном потенциале как о динамической системе</w:t>
      </w:r>
      <w:r w:rsidR="00C32BEE">
        <w:rPr>
          <w:rFonts w:ascii="Times New Roman" w:hAnsi="Times New Roman" w:cs="Times New Roman"/>
          <w:sz w:val="28"/>
          <w:szCs w:val="28"/>
          <w:lang w:val="kk-KZ"/>
        </w:rPr>
        <w:t xml:space="preserve"> </w:t>
      </w:r>
      <w:r w:rsidR="00C32BEE">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22pcn7terj","properties":{"formattedCitation":"[215,216]","plainCitation":"[215,216]","noteIndex":0},"citationItems":[{"id":281,"uris":["http://zotero.org/users/16887523/items/TX3C6YEM"],"itemData":{"id":281,"type":"article-journal","container-title":"International Journal of Sustainable Development and Planning","DOI":"10.18280/ijsdp.181016","ISSN":"17437601, 1743761X","issue":"10","journalAbbreviation":"IJSDP","page":"3137-3154","source":"DOI.org (Crossref)","title":"A Systematic Review of Resource-Based View and Dynamic Capabilities of Firms and Future Research Avenues","URL":"https://iieta.org/journals/ijsdp/paper/10.18280/ijsdp.181016","volume":"18","author":[{"family":"Kero","given":"Chalchissa Amentie"},{"family":"Bogale","given":"Addisalem Tadesse"}],"accessed":{"date-parts":[["2025",11,29]]},"issued":{"date-parts":[["2023",10,31]]}}},{"id":283,"uris":["http://zotero.org/users/16887523/items/LNBCBNT3"],"itemData":{"id":283,"type":"article-journal","container-title":"Information Systems Frontiers","DOI":"10.1007/s10796-014-9505-6","ISSN":"1387-3326, 1572-9419","issue":"3","journalAbbreviation":"Inf Syst Front","language":"en","page":"533-546","source":"DOI.org (Crossref)","title":"Toward an integrated framework for innovation in service: A resource-based view and dynamic capabilities approach","title-short":"Toward an integrated framework for innovation in service","URL":"http://link.springer.com/10.1007/s10796-014-9505-6","volume":"17","author":[{"family":"Kim","given":"Miri"},{"family":"Song","given":"Jaeki"},{"family":"Triche","given":"Jason"}],"accessed":{"date-parts":[["2025",11,29]]},"issued":{"date-parts":[["2015",6]]}}}],"schema":"https://github.com/citation-style-language/schema/raw/master/csl-citation.json"} </w:instrText>
      </w:r>
      <w:r w:rsidR="00C32BEE">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[215,216]</w:t>
      </w:r>
      <w:r w:rsidR="00C32BEE">
        <w:rPr>
          <w:rFonts w:ascii="Times New Roman" w:hAnsi="Times New Roman" w:cs="Times New Roman"/>
          <w:sz w:val="28"/>
          <w:szCs w:val="28"/>
          <w:lang w:val="kk-KZ"/>
        </w:rPr>
        <w:fldChar w:fldCharType="end"/>
      </w:r>
      <w:r w:rsidRPr="002F33D0">
        <w:rPr>
          <w:rFonts w:ascii="Times New Roman" w:hAnsi="Times New Roman" w:cs="Times New Roman"/>
          <w:sz w:val="28"/>
          <w:szCs w:val="28"/>
        </w:rPr>
        <w:t>, в которые ресурсы трансформируются в инновационные продукты и процессы посредством внутренних и внешних взаимодействий.</w:t>
      </w:r>
    </w:p>
    <w:p w14:paraId="59635B7B" w14:textId="53B3E2A8"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Для практической реализации данной интеграции предлагается матрица ресурсно-процессного подхода (</w:t>
      </w:r>
      <w:r w:rsidR="00E27253">
        <w:rPr>
          <w:rFonts w:ascii="Times New Roman" w:hAnsi="Times New Roman" w:cs="Times New Roman"/>
          <w:sz w:val="28"/>
          <w:szCs w:val="28"/>
          <w:lang w:val="kk-KZ"/>
        </w:rPr>
        <w:t>т</w:t>
      </w:r>
      <w:r w:rsidRPr="002F33D0">
        <w:rPr>
          <w:rFonts w:ascii="Times New Roman" w:hAnsi="Times New Roman" w:cs="Times New Roman"/>
          <w:sz w:val="28"/>
          <w:szCs w:val="28"/>
        </w:rPr>
        <w:t xml:space="preserve">аблица </w:t>
      </w:r>
      <w:r w:rsidR="00826D0C">
        <w:rPr>
          <w:rFonts w:ascii="Times New Roman" w:hAnsi="Times New Roman" w:cs="Times New Roman"/>
          <w:sz w:val="28"/>
          <w:szCs w:val="28"/>
          <w:lang w:val="kk-KZ"/>
        </w:rPr>
        <w:t>29</w:t>
      </w:r>
      <w:r w:rsidRPr="002F33D0">
        <w:rPr>
          <w:rFonts w:ascii="Times New Roman" w:hAnsi="Times New Roman" w:cs="Times New Roman"/>
          <w:sz w:val="28"/>
          <w:szCs w:val="28"/>
        </w:rPr>
        <w:t xml:space="preserve">), которая служит концептуальной моделью диагностики и развития инновационного потенциала. Она позволяет отразить не только уровень обеспеченности ресурсами, но и эффективность их включённости в инновационные процессы. По горизонтали представлены ключевые ресурсные компоненты (управленческие, финансовые, технологические, кадровые и культурные), а по вертикали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процессы, обеспечивающие их трансформацию в инновационные результаты (обучение, цифровизация, взаимодействие, коммерциализация, институциональное развитие). </w:t>
      </w:r>
    </w:p>
    <w:p w14:paraId="53B95D11" w14:textId="77777777" w:rsidR="002F33D0" w:rsidRPr="002F33D0" w:rsidRDefault="002F33D0" w:rsidP="002F33D0">
      <w:pPr>
        <w:spacing w:after="0" w:line="240" w:lineRule="auto"/>
        <w:jc w:val="both"/>
        <w:rPr>
          <w:rFonts w:ascii="Times New Roman" w:hAnsi="Times New Roman" w:cs="Times New Roman"/>
          <w:sz w:val="28"/>
          <w:szCs w:val="28"/>
        </w:rPr>
      </w:pPr>
    </w:p>
    <w:p w14:paraId="5D4362CB" w14:textId="77777777" w:rsidR="00C32BEE" w:rsidRDefault="00C32BEE" w:rsidP="002F33D0">
      <w:pPr>
        <w:spacing w:after="0" w:line="240" w:lineRule="auto"/>
        <w:jc w:val="both"/>
        <w:rPr>
          <w:rFonts w:ascii="Times New Roman" w:hAnsi="Times New Roman" w:cs="Times New Roman"/>
          <w:sz w:val="28"/>
          <w:szCs w:val="28"/>
        </w:rPr>
      </w:pPr>
    </w:p>
    <w:p w14:paraId="2BB45763" w14:textId="77777777" w:rsidR="00C32BEE" w:rsidRDefault="00C32BEE" w:rsidP="002F33D0">
      <w:pPr>
        <w:spacing w:after="0" w:line="240" w:lineRule="auto"/>
        <w:jc w:val="both"/>
        <w:rPr>
          <w:rFonts w:ascii="Times New Roman" w:hAnsi="Times New Roman" w:cs="Times New Roman"/>
          <w:sz w:val="28"/>
          <w:szCs w:val="28"/>
        </w:rPr>
      </w:pPr>
    </w:p>
    <w:p w14:paraId="2E3188F9" w14:textId="77777777" w:rsidR="00C32BEE" w:rsidRDefault="00C32BEE" w:rsidP="002F33D0">
      <w:pPr>
        <w:spacing w:after="0" w:line="240" w:lineRule="auto"/>
        <w:jc w:val="both"/>
        <w:rPr>
          <w:rFonts w:ascii="Times New Roman" w:hAnsi="Times New Roman" w:cs="Times New Roman"/>
          <w:sz w:val="28"/>
          <w:szCs w:val="28"/>
        </w:rPr>
      </w:pPr>
    </w:p>
    <w:p w14:paraId="132B8A58" w14:textId="77777777" w:rsidR="00124A83" w:rsidRDefault="00124A83">
      <w:pPr>
        <w:rPr>
          <w:rFonts w:ascii="Times New Roman" w:hAnsi="Times New Roman" w:cs="Times New Roman"/>
          <w:sz w:val="28"/>
          <w:szCs w:val="28"/>
        </w:rPr>
      </w:pPr>
      <w:r>
        <w:rPr>
          <w:rFonts w:ascii="Times New Roman" w:hAnsi="Times New Roman" w:cs="Times New Roman"/>
          <w:sz w:val="28"/>
          <w:szCs w:val="28"/>
        </w:rPr>
        <w:br w:type="page"/>
      </w:r>
    </w:p>
    <w:p w14:paraId="7E17982B" w14:textId="77777777" w:rsidR="004C518B" w:rsidRDefault="004C518B" w:rsidP="002F33D0">
      <w:pPr>
        <w:spacing w:after="0" w:line="240" w:lineRule="auto"/>
        <w:jc w:val="both"/>
        <w:rPr>
          <w:rFonts w:ascii="Times New Roman" w:hAnsi="Times New Roman" w:cs="Times New Roman"/>
          <w:sz w:val="28"/>
          <w:szCs w:val="28"/>
        </w:rPr>
        <w:sectPr w:rsidR="004C518B">
          <w:pgSz w:w="11906" w:h="16838"/>
          <w:pgMar w:top="1134" w:right="850" w:bottom="1134" w:left="1701" w:header="708" w:footer="708" w:gutter="0"/>
          <w:cols w:space="708"/>
          <w:docGrid w:linePitch="360"/>
        </w:sectPr>
      </w:pPr>
    </w:p>
    <w:p w14:paraId="093437C9" w14:textId="4422976A" w:rsidR="002F33D0" w:rsidRPr="002F33D0" w:rsidRDefault="002F33D0" w:rsidP="002F33D0">
      <w:pPr>
        <w:spacing w:after="0" w:line="240" w:lineRule="auto"/>
        <w:jc w:val="both"/>
        <w:rPr>
          <w:rFonts w:ascii="Times New Roman" w:hAnsi="Times New Roman" w:cs="Times New Roman"/>
          <w:sz w:val="28"/>
          <w:szCs w:val="28"/>
        </w:rPr>
      </w:pPr>
      <w:r w:rsidRPr="002F33D0">
        <w:rPr>
          <w:rFonts w:ascii="Times New Roman" w:hAnsi="Times New Roman" w:cs="Times New Roman"/>
          <w:sz w:val="28"/>
          <w:szCs w:val="28"/>
        </w:rPr>
        <w:lastRenderedPageBreak/>
        <w:t xml:space="preserve">Таблица </w:t>
      </w:r>
      <w:r w:rsidR="00826D0C">
        <w:rPr>
          <w:rFonts w:ascii="Times New Roman" w:hAnsi="Times New Roman" w:cs="Times New Roman"/>
          <w:sz w:val="28"/>
          <w:szCs w:val="28"/>
          <w:lang w:val="kk-KZ"/>
        </w:rPr>
        <w:t>29</w:t>
      </w:r>
      <w:r w:rsidRPr="002F33D0">
        <w:rPr>
          <w:rFonts w:ascii="Times New Roman" w:hAnsi="Times New Roman" w:cs="Times New Roman"/>
          <w:sz w:val="28"/>
          <w:szCs w:val="28"/>
        </w:rPr>
        <w:t xml:space="preserve"> – Матрица ресурсно-процессного подхода к проектированию инновационного потенциала предпринимательских структур</w:t>
      </w:r>
    </w:p>
    <w:p w14:paraId="334CCEFF" w14:textId="2C93E6C7" w:rsidR="002F33D0" w:rsidRPr="00826D0C" w:rsidRDefault="00A96D12" w:rsidP="002F33D0">
      <w:pPr>
        <w:spacing w:after="0"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41093171" wp14:editId="487F9E7E">
                <wp:simplePos x="0" y="0"/>
                <wp:positionH relativeFrom="column">
                  <wp:posOffset>-462598</wp:posOffset>
                </wp:positionH>
                <wp:positionV relativeFrom="paragraph">
                  <wp:posOffset>2306304</wp:posOffset>
                </wp:positionV>
                <wp:extent cx="493776" cy="320040"/>
                <wp:effectExtent l="0" t="0" r="0" b="0"/>
                <wp:wrapNone/>
                <wp:docPr id="172" name="Надпись 172"/>
                <wp:cNvGraphicFramePr/>
                <a:graphic xmlns:a="http://schemas.openxmlformats.org/drawingml/2006/main">
                  <a:graphicData uri="http://schemas.microsoft.com/office/word/2010/wordprocessingShape">
                    <wps:wsp>
                      <wps:cNvSpPr txBox="1"/>
                      <wps:spPr>
                        <a:xfrm rot="5400000">
                          <a:off x="0" y="0"/>
                          <a:ext cx="493776" cy="3200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88DD4DC" w14:textId="5ED0B671" w:rsidR="001D4931" w:rsidRPr="00A96D12" w:rsidRDefault="001D4931" w:rsidP="00A96D12">
                            <w:pPr>
                              <w:jc w:val="center"/>
                              <w:rPr>
                                <w:rFonts w:ascii="Times New Roman" w:hAnsi="Times New Roman" w:cs="Times New Roman"/>
                                <w:lang w:val="kk-KZ"/>
                              </w:rPr>
                            </w:pPr>
                            <w:r w:rsidRPr="00A96D12">
                              <w:rPr>
                                <w:rFonts w:ascii="Times New Roman" w:hAnsi="Times New Roman" w:cs="Times New Roman"/>
                                <w:lang w:val="kk-KZ"/>
                              </w:rPr>
                              <w:t>111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93171" id="Надпись 172" o:spid="_x0000_s1070" type="#_x0000_t202" style="position:absolute;left:0;text-align:left;margin-left:-36.45pt;margin-top:181.6pt;width:38.9pt;height:25.2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xoAIAAHMFAAAOAAAAZHJzL2Uyb0RvYy54bWysVMFuEzEQvSPxD5bvdJM0bWjUTRVaFSFV&#10;bUWLena8drLCaxvbyW64cecX+AcOHLjxC+kf8ezNhlK4FLGHlT3zZjzz5tnHJ02lyEo4Xxqd0/5e&#10;jxKhuSlKPc/pu9vzFy8p8YHpgimjRU7XwtOTyfNnx7Udi4FZGFUIR5BE+3Ftc7oIwY6zzPOFqJjf&#10;M1ZoOKVxFQvYunlWOFYje6WyQa93mNXGFdYZLryH9ax10knKL6Xg4UpKLwJROUVtIf1d+s/iP5sc&#10;s/HcMbso+bYM9g9VVKzUOHSX6owFRpau/CNVVXJnvJFhj5sqM1KWXKQe0E2/96ibmwWzIvUCcrzd&#10;0eT/X1p+ubp2pCwwu9GAEs0qDGnzZfN1823zY/P9/tP9ZxI94Km2fgz4jUVAaF6ZBjGd3cMY22+k&#10;q4gzoPlg2ItfIgVtEqDB/3rHuWgC4TAOj/ZHo0NKOFz7mOgwzSRrU8WU1vnwWpiKxEVOHUaakrLV&#10;hQ8oC9AOEuHanJdKpbEq/ZsBwGjJYh9tvWkV1kpEnNJvhQQTqdBo8NzNZ6fKkVYu0DMa6ESTkiEg&#10;AiUOfGLsNiRGi6TSJ8bvgtL5RoddfFVq4xJB6Q6J2MCKQf3F+zQtFC5bfEdFS0DkIjSzJmlhsBvs&#10;zBRrzDuNFO17y89LzOGC+XDNHK4KjLj+4Qo/qUydU7NdUbIw7uPf7BEPBcNLSY2rl1P/YcmcoES9&#10;0dD2UX8IFZCQNsOD0QAb99Aze+jRy+rUoL9+qi4tIz6obimdqe7wSkzjqXAxzXF2TkO3PA3thPHK&#10;cDGdJhBup2XhQt9YHlNHmqPKbps75uxWigEavjTdJWXjR4pssTFSm+kyGFkmuUaiW1a3A8DNTire&#10;vkLx6Xi4T6hfb+XkJwAAAP//AwBQSwMEFAAGAAgAAAAhAD7YuE7gAAAACgEAAA8AAABkcnMvZG93&#10;bnJldi54bWxMj8tOwzAQRfdI/IM1SOxSJ+k7xKmgUllANi39ADeeJhH2OIqdJvD1mBUsR3N077n5&#10;bjKa3bB3rSUBySwGhlRZ1VIt4PxxiDbAnJekpLaEAr7Qwa64v8tlpuxIR7ydfM1CCLlMCmi87zLO&#10;XdWgkW5mO6Twu9reSB/Ovuaql2MIN5qncbziRrYUGhrZ4b7B6vM0GAHD+K5p/1aWr6v19/FQVkk5&#10;vSRCPD5Mz0/APE7+D4Zf/aAORXC62IGUY1pAtNymARUwX2yXwAIRbcKWi4BFup4DL3L+f0LxAwAA&#10;//8DAFBLAQItABQABgAIAAAAIQC2gziS/gAAAOEBAAATAAAAAAAAAAAAAAAAAAAAAABbQ29udGVu&#10;dF9UeXBlc10ueG1sUEsBAi0AFAAGAAgAAAAhADj9If/WAAAAlAEAAAsAAAAAAAAAAAAAAAAALwEA&#10;AF9yZWxzLy5yZWxzUEsBAi0AFAAGAAgAAAAhAID177GgAgAAcwUAAA4AAAAAAAAAAAAAAAAALgIA&#10;AGRycy9lMm9Eb2MueG1sUEsBAi0AFAAGAAgAAAAhAD7YuE7gAAAACgEAAA8AAAAAAAAAAAAAAAAA&#10;+gQAAGRycy9kb3ducmV2LnhtbFBLBQYAAAAABAAEAPMAAAAHBgAAAAA=&#10;" filled="f" stroked="f">
                <v:textbox>
                  <w:txbxContent>
                    <w:p w14:paraId="088DD4DC" w14:textId="5ED0B671" w:rsidR="001D4931" w:rsidRPr="00A96D12" w:rsidRDefault="001D4931" w:rsidP="00A96D12">
                      <w:pPr>
                        <w:jc w:val="center"/>
                        <w:rPr>
                          <w:rFonts w:ascii="Times New Roman" w:hAnsi="Times New Roman" w:cs="Times New Roman"/>
                          <w:lang w:val="kk-KZ"/>
                        </w:rPr>
                      </w:pPr>
                      <w:r w:rsidRPr="00A96D12">
                        <w:rPr>
                          <w:rFonts w:ascii="Times New Roman" w:hAnsi="Times New Roman" w:cs="Times New Roman"/>
                          <w:lang w:val="kk-KZ"/>
                        </w:rPr>
                        <w:t>111</w:t>
                      </w:r>
                    </w:p>
                  </w:txbxContent>
                </v:textbox>
              </v:shape>
            </w:pict>
          </mc:Fallback>
        </mc:AlternateContent>
      </w:r>
      <w:r w:rsidR="00C465CD">
        <w:rPr>
          <w:rFonts w:ascii="Times New Roman" w:hAnsi="Times New Roman" w:cs="Times New Roman"/>
          <w:noProof/>
          <w:sz w:val="20"/>
          <w:szCs w:val="20"/>
          <w:lang w:eastAsia="ru-RU"/>
        </w:rPr>
        <mc:AlternateContent>
          <mc:Choice Requires="wps">
            <w:drawing>
              <wp:anchor distT="0" distB="0" distL="114300" distR="114300" simplePos="0" relativeHeight="251691008" behindDoc="0" locked="0" layoutInCell="1" allowOverlap="1" wp14:anchorId="00EA0505" wp14:editId="1EAA43D6">
                <wp:simplePos x="0" y="0"/>
                <wp:positionH relativeFrom="column">
                  <wp:posOffset>4400550</wp:posOffset>
                </wp:positionH>
                <wp:positionV relativeFrom="paragraph">
                  <wp:posOffset>5817235</wp:posOffset>
                </wp:positionV>
                <wp:extent cx="426720" cy="228600"/>
                <wp:effectExtent l="0" t="0" r="11430" b="19050"/>
                <wp:wrapNone/>
                <wp:docPr id="52" name="Прямоугольник 52"/>
                <wp:cNvGraphicFramePr/>
                <a:graphic xmlns:a="http://schemas.openxmlformats.org/drawingml/2006/main">
                  <a:graphicData uri="http://schemas.microsoft.com/office/word/2010/wordprocessingShape">
                    <wps:wsp>
                      <wps:cNvSpPr/>
                      <wps:spPr>
                        <a:xfrm>
                          <a:off x="0" y="0"/>
                          <a:ext cx="426720" cy="228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9CA63B" id="Прямоугольник 52" o:spid="_x0000_s1026" style="position:absolute;margin-left:346.5pt;margin-top:458.05pt;width:33.6pt;height:1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MS8uAIAAL4FAAAOAAAAZHJzL2Uyb0RvYy54bWysVM1uEzEQviPxDpbvdDertEDUTRW1KkKq&#10;2ooW9ex47exK/sN2sgknJK5IPAIPwQXx02fYvBFj709KqThU5OCMd2a+mfk8M4dHaynQillXaZXj&#10;0V6KEVNUF5Va5Pjt9emzFxg5T1RBhFYsxxvm8NH06ZPD2kxYpkstCmYRgCg3qU2OS+/NJEkcLZkk&#10;bk8bpkDJtZXEw9UuksKSGtClSLI0PUhqbQtjNWXOwdeTVomnEZ9zRv0F5455JHIMufl42njOw5lM&#10;D8lkYYkpK9qlQR6RhSSVgqAD1AnxBC1t9ReUrKjVTnO/R7VMNOcVZbEGqGaU3qvmqiSGxVqAHGcG&#10;mtz/g6Xnq0uLqiLH+xlGikh4o+bL9sP2c/Ozud1+bL42t82P7afmV/Ot+Y7ACBirjZuA45W5tN3N&#10;gRjKX3Mrwz8UhtaR5c3AMlt7ROHjODt4nsFbUFBl2YuDNL5CsnM21vlXTEsUhBxbeMTILVmdOQ8B&#10;wbQ3CbGcFlVxWgkRL6Fx2LGwaEXgyeeLUUgYPP6wEupRjgATPJNQf1txlPxGsIAn1BvGgUuoMYsJ&#10;xy7eJUMoZcqPWlVJCtbmuJ/Cr8+yTz/mHAEDMofqBuwOoLdsQXrsttjOPriyOASDc/qvxFrnwSNG&#10;1soPzrJS2j4EIKCqLnJr35PUUhNYmutiA51mdTuCztDTCp73jDh/SSzMHHQE7BF/AQcXus6x7iSM&#10;Sm3fP/Q92MMogBajGmY4x+7dkliGkXitYEhejsbjMPTxMt6PXWfvauZ3NWopjzX0zAg2lqFRBGfr&#10;RS9yq+UNrJtZiAoqoijEzjH1tr8c+3a3wMKibDaLZjDohvgzdWVoAA+shva9Xt8Qa7oe9zAc57qf&#10;dzK51+qtbfBUerb0mldxDna8dnzDkoiN0y20sIXu3qPVbu1OfwMAAP//AwBQSwMEFAAGAAgAAAAh&#10;ABpnlvfhAAAACwEAAA8AAABkcnMvZG93bnJldi54bWxMj0FPg0AQhe8m/ofNmHizCxipIEtjjMaY&#10;eKitSXvcwiwQ2VnCLhT/veNJj2/ey5vvFZvF9mLG0XeOFMSrCARS5eqOGgWf+5ebexA+aKp17wgV&#10;fKOHTXl5Uei8dmf6wHkXGsEl5HOtoA1hyKX0VYtW+5UbkNgzbrQ6sBwbWY/6zOW2l0kUpdLqjvhD&#10;qwd8arH62k1WwdHo1/3zm3+XJplN1m2ng1lPSl1fLY8PIAIu4S8Mv/iMDiUzndxEtRe9gjS75S1B&#10;QRanMQhOrNMoAXHiy10SgywL+X9D+QMAAP//AwBQSwECLQAUAAYACAAAACEAtoM4kv4AAADhAQAA&#10;EwAAAAAAAAAAAAAAAAAAAAAAW0NvbnRlbnRfVHlwZXNdLnhtbFBLAQItABQABgAIAAAAIQA4/SH/&#10;1gAAAJQBAAALAAAAAAAAAAAAAAAAAC8BAABfcmVscy8ucmVsc1BLAQItABQABgAIAAAAIQC0zMS8&#10;uAIAAL4FAAAOAAAAAAAAAAAAAAAAAC4CAABkcnMvZTJvRG9jLnhtbFBLAQItABQABgAIAAAAIQAa&#10;Z5b34QAAAAsBAAAPAAAAAAAAAAAAAAAAABIFAABkcnMvZG93bnJldi54bWxQSwUGAAAAAAQABADz&#10;AAAAIAYAAAAA&#10;" fillcolor="white [3212]" strokecolor="white [3212]" strokeweight="1pt"/>
            </w:pict>
          </mc:Fallback>
        </mc:AlternateContent>
      </w:r>
    </w:p>
    <w:tbl>
      <w:tblPr>
        <w:tblStyle w:val="a5"/>
        <w:tblW w:w="14497" w:type="dxa"/>
        <w:tblLayout w:type="fixed"/>
        <w:tblLook w:val="04A0" w:firstRow="1" w:lastRow="0" w:firstColumn="1" w:lastColumn="0" w:noHBand="0" w:noVBand="1"/>
      </w:tblPr>
      <w:tblGrid>
        <w:gridCol w:w="2025"/>
        <w:gridCol w:w="2506"/>
        <w:gridCol w:w="2435"/>
        <w:gridCol w:w="2450"/>
        <w:gridCol w:w="2572"/>
        <w:gridCol w:w="2509"/>
      </w:tblGrid>
      <w:tr w:rsidR="004C518B" w:rsidRPr="004C518B" w14:paraId="25E9250F" w14:textId="77777777" w:rsidTr="004C518B">
        <w:tc>
          <w:tcPr>
            <w:tcW w:w="2025" w:type="dxa"/>
            <w:hideMark/>
          </w:tcPr>
          <w:p w14:paraId="77A188AE" w14:textId="77777777" w:rsidR="004C518B" w:rsidRPr="00A24C82" w:rsidRDefault="004C518B" w:rsidP="004C518B">
            <w:pPr>
              <w:ind w:firstLine="0"/>
              <w:jc w:val="center"/>
              <w:rPr>
                <w:rFonts w:eastAsia="Times New Roman"/>
                <w:sz w:val="23"/>
                <w:szCs w:val="23"/>
                <w:lang w:eastAsia="ru-RU"/>
              </w:rPr>
            </w:pPr>
            <w:r w:rsidRPr="004C518B">
              <w:rPr>
                <w:rFonts w:eastAsia="Times New Roman"/>
                <w:sz w:val="23"/>
                <w:szCs w:val="23"/>
                <w:lang w:eastAsia="ru-RU"/>
              </w:rPr>
              <w:t>Компонент инновационного потенциала (R)</w:t>
            </w:r>
          </w:p>
        </w:tc>
        <w:tc>
          <w:tcPr>
            <w:tcW w:w="2506" w:type="dxa"/>
            <w:hideMark/>
          </w:tcPr>
          <w:p w14:paraId="0B0574E6" w14:textId="77777777" w:rsidR="004C518B" w:rsidRPr="00A24C82" w:rsidRDefault="004C518B" w:rsidP="004C518B">
            <w:pPr>
              <w:ind w:firstLine="0"/>
              <w:jc w:val="center"/>
              <w:rPr>
                <w:rFonts w:eastAsia="Times New Roman"/>
                <w:sz w:val="23"/>
                <w:szCs w:val="23"/>
                <w:lang w:eastAsia="ru-RU"/>
              </w:rPr>
            </w:pPr>
            <w:r w:rsidRPr="004C518B">
              <w:rPr>
                <w:rFonts w:eastAsia="Times New Roman"/>
                <w:sz w:val="23"/>
                <w:szCs w:val="23"/>
                <w:lang w:eastAsia="ru-RU"/>
              </w:rPr>
              <w:t>Роль в системе ИП и связь с устойчивым развитием</w:t>
            </w:r>
          </w:p>
        </w:tc>
        <w:tc>
          <w:tcPr>
            <w:tcW w:w="2435" w:type="dxa"/>
            <w:hideMark/>
          </w:tcPr>
          <w:p w14:paraId="6B624E6E" w14:textId="77777777" w:rsidR="004C518B" w:rsidRPr="00A24C82" w:rsidRDefault="004C518B" w:rsidP="004C518B">
            <w:pPr>
              <w:ind w:firstLine="0"/>
              <w:jc w:val="center"/>
              <w:rPr>
                <w:rFonts w:eastAsia="Times New Roman"/>
                <w:sz w:val="23"/>
                <w:szCs w:val="23"/>
                <w:lang w:eastAsia="ru-RU"/>
              </w:rPr>
            </w:pPr>
            <w:r w:rsidRPr="004C518B">
              <w:rPr>
                <w:rFonts w:eastAsia="Times New Roman"/>
                <w:sz w:val="23"/>
                <w:szCs w:val="23"/>
                <w:lang w:eastAsia="ru-RU"/>
              </w:rPr>
              <w:t>P</w:t>
            </w:r>
            <w:r w:rsidRPr="004C518B">
              <w:rPr>
                <w:rFonts w:eastAsia="Times New Roman"/>
                <w:sz w:val="23"/>
                <w:szCs w:val="23"/>
                <w:vertAlign w:val="subscript"/>
                <w:lang w:eastAsia="ru-RU"/>
              </w:rPr>
              <w:t>1</w:t>
            </w:r>
            <w:r w:rsidRPr="004C518B">
              <w:rPr>
                <w:rFonts w:eastAsia="Times New Roman"/>
                <w:sz w:val="23"/>
                <w:szCs w:val="23"/>
                <w:lang w:eastAsia="ru-RU"/>
              </w:rPr>
              <w:t>. Формирование и подготовка инноваций</w:t>
            </w:r>
          </w:p>
        </w:tc>
        <w:tc>
          <w:tcPr>
            <w:tcW w:w="2450" w:type="dxa"/>
            <w:hideMark/>
          </w:tcPr>
          <w:p w14:paraId="3567B89D" w14:textId="77777777" w:rsidR="004C518B" w:rsidRPr="00A24C82" w:rsidRDefault="004C518B" w:rsidP="004C518B">
            <w:pPr>
              <w:ind w:firstLine="0"/>
              <w:jc w:val="center"/>
              <w:rPr>
                <w:rFonts w:eastAsia="Times New Roman"/>
                <w:sz w:val="23"/>
                <w:szCs w:val="23"/>
                <w:lang w:eastAsia="ru-RU"/>
              </w:rPr>
            </w:pPr>
            <w:r w:rsidRPr="004C518B">
              <w:rPr>
                <w:rFonts w:eastAsia="Times New Roman"/>
                <w:sz w:val="23"/>
                <w:szCs w:val="23"/>
                <w:lang w:eastAsia="ru-RU"/>
              </w:rPr>
              <w:t>P</w:t>
            </w:r>
            <w:r w:rsidRPr="004C518B">
              <w:rPr>
                <w:rFonts w:eastAsia="Times New Roman"/>
                <w:sz w:val="23"/>
                <w:szCs w:val="23"/>
                <w:vertAlign w:val="subscript"/>
                <w:lang w:eastAsia="ru-RU"/>
              </w:rPr>
              <w:t>2</w:t>
            </w:r>
            <w:r w:rsidRPr="004C518B">
              <w:rPr>
                <w:rFonts w:eastAsia="Times New Roman"/>
                <w:sz w:val="23"/>
                <w:szCs w:val="23"/>
                <w:lang w:eastAsia="ru-RU"/>
              </w:rPr>
              <w:t>. Реализация и взаимодействие</w:t>
            </w:r>
          </w:p>
        </w:tc>
        <w:tc>
          <w:tcPr>
            <w:tcW w:w="2572" w:type="dxa"/>
            <w:hideMark/>
          </w:tcPr>
          <w:p w14:paraId="6722332D" w14:textId="77777777" w:rsidR="004C518B" w:rsidRPr="00A24C82" w:rsidRDefault="004C518B" w:rsidP="004C518B">
            <w:pPr>
              <w:ind w:firstLine="0"/>
              <w:jc w:val="center"/>
              <w:rPr>
                <w:rFonts w:eastAsia="Times New Roman"/>
                <w:sz w:val="23"/>
                <w:szCs w:val="23"/>
                <w:lang w:eastAsia="ru-RU"/>
              </w:rPr>
            </w:pPr>
            <w:r w:rsidRPr="004C518B">
              <w:rPr>
                <w:rFonts w:eastAsia="Times New Roman"/>
                <w:sz w:val="23"/>
                <w:szCs w:val="23"/>
                <w:lang w:eastAsia="ru-RU"/>
              </w:rPr>
              <w:t>P</w:t>
            </w:r>
            <w:r w:rsidRPr="004C518B">
              <w:rPr>
                <w:rFonts w:eastAsia="Times New Roman"/>
                <w:sz w:val="23"/>
                <w:szCs w:val="23"/>
                <w:vertAlign w:val="subscript"/>
                <w:lang w:eastAsia="ru-RU"/>
              </w:rPr>
              <w:t>3</w:t>
            </w:r>
            <w:r w:rsidRPr="004C518B">
              <w:rPr>
                <w:rFonts w:eastAsia="Times New Roman"/>
                <w:sz w:val="23"/>
                <w:szCs w:val="23"/>
                <w:lang w:eastAsia="ru-RU"/>
              </w:rPr>
              <w:t>. Воспроизводство и развитие</w:t>
            </w:r>
          </w:p>
        </w:tc>
        <w:tc>
          <w:tcPr>
            <w:tcW w:w="2509" w:type="dxa"/>
            <w:hideMark/>
          </w:tcPr>
          <w:p w14:paraId="261244E1" w14:textId="77777777" w:rsidR="004C518B" w:rsidRPr="00A24C82" w:rsidRDefault="004C518B" w:rsidP="004C518B">
            <w:pPr>
              <w:ind w:firstLine="0"/>
              <w:jc w:val="center"/>
              <w:rPr>
                <w:rFonts w:eastAsia="Times New Roman"/>
                <w:sz w:val="23"/>
                <w:szCs w:val="23"/>
                <w:lang w:eastAsia="ru-RU"/>
              </w:rPr>
            </w:pPr>
            <w:r w:rsidRPr="004C518B">
              <w:rPr>
                <w:rFonts w:eastAsia="Times New Roman"/>
                <w:sz w:val="23"/>
                <w:szCs w:val="23"/>
                <w:lang w:eastAsia="ru-RU"/>
              </w:rPr>
              <w:t>Эмпирическое обоснование</w:t>
            </w:r>
          </w:p>
        </w:tc>
      </w:tr>
      <w:tr w:rsidR="004C518B" w:rsidRPr="004C518B" w14:paraId="2D20A77A" w14:textId="77777777" w:rsidTr="004C518B">
        <w:tc>
          <w:tcPr>
            <w:tcW w:w="2025" w:type="dxa"/>
          </w:tcPr>
          <w:p w14:paraId="16F9F912" w14:textId="2BC4BDEC" w:rsidR="004C518B" w:rsidRPr="004C518B" w:rsidRDefault="004C518B" w:rsidP="004C518B">
            <w:pPr>
              <w:ind w:firstLine="0"/>
              <w:jc w:val="center"/>
              <w:rPr>
                <w:rFonts w:eastAsia="Times New Roman"/>
                <w:sz w:val="23"/>
                <w:szCs w:val="23"/>
                <w:lang w:eastAsia="ru-RU"/>
              </w:rPr>
            </w:pPr>
            <w:r w:rsidRPr="004C518B">
              <w:rPr>
                <w:rFonts w:eastAsia="Times New Roman"/>
                <w:sz w:val="23"/>
                <w:szCs w:val="23"/>
                <w:lang w:eastAsia="ru-RU"/>
              </w:rPr>
              <w:t>1</w:t>
            </w:r>
          </w:p>
        </w:tc>
        <w:tc>
          <w:tcPr>
            <w:tcW w:w="2506" w:type="dxa"/>
          </w:tcPr>
          <w:p w14:paraId="0ED4E19D" w14:textId="3DA6257D" w:rsidR="004C518B" w:rsidRPr="004C518B" w:rsidRDefault="004C518B" w:rsidP="004C518B">
            <w:pPr>
              <w:ind w:firstLine="0"/>
              <w:jc w:val="center"/>
              <w:rPr>
                <w:rFonts w:eastAsia="Times New Roman"/>
                <w:sz w:val="23"/>
                <w:szCs w:val="23"/>
                <w:lang w:eastAsia="ru-RU"/>
              </w:rPr>
            </w:pPr>
            <w:r w:rsidRPr="004C518B">
              <w:rPr>
                <w:rFonts w:eastAsia="Times New Roman"/>
                <w:sz w:val="23"/>
                <w:szCs w:val="23"/>
                <w:lang w:eastAsia="ru-RU"/>
              </w:rPr>
              <w:t>2</w:t>
            </w:r>
          </w:p>
        </w:tc>
        <w:tc>
          <w:tcPr>
            <w:tcW w:w="2435" w:type="dxa"/>
          </w:tcPr>
          <w:p w14:paraId="17DFEEBF" w14:textId="2DD4383D" w:rsidR="004C518B" w:rsidRPr="004C518B" w:rsidRDefault="004C518B" w:rsidP="004C518B">
            <w:pPr>
              <w:ind w:firstLine="0"/>
              <w:jc w:val="center"/>
              <w:rPr>
                <w:rFonts w:eastAsia="Times New Roman"/>
                <w:sz w:val="23"/>
                <w:szCs w:val="23"/>
                <w:lang w:eastAsia="ru-RU"/>
              </w:rPr>
            </w:pPr>
            <w:r w:rsidRPr="004C518B">
              <w:rPr>
                <w:rFonts w:eastAsia="Times New Roman"/>
                <w:sz w:val="23"/>
                <w:szCs w:val="23"/>
                <w:lang w:eastAsia="ru-RU"/>
              </w:rPr>
              <w:t>3</w:t>
            </w:r>
          </w:p>
        </w:tc>
        <w:tc>
          <w:tcPr>
            <w:tcW w:w="2450" w:type="dxa"/>
          </w:tcPr>
          <w:p w14:paraId="04D6DD66" w14:textId="3D6E8700" w:rsidR="004C518B" w:rsidRPr="004C518B" w:rsidRDefault="004C518B" w:rsidP="004C518B">
            <w:pPr>
              <w:ind w:firstLine="0"/>
              <w:jc w:val="center"/>
              <w:rPr>
                <w:rFonts w:eastAsia="Times New Roman"/>
                <w:sz w:val="23"/>
                <w:szCs w:val="23"/>
                <w:lang w:eastAsia="ru-RU"/>
              </w:rPr>
            </w:pPr>
            <w:r w:rsidRPr="004C518B">
              <w:rPr>
                <w:rFonts w:eastAsia="Times New Roman"/>
                <w:sz w:val="23"/>
                <w:szCs w:val="23"/>
                <w:lang w:eastAsia="ru-RU"/>
              </w:rPr>
              <w:t>4</w:t>
            </w:r>
          </w:p>
        </w:tc>
        <w:tc>
          <w:tcPr>
            <w:tcW w:w="2572" w:type="dxa"/>
          </w:tcPr>
          <w:p w14:paraId="41F83486" w14:textId="0526B79C" w:rsidR="004C518B" w:rsidRPr="004C518B" w:rsidRDefault="004C518B" w:rsidP="004C518B">
            <w:pPr>
              <w:ind w:firstLine="0"/>
              <w:jc w:val="center"/>
              <w:rPr>
                <w:rFonts w:eastAsia="Times New Roman"/>
                <w:sz w:val="23"/>
                <w:szCs w:val="23"/>
                <w:lang w:eastAsia="ru-RU"/>
              </w:rPr>
            </w:pPr>
            <w:r w:rsidRPr="004C518B">
              <w:rPr>
                <w:rFonts w:eastAsia="Times New Roman"/>
                <w:sz w:val="23"/>
                <w:szCs w:val="23"/>
                <w:lang w:eastAsia="ru-RU"/>
              </w:rPr>
              <w:t>5</w:t>
            </w:r>
          </w:p>
        </w:tc>
        <w:tc>
          <w:tcPr>
            <w:tcW w:w="2509" w:type="dxa"/>
          </w:tcPr>
          <w:p w14:paraId="6A03C16F" w14:textId="0B72C01D" w:rsidR="004C518B" w:rsidRPr="004C518B" w:rsidRDefault="004C518B" w:rsidP="004C518B">
            <w:pPr>
              <w:ind w:firstLine="0"/>
              <w:jc w:val="center"/>
              <w:rPr>
                <w:rFonts w:eastAsia="Times New Roman"/>
                <w:sz w:val="23"/>
                <w:szCs w:val="23"/>
                <w:lang w:eastAsia="ru-RU"/>
              </w:rPr>
            </w:pPr>
            <w:r w:rsidRPr="004C518B">
              <w:rPr>
                <w:rFonts w:eastAsia="Times New Roman"/>
                <w:sz w:val="23"/>
                <w:szCs w:val="23"/>
                <w:lang w:eastAsia="ru-RU"/>
              </w:rPr>
              <w:t>6</w:t>
            </w:r>
          </w:p>
        </w:tc>
      </w:tr>
      <w:tr w:rsidR="004C518B" w:rsidRPr="004C518B" w14:paraId="2FD11527" w14:textId="77777777" w:rsidTr="004C518B">
        <w:tc>
          <w:tcPr>
            <w:tcW w:w="2025" w:type="dxa"/>
            <w:hideMark/>
          </w:tcPr>
          <w:p w14:paraId="7C3F8890" w14:textId="77777777" w:rsidR="004C518B" w:rsidRPr="004C518B" w:rsidRDefault="004C518B" w:rsidP="004C518B">
            <w:pPr>
              <w:ind w:firstLine="0"/>
              <w:rPr>
                <w:rFonts w:eastAsia="Times New Roman"/>
                <w:bCs/>
                <w:sz w:val="23"/>
                <w:szCs w:val="23"/>
                <w:vertAlign w:val="subscript"/>
                <w:lang w:eastAsia="ru-RU"/>
              </w:rPr>
            </w:pPr>
            <w:r w:rsidRPr="00A24C82">
              <w:rPr>
                <w:rFonts w:eastAsia="Times New Roman"/>
                <w:bCs/>
                <w:sz w:val="23"/>
                <w:szCs w:val="23"/>
                <w:lang w:eastAsia="ru-RU"/>
              </w:rPr>
              <w:t>R</w:t>
            </w:r>
            <w:r w:rsidRPr="00A24C82">
              <w:rPr>
                <w:rFonts w:eastAsia="Times New Roman"/>
                <w:bCs/>
                <w:sz w:val="23"/>
                <w:szCs w:val="23"/>
                <w:vertAlign w:val="subscript"/>
                <w:lang w:eastAsia="ru-RU"/>
              </w:rPr>
              <w:t>1</w:t>
            </w:r>
          </w:p>
          <w:p w14:paraId="2C66ED88" w14:textId="77777777" w:rsidR="004C518B" w:rsidRPr="00A24C82" w:rsidRDefault="004C518B" w:rsidP="004C518B">
            <w:pPr>
              <w:ind w:firstLine="0"/>
              <w:rPr>
                <w:rFonts w:eastAsia="Times New Roman"/>
                <w:sz w:val="23"/>
                <w:szCs w:val="23"/>
                <w:lang w:eastAsia="ru-RU"/>
              </w:rPr>
            </w:pPr>
            <w:r w:rsidRPr="00A24C82">
              <w:rPr>
                <w:rFonts w:eastAsia="Times New Roman"/>
                <w:bCs/>
                <w:sz w:val="23"/>
                <w:szCs w:val="23"/>
                <w:lang w:eastAsia="ru-RU"/>
              </w:rPr>
              <w:t>Управленческо-инновационные ресурсы (MR)</w:t>
            </w:r>
          </w:p>
        </w:tc>
        <w:tc>
          <w:tcPr>
            <w:tcW w:w="2506" w:type="dxa"/>
            <w:hideMark/>
          </w:tcPr>
          <w:p w14:paraId="03B33F92" w14:textId="77777777" w:rsidR="004C518B" w:rsidRPr="00A24C82" w:rsidRDefault="004C518B" w:rsidP="004C518B">
            <w:pPr>
              <w:ind w:firstLine="0"/>
              <w:rPr>
                <w:rFonts w:eastAsia="Times New Roman"/>
                <w:sz w:val="23"/>
                <w:szCs w:val="23"/>
                <w:lang w:eastAsia="ru-RU"/>
              </w:rPr>
            </w:pPr>
            <w:r w:rsidRPr="004C518B">
              <w:rPr>
                <w:rFonts w:eastAsia="Times New Roman"/>
                <w:sz w:val="23"/>
                <w:szCs w:val="23"/>
                <w:lang w:eastAsia="ru-RU"/>
              </w:rPr>
              <w:t xml:space="preserve">Формируют стратегическую и организационную основу </w:t>
            </w:r>
            <w:r w:rsidRPr="004C518B">
              <w:rPr>
                <w:rFonts w:eastAsia="Times New Roman"/>
                <w:sz w:val="23"/>
                <w:szCs w:val="23"/>
                <w:lang w:val="kk-KZ" w:eastAsia="ru-RU"/>
              </w:rPr>
              <w:t>ИП</w:t>
            </w:r>
            <w:r w:rsidRPr="004C518B">
              <w:rPr>
                <w:rFonts w:eastAsia="Times New Roman"/>
                <w:sz w:val="23"/>
                <w:szCs w:val="23"/>
                <w:lang w:eastAsia="ru-RU"/>
              </w:rPr>
              <w:t>, обеспечивая управляемость инновационным процессом.</w:t>
            </w:r>
          </w:p>
        </w:tc>
        <w:tc>
          <w:tcPr>
            <w:tcW w:w="2435" w:type="dxa"/>
            <w:hideMark/>
          </w:tcPr>
          <w:p w14:paraId="0E9A6A41" w14:textId="77777777" w:rsidR="004C518B" w:rsidRPr="00A24C82" w:rsidRDefault="004C518B" w:rsidP="004C518B">
            <w:pPr>
              <w:ind w:firstLine="0"/>
              <w:rPr>
                <w:rFonts w:eastAsia="Times New Roman"/>
                <w:sz w:val="23"/>
                <w:szCs w:val="23"/>
                <w:lang w:eastAsia="ru-RU"/>
              </w:rPr>
            </w:pPr>
            <w:r w:rsidRPr="004C518B">
              <w:rPr>
                <w:rFonts w:eastAsia="Times New Roman"/>
                <w:sz w:val="23"/>
                <w:szCs w:val="23"/>
                <w:lang w:eastAsia="ru-RU"/>
              </w:rPr>
              <w:t xml:space="preserve">Разработка долгосрочной </w:t>
            </w:r>
            <w:r w:rsidRPr="00A24C82">
              <w:rPr>
                <w:rFonts w:eastAsia="Times New Roman"/>
                <w:bCs/>
                <w:sz w:val="23"/>
                <w:szCs w:val="23"/>
                <w:lang w:eastAsia="ru-RU"/>
              </w:rPr>
              <w:t>инновационной стратегии</w:t>
            </w:r>
            <w:r w:rsidRPr="004C518B">
              <w:rPr>
                <w:rFonts w:eastAsia="Times New Roman"/>
                <w:sz w:val="23"/>
                <w:szCs w:val="23"/>
                <w:lang w:eastAsia="ru-RU"/>
              </w:rPr>
              <w:t>, интегрированной с принципами ESG и цифровой трансформации.</w:t>
            </w:r>
          </w:p>
        </w:tc>
        <w:tc>
          <w:tcPr>
            <w:tcW w:w="2450" w:type="dxa"/>
            <w:hideMark/>
          </w:tcPr>
          <w:p w14:paraId="54EB0B84" w14:textId="77777777" w:rsidR="004C518B" w:rsidRPr="00A24C82" w:rsidRDefault="004C518B" w:rsidP="004C518B">
            <w:pPr>
              <w:ind w:firstLine="0"/>
              <w:rPr>
                <w:rFonts w:eastAsia="Times New Roman"/>
                <w:sz w:val="23"/>
                <w:szCs w:val="23"/>
                <w:lang w:eastAsia="ru-RU"/>
              </w:rPr>
            </w:pPr>
            <w:r w:rsidRPr="004C518B">
              <w:rPr>
                <w:rFonts w:eastAsia="Times New Roman"/>
                <w:sz w:val="23"/>
                <w:szCs w:val="23"/>
                <w:lang w:eastAsia="ru-RU"/>
              </w:rPr>
              <w:t xml:space="preserve">Внедрение </w:t>
            </w:r>
            <w:r w:rsidRPr="00A24C82">
              <w:rPr>
                <w:rFonts w:eastAsia="Times New Roman"/>
                <w:bCs/>
                <w:sz w:val="23"/>
                <w:szCs w:val="23"/>
                <w:lang w:eastAsia="ru-RU"/>
              </w:rPr>
              <w:t>гибких методологий</w:t>
            </w:r>
            <w:r w:rsidRPr="004C518B">
              <w:rPr>
                <w:rFonts w:eastAsia="Times New Roman"/>
                <w:sz w:val="23"/>
                <w:szCs w:val="23"/>
                <w:lang w:eastAsia="ru-RU"/>
              </w:rPr>
              <w:t xml:space="preserve"> управления проектами для ускорения внедрения решений; использование облачных сервисов для стандартизации документооборота.</w:t>
            </w:r>
          </w:p>
        </w:tc>
        <w:tc>
          <w:tcPr>
            <w:tcW w:w="2572" w:type="dxa"/>
            <w:hideMark/>
          </w:tcPr>
          <w:p w14:paraId="5825A0DE" w14:textId="77777777" w:rsidR="004C518B" w:rsidRPr="00A24C82" w:rsidRDefault="004C518B" w:rsidP="004C518B">
            <w:pPr>
              <w:ind w:firstLine="0"/>
              <w:rPr>
                <w:rFonts w:eastAsia="Times New Roman"/>
                <w:sz w:val="23"/>
                <w:szCs w:val="23"/>
                <w:lang w:eastAsia="ru-RU"/>
              </w:rPr>
            </w:pPr>
            <w:r w:rsidRPr="00A24C82">
              <w:rPr>
                <w:rFonts w:eastAsia="Times New Roman"/>
                <w:bCs/>
                <w:sz w:val="23"/>
                <w:szCs w:val="23"/>
                <w:lang w:eastAsia="ru-RU"/>
              </w:rPr>
              <w:t>Институционализация процессов стратегической адаптации</w:t>
            </w:r>
            <w:r w:rsidRPr="004C518B">
              <w:rPr>
                <w:rFonts w:eastAsia="Times New Roman"/>
                <w:sz w:val="23"/>
                <w:szCs w:val="23"/>
                <w:lang w:eastAsia="ru-RU"/>
              </w:rPr>
              <w:t xml:space="preserve"> для повышения резилентности предприятия.</w:t>
            </w:r>
          </w:p>
        </w:tc>
        <w:tc>
          <w:tcPr>
            <w:tcW w:w="2509" w:type="dxa"/>
            <w:hideMark/>
          </w:tcPr>
          <w:p w14:paraId="36993D4A" w14:textId="77777777" w:rsidR="004C518B" w:rsidRPr="00A24C82" w:rsidRDefault="004C518B" w:rsidP="004C518B">
            <w:pPr>
              <w:ind w:firstLine="0"/>
              <w:rPr>
                <w:rFonts w:eastAsia="Times New Roman"/>
                <w:sz w:val="23"/>
                <w:szCs w:val="23"/>
                <w:lang w:eastAsia="ru-RU"/>
              </w:rPr>
            </w:pPr>
            <w:r w:rsidRPr="00A24C82">
              <w:rPr>
                <w:rFonts w:eastAsia="Times New Roman"/>
                <w:bCs/>
                <w:sz w:val="23"/>
                <w:szCs w:val="23"/>
                <w:lang w:eastAsia="ru-RU"/>
              </w:rPr>
              <w:t>Ключевой драйвер ИП</w:t>
            </w:r>
            <w:r w:rsidRPr="004C518B">
              <w:rPr>
                <w:rFonts w:eastAsia="Times New Roman"/>
                <w:sz w:val="23"/>
                <w:szCs w:val="23"/>
                <w:lang w:eastAsia="ru-RU"/>
              </w:rPr>
              <w:t xml:space="preserve">: </w:t>
            </w:r>
            <w:r w:rsidRPr="00A24C82">
              <w:rPr>
                <w:rFonts w:eastAsia="Times New Roman"/>
                <w:bCs/>
                <w:sz w:val="23"/>
                <w:szCs w:val="23"/>
                <w:lang w:eastAsia="ru-RU"/>
              </w:rPr>
              <w:t>β = 0,561</w:t>
            </w:r>
            <w:r w:rsidRPr="004C518B">
              <w:rPr>
                <w:rFonts w:eastAsia="Times New Roman"/>
                <w:sz w:val="23"/>
                <w:szCs w:val="23"/>
                <w:lang w:eastAsia="ru-RU"/>
              </w:rPr>
              <w:t xml:space="preserve"> (крупные), 0,528 (средние), 0,526 (малые).</w:t>
            </w:r>
          </w:p>
        </w:tc>
      </w:tr>
      <w:tr w:rsidR="004C518B" w:rsidRPr="004C518B" w14:paraId="6B508E89" w14:textId="77777777" w:rsidTr="004C518B">
        <w:tc>
          <w:tcPr>
            <w:tcW w:w="2025" w:type="dxa"/>
            <w:hideMark/>
          </w:tcPr>
          <w:p w14:paraId="032547C6" w14:textId="77777777" w:rsidR="004C518B" w:rsidRPr="004C518B" w:rsidRDefault="004C518B" w:rsidP="004C518B">
            <w:pPr>
              <w:ind w:firstLine="0"/>
              <w:rPr>
                <w:rFonts w:eastAsia="Times New Roman"/>
                <w:bCs/>
                <w:sz w:val="23"/>
                <w:szCs w:val="23"/>
                <w:vertAlign w:val="subscript"/>
                <w:lang w:eastAsia="ru-RU"/>
              </w:rPr>
            </w:pPr>
            <w:r w:rsidRPr="00A24C82">
              <w:rPr>
                <w:rFonts w:eastAsia="Times New Roman"/>
                <w:bCs/>
                <w:sz w:val="23"/>
                <w:szCs w:val="23"/>
                <w:lang w:eastAsia="ru-RU"/>
              </w:rPr>
              <w:t>R</w:t>
            </w:r>
            <w:r w:rsidRPr="00A24C82">
              <w:rPr>
                <w:rFonts w:eastAsia="Times New Roman"/>
                <w:bCs/>
                <w:sz w:val="23"/>
                <w:szCs w:val="23"/>
                <w:vertAlign w:val="subscript"/>
                <w:lang w:eastAsia="ru-RU"/>
              </w:rPr>
              <w:t>2</w:t>
            </w:r>
          </w:p>
          <w:p w14:paraId="483F18CC" w14:textId="77777777" w:rsidR="004C518B" w:rsidRPr="00A24C82" w:rsidRDefault="004C518B" w:rsidP="004C518B">
            <w:pPr>
              <w:ind w:firstLine="0"/>
              <w:rPr>
                <w:rFonts w:eastAsia="Times New Roman"/>
                <w:sz w:val="23"/>
                <w:szCs w:val="23"/>
                <w:lang w:eastAsia="ru-RU"/>
              </w:rPr>
            </w:pPr>
            <w:r w:rsidRPr="00A24C82">
              <w:rPr>
                <w:rFonts w:eastAsia="Times New Roman"/>
                <w:bCs/>
                <w:sz w:val="23"/>
                <w:szCs w:val="23"/>
                <w:lang w:eastAsia="ru-RU"/>
              </w:rPr>
              <w:t>Технологические ресурсы (TR)</w:t>
            </w:r>
          </w:p>
        </w:tc>
        <w:tc>
          <w:tcPr>
            <w:tcW w:w="2506" w:type="dxa"/>
            <w:hideMark/>
          </w:tcPr>
          <w:p w14:paraId="37A727D9" w14:textId="77777777" w:rsidR="004C518B" w:rsidRPr="00A24C82" w:rsidRDefault="004C518B" w:rsidP="004C518B">
            <w:pPr>
              <w:ind w:firstLine="0"/>
              <w:rPr>
                <w:rFonts w:eastAsia="Times New Roman"/>
                <w:sz w:val="23"/>
                <w:szCs w:val="23"/>
                <w:lang w:eastAsia="ru-RU"/>
              </w:rPr>
            </w:pPr>
            <w:r w:rsidRPr="004C518B">
              <w:rPr>
                <w:rFonts w:eastAsia="Times New Roman"/>
                <w:sz w:val="23"/>
                <w:szCs w:val="23"/>
                <w:lang w:eastAsia="ru-RU"/>
              </w:rPr>
              <w:t xml:space="preserve">Определяют уровень </w:t>
            </w:r>
            <w:r w:rsidRPr="00A24C82">
              <w:rPr>
                <w:rFonts w:eastAsia="Times New Roman"/>
                <w:bCs/>
                <w:sz w:val="23"/>
                <w:szCs w:val="23"/>
                <w:lang w:eastAsia="ru-RU"/>
              </w:rPr>
              <w:t>технологической готовности</w:t>
            </w:r>
            <w:r w:rsidRPr="004C518B">
              <w:rPr>
                <w:rFonts w:eastAsia="Times New Roman"/>
                <w:sz w:val="23"/>
                <w:szCs w:val="23"/>
                <w:lang w:eastAsia="ru-RU"/>
              </w:rPr>
              <w:t xml:space="preserve"> предприятия и его способность к масштабированию инноваций.</w:t>
            </w:r>
          </w:p>
        </w:tc>
        <w:tc>
          <w:tcPr>
            <w:tcW w:w="2435" w:type="dxa"/>
            <w:hideMark/>
          </w:tcPr>
          <w:p w14:paraId="22B0833B" w14:textId="77777777" w:rsidR="004C518B" w:rsidRPr="00A24C82" w:rsidRDefault="004C518B" w:rsidP="004C518B">
            <w:pPr>
              <w:ind w:firstLine="0"/>
              <w:rPr>
                <w:rFonts w:eastAsia="Times New Roman"/>
                <w:sz w:val="23"/>
                <w:szCs w:val="23"/>
                <w:lang w:eastAsia="ru-RU"/>
              </w:rPr>
            </w:pPr>
            <w:r w:rsidRPr="004C518B">
              <w:rPr>
                <w:rFonts w:eastAsia="Times New Roman"/>
                <w:sz w:val="23"/>
                <w:szCs w:val="23"/>
                <w:lang w:eastAsia="ru-RU"/>
              </w:rPr>
              <w:t xml:space="preserve">Проведение регулярного </w:t>
            </w:r>
            <w:r w:rsidRPr="00A24C82">
              <w:rPr>
                <w:rFonts w:eastAsia="Times New Roman"/>
                <w:bCs/>
                <w:sz w:val="23"/>
                <w:szCs w:val="23"/>
                <w:lang w:eastAsia="ru-RU"/>
              </w:rPr>
              <w:t>технологического аудита</w:t>
            </w:r>
            <w:r w:rsidRPr="004C518B">
              <w:rPr>
                <w:rFonts w:eastAsia="Times New Roman"/>
                <w:sz w:val="23"/>
                <w:szCs w:val="23"/>
                <w:lang w:eastAsia="ru-RU"/>
              </w:rPr>
              <w:t xml:space="preserve"> и планирование </w:t>
            </w:r>
            <w:r w:rsidRPr="00A24C82">
              <w:rPr>
                <w:rFonts w:eastAsia="Times New Roman"/>
                <w:bCs/>
                <w:sz w:val="23"/>
                <w:szCs w:val="23"/>
                <w:lang w:eastAsia="ru-RU"/>
              </w:rPr>
              <w:t xml:space="preserve">интеграции </w:t>
            </w:r>
            <w:r w:rsidRPr="004C518B">
              <w:rPr>
                <w:rFonts w:eastAsia="Times New Roman"/>
                <w:sz w:val="23"/>
                <w:szCs w:val="23"/>
                <w:lang w:eastAsia="ru-RU"/>
              </w:rPr>
              <w:t>автоматизирован</w:t>
            </w:r>
            <w:r w:rsidRPr="004C518B">
              <w:rPr>
                <w:rFonts w:eastAsia="Times New Roman"/>
                <w:sz w:val="23"/>
                <w:szCs w:val="23"/>
                <w:lang w:val="kk-KZ" w:eastAsia="ru-RU"/>
              </w:rPr>
              <w:t>-</w:t>
            </w:r>
            <w:r w:rsidRPr="004C518B">
              <w:rPr>
                <w:rFonts w:eastAsia="Times New Roman"/>
                <w:sz w:val="23"/>
                <w:szCs w:val="23"/>
                <w:lang w:eastAsia="ru-RU"/>
              </w:rPr>
              <w:t>ных систем.</w:t>
            </w:r>
          </w:p>
        </w:tc>
        <w:tc>
          <w:tcPr>
            <w:tcW w:w="2450" w:type="dxa"/>
            <w:hideMark/>
          </w:tcPr>
          <w:p w14:paraId="68A72847" w14:textId="77777777" w:rsidR="004C518B" w:rsidRPr="00A24C82" w:rsidRDefault="004C518B" w:rsidP="004C518B">
            <w:pPr>
              <w:ind w:firstLine="0"/>
              <w:rPr>
                <w:rFonts w:eastAsia="Times New Roman"/>
                <w:sz w:val="23"/>
                <w:szCs w:val="23"/>
                <w:lang w:eastAsia="ru-RU"/>
              </w:rPr>
            </w:pPr>
            <w:r w:rsidRPr="004C518B">
              <w:rPr>
                <w:rFonts w:eastAsia="Times New Roman"/>
                <w:sz w:val="23"/>
                <w:szCs w:val="23"/>
                <w:lang w:eastAsia="ru-RU"/>
              </w:rPr>
              <w:t xml:space="preserve">Внедрение </w:t>
            </w:r>
            <w:r w:rsidRPr="00A24C82">
              <w:rPr>
                <w:rFonts w:eastAsia="Times New Roman"/>
                <w:bCs/>
                <w:sz w:val="23"/>
                <w:szCs w:val="23"/>
                <w:lang w:eastAsia="ru-RU"/>
              </w:rPr>
              <w:t xml:space="preserve">сквозной роботизации </w:t>
            </w:r>
            <w:r w:rsidRPr="004C518B">
              <w:rPr>
                <w:rFonts w:eastAsia="Times New Roman"/>
                <w:sz w:val="23"/>
                <w:szCs w:val="23"/>
                <w:lang w:eastAsia="ru-RU"/>
              </w:rPr>
              <w:t xml:space="preserve">и комплексных систем автоматизации; использование </w:t>
            </w:r>
            <w:r w:rsidRPr="00A24C82">
              <w:rPr>
                <w:rFonts w:eastAsia="Times New Roman"/>
                <w:bCs/>
                <w:sz w:val="23"/>
                <w:szCs w:val="23"/>
                <w:lang w:eastAsia="ru-RU"/>
              </w:rPr>
              <w:t>цифровых двойников</w:t>
            </w:r>
            <w:r w:rsidRPr="004C518B">
              <w:rPr>
                <w:rFonts w:eastAsia="Times New Roman"/>
                <w:sz w:val="23"/>
                <w:szCs w:val="23"/>
                <w:lang w:eastAsia="ru-RU"/>
              </w:rPr>
              <w:t xml:space="preserve"> в производственных процессах.</w:t>
            </w:r>
          </w:p>
        </w:tc>
        <w:tc>
          <w:tcPr>
            <w:tcW w:w="2572" w:type="dxa"/>
            <w:hideMark/>
          </w:tcPr>
          <w:p w14:paraId="6FC10E52" w14:textId="77777777" w:rsidR="004C518B" w:rsidRPr="00A24C82" w:rsidRDefault="004C518B" w:rsidP="004C518B">
            <w:pPr>
              <w:ind w:firstLine="0"/>
              <w:rPr>
                <w:rFonts w:eastAsia="Times New Roman"/>
                <w:sz w:val="23"/>
                <w:szCs w:val="23"/>
                <w:lang w:eastAsia="ru-RU"/>
              </w:rPr>
            </w:pPr>
            <w:r w:rsidRPr="004C518B">
              <w:rPr>
                <w:rFonts w:eastAsia="Times New Roman"/>
                <w:sz w:val="23"/>
                <w:szCs w:val="23"/>
                <w:lang w:eastAsia="ru-RU"/>
              </w:rPr>
              <w:t xml:space="preserve">Создание замкнутого цикла </w:t>
            </w:r>
            <w:r w:rsidRPr="00A24C82">
              <w:rPr>
                <w:rFonts w:eastAsia="Times New Roman"/>
                <w:bCs/>
                <w:sz w:val="23"/>
                <w:szCs w:val="23"/>
                <w:lang w:eastAsia="ru-RU"/>
              </w:rPr>
              <w:t>модернизации</w:t>
            </w:r>
            <w:r w:rsidRPr="004C518B">
              <w:rPr>
                <w:rFonts w:eastAsia="Times New Roman"/>
                <w:sz w:val="23"/>
                <w:szCs w:val="23"/>
                <w:lang w:eastAsia="ru-RU"/>
              </w:rPr>
              <w:t xml:space="preserve"> основных средств, интегрированного с ИТ-инфраструктурой, для обеспечения технологической устойчивости.</w:t>
            </w:r>
          </w:p>
        </w:tc>
        <w:tc>
          <w:tcPr>
            <w:tcW w:w="2509" w:type="dxa"/>
            <w:hideMark/>
          </w:tcPr>
          <w:p w14:paraId="5C4F5A85" w14:textId="77777777" w:rsidR="004C518B" w:rsidRPr="00A24C82" w:rsidRDefault="004C518B" w:rsidP="004C518B">
            <w:pPr>
              <w:ind w:firstLine="0"/>
              <w:rPr>
                <w:rFonts w:eastAsia="Times New Roman"/>
                <w:sz w:val="23"/>
                <w:szCs w:val="23"/>
                <w:lang w:eastAsia="ru-RU"/>
              </w:rPr>
            </w:pPr>
            <w:r w:rsidRPr="00A24C82">
              <w:rPr>
                <w:rFonts w:eastAsia="Times New Roman"/>
                <w:bCs/>
                <w:sz w:val="23"/>
                <w:szCs w:val="23"/>
                <w:lang w:eastAsia="ru-RU"/>
              </w:rPr>
              <w:t>Высокое влияние на ИП</w:t>
            </w:r>
            <w:r w:rsidRPr="004C518B">
              <w:rPr>
                <w:rFonts w:eastAsia="Times New Roman"/>
                <w:sz w:val="23"/>
                <w:szCs w:val="23"/>
                <w:lang w:eastAsia="ru-RU"/>
              </w:rPr>
              <w:t xml:space="preserve">, особенно для МСП: </w:t>
            </w:r>
            <w:r w:rsidRPr="00A24C82">
              <w:rPr>
                <w:rFonts w:eastAsia="Times New Roman"/>
                <w:bCs/>
                <w:sz w:val="23"/>
                <w:szCs w:val="23"/>
                <w:lang w:eastAsia="ru-RU"/>
              </w:rPr>
              <w:t>β = 0,531</w:t>
            </w:r>
            <w:r w:rsidRPr="004C518B">
              <w:rPr>
                <w:rFonts w:eastAsia="Times New Roman"/>
                <w:sz w:val="23"/>
                <w:szCs w:val="23"/>
                <w:lang w:eastAsia="ru-RU"/>
              </w:rPr>
              <w:t>.</w:t>
            </w:r>
          </w:p>
        </w:tc>
      </w:tr>
      <w:tr w:rsidR="004C518B" w:rsidRPr="004C518B" w14:paraId="7B81E0C4" w14:textId="77777777" w:rsidTr="004C518B">
        <w:tc>
          <w:tcPr>
            <w:tcW w:w="2025" w:type="dxa"/>
            <w:hideMark/>
          </w:tcPr>
          <w:p w14:paraId="0C78FF08" w14:textId="77777777" w:rsidR="004C518B" w:rsidRPr="004C518B" w:rsidRDefault="004C518B" w:rsidP="004C518B">
            <w:pPr>
              <w:ind w:firstLine="0"/>
              <w:rPr>
                <w:rFonts w:eastAsia="Times New Roman"/>
                <w:bCs/>
                <w:sz w:val="23"/>
                <w:szCs w:val="23"/>
                <w:vertAlign w:val="subscript"/>
                <w:lang w:eastAsia="ru-RU"/>
              </w:rPr>
            </w:pPr>
            <w:r w:rsidRPr="00A24C82">
              <w:rPr>
                <w:rFonts w:eastAsia="Times New Roman"/>
                <w:bCs/>
                <w:sz w:val="23"/>
                <w:szCs w:val="23"/>
                <w:lang w:eastAsia="ru-RU"/>
              </w:rPr>
              <w:t>R</w:t>
            </w:r>
            <w:r w:rsidRPr="00A24C82">
              <w:rPr>
                <w:rFonts w:eastAsia="Times New Roman"/>
                <w:bCs/>
                <w:sz w:val="23"/>
                <w:szCs w:val="23"/>
                <w:vertAlign w:val="subscript"/>
                <w:lang w:eastAsia="ru-RU"/>
              </w:rPr>
              <w:t>3</w:t>
            </w:r>
          </w:p>
          <w:p w14:paraId="18DC80B1" w14:textId="77777777" w:rsidR="004C518B" w:rsidRPr="00A24C82" w:rsidRDefault="004C518B" w:rsidP="004C518B">
            <w:pPr>
              <w:ind w:firstLine="0"/>
              <w:rPr>
                <w:rFonts w:eastAsia="Times New Roman"/>
                <w:sz w:val="23"/>
                <w:szCs w:val="23"/>
                <w:lang w:eastAsia="ru-RU"/>
              </w:rPr>
            </w:pPr>
            <w:r w:rsidRPr="00A24C82">
              <w:rPr>
                <w:rFonts w:eastAsia="Times New Roman"/>
                <w:bCs/>
                <w:sz w:val="23"/>
                <w:szCs w:val="23"/>
                <w:lang w:eastAsia="ru-RU"/>
              </w:rPr>
              <w:t>Финансовые ресурсы (FR)</w:t>
            </w:r>
          </w:p>
        </w:tc>
        <w:tc>
          <w:tcPr>
            <w:tcW w:w="2506" w:type="dxa"/>
            <w:hideMark/>
          </w:tcPr>
          <w:p w14:paraId="5E41D546" w14:textId="77777777" w:rsidR="004C518B" w:rsidRPr="00A24C82" w:rsidRDefault="004C518B" w:rsidP="004C518B">
            <w:pPr>
              <w:ind w:firstLine="0"/>
              <w:rPr>
                <w:rFonts w:eastAsia="Times New Roman"/>
                <w:sz w:val="23"/>
                <w:szCs w:val="23"/>
                <w:lang w:eastAsia="ru-RU"/>
              </w:rPr>
            </w:pPr>
            <w:r w:rsidRPr="004C518B">
              <w:rPr>
                <w:rFonts w:eastAsia="Times New Roman"/>
                <w:sz w:val="23"/>
                <w:szCs w:val="23"/>
                <w:lang w:eastAsia="ru-RU"/>
              </w:rPr>
              <w:t xml:space="preserve">Обеспечивают </w:t>
            </w:r>
            <w:r w:rsidRPr="00A24C82">
              <w:rPr>
                <w:rFonts w:eastAsia="Times New Roman"/>
                <w:bCs/>
                <w:sz w:val="23"/>
                <w:szCs w:val="23"/>
                <w:lang w:eastAsia="ru-RU"/>
              </w:rPr>
              <w:t>финансовую устойчивость</w:t>
            </w:r>
            <w:r w:rsidRPr="004C518B">
              <w:rPr>
                <w:rFonts w:eastAsia="Times New Roman"/>
                <w:sz w:val="23"/>
                <w:szCs w:val="23"/>
                <w:lang w:eastAsia="ru-RU"/>
              </w:rPr>
              <w:t xml:space="preserve"> и возможность реализации инновационных проектов, особенно для МСП.</w:t>
            </w:r>
          </w:p>
        </w:tc>
        <w:tc>
          <w:tcPr>
            <w:tcW w:w="2435" w:type="dxa"/>
            <w:hideMark/>
          </w:tcPr>
          <w:p w14:paraId="1E9FC981" w14:textId="77777777" w:rsidR="004C518B" w:rsidRPr="00A24C82" w:rsidRDefault="004C518B" w:rsidP="004C518B">
            <w:pPr>
              <w:ind w:firstLine="0"/>
              <w:rPr>
                <w:rFonts w:eastAsia="Times New Roman"/>
                <w:sz w:val="23"/>
                <w:szCs w:val="23"/>
                <w:lang w:eastAsia="ru-RU"/>
              </w:rPr>
            </w:pPr>
            <w:r w:rsidRPr="004C518B">
              <w:rPr>
                <w:rFonts w:eastAsia="Times New Roman"/>
                <w:sz w:val="23"/>
                <w:szCs w:val="23"/>
                <w:lang w:eastAsia="ru-RU"/>
              </w:rPr>
              <w:t xml:space="preserve">Формирование внутренних фондов и обеспечение </w:t>
            </w:r>
            <w:r w:rsidRPr="00A24C82">
              <w:rPr>
                <w:rFonts w:eastAsia="Times New Roman"/>
                <w:bCs/>
                <w:sz w:val="23"/>
                <w:szCs w:val="23"/>
                <w:lang w:eastAsia="ru-RU"/>
              </w:rPr>
              <w:t>прозрачности бюджета НИОКР</w:t>
            </w:r>
            <w:r w:rsidRPr="004C518B">
              <w:rPr>
                <w:rFonts w:eastAsia="Times New Roman"/>
                <w:sz w:val="23"/>
                <w:szCs w:val="23"/>
                <w:lang w:eastAsia="ru-RU"/>
              </w:rPr>
              <w:t xml:space="preserve"> и механизмов внутреннего софинансирования.</w:t>
            </w:r>
          </w:p>
        </w:tc>
        <w:tc>
          <w:tcPr>
            <w:tcW w:w="2450" w:type="dxa"/>
            <w:hideMark/>
          </w:tcPr>
          <w:p w14:paraId="730222FE" w14:textId="77777777" w:rsidR="004C518B" w:rsidRPr="00A24C82" w:rsidRDefault="004C518B" w:rsidP="004C518B">
            <w:pPr>
              <w:ind w:firstLine="0"/>
              <w:rPr>
                <w:rFonts w:eastAsia="Times New Roman"/>
                <w:sz w:val="23"/>
                <w:szCs w:val="23"/>
                <w:lang w:eastAsia="ru-RU"/>
              </w:rPr>
            </w:pPr>
            <w:r w:rsidRPr="00A24C82">
              <w:rPr>
                <w:rFonts w:eastAsia="Times New Roman"/>
                <w:bCs/>
                <w:sz w:val="23"/>
                <w:szCs w:val="23"/>
                <w:lang w:eastAsia="ru-RU"/>
              </w:rPr>
              <w:t>Привлечение инвестиций</w:t>
            </w:r>
            <w:r w:rsidRPr="004C518B">
              <w:rPr>
                <w:rFonts w:eastAsia="Times New Roman"/>
                <w:sz w:val="23"/>
                <w:szCs w:val="23"/>
                <w:lang w:eastAsia="ru-RU"/>
              </w:rPr>
              <w:t xml:space="preserve"> через финтех-платформы; участие в гос. грантах; использование </w:t>
            </w:r>
            <w:r w:rsidRPr="00A24C82">
              <w:rPr>
                <w:rFonts w:eastAsia="Times New Roman"/>
                <w:bCs/>
                <w:sz w:val="23"/>
                <w:szCs w:val="23"/>
                <w:lang w:eastAsia="ru-RU"/>
              </w:rPr>
              <w:t>«зелёных» инструментов</w:t>
            </w:r>
            <w:r w:rsidRPr="004C518B">
              <w:rPr>
                <w:rFonts w:eastAsia="Times New Roman"/>
                <w:sz w:val="23"/>
                <w:szCs w:val="23"/>
                <w:lang w:eastAsia="ru-RU"/>
              </w:rPr>
              <w:t>.</w:t>
            </w:r>
          </w:p>
        </w:tc>
        <w:tc>
          <w:tcPr>
            <w:tcW w:w="2572" w:type="dxa"/>
            <w:hideMark/>
          </w:tcPr>
          <w:p w14:paraId="34054EE7" w14:textId="77777777" w:rsidR="004C518B" w:rsidRPr="00A24C82" w:rsidRDefault="004C518B" w:rsidP="004C518B">
            <w:pPr>
              <w:ind w:firstLine="0"/>
              <w:rPr>
                <w:rFonts w:eastAsia="Times New Roman"/>
                <w:sz w:val="23"/>
                <w:szCs w:val="23"/>
                <w:lang w:eastAsia="ru-RU"/>
              </w:rPr>
            </w:pPr>
            <w:r w:rsidRPr="004C518B">
              <w:rPr>
                <w:rFonts w:eastAsia="Times New Roman"/>
                <w:sz w:val="23"/>
                <w:szCs w:val="23"/>
                <w:lang w:eastAsia="ru-RU"/>
              </w:rPr>
              <w:t xml:space="preserve">Внедрение систем расчета </w:t>
            </w:r>
            <w:r w:rsidRPr="004C518B">
              <w:rPr>
                <w:rFonts w:eastAsia="Times New Roman"/>
                <w:bCs/>
                <w:sz w:val="23"/>
                <w:szCs w:val="23"/>
                <w:lang w:eastAsia="ru-RU"/>
              </w:rPr>
              <w:t>возврата на инновации</w:t>
            </w:r>
            <w:r w:rsidRPr="004C518B">
              <w:rPr>
                <w:rFonts w:eastAsia="Times New Roman"/>
                <w:sz w:val="23"/>
                <w:szCs w:val="23"/>
                <w:lang w:eastAsia="ru-RU"/>
              </w:rPr>
              <w:t>, ориентированных на долгосрочный эффект.</w:t>
            </w:r>
          </w:p>
        </w:tc>
        <w:tc>
          <w:tcPr>
            <w:tcW w:w="2509" w:type="dxa"/>
            <w:hideMark/>
          </w:tcPr>
          <w:p w14:paraId="4AB0CBA9" w14:textId="77777777" w:rsidR="004C518B" w:rsidRPr="00A24C82" w:rsidRDefault="004C518B" w:rsidP="004C518B">
            <w:pPr>
              <w:ind w:firstLine="0"/>
              <w:rPr>
                <w:rFonts w:eastAsia="Times New Roman"/>
                <w:sz w:val="23"/>
                <w:szCs w:val="23"/>
                <w:lang w:eastAsia="ru-RU"/>
              </w:rPr>
            </w:pPr>
            <w:r w:rsidRPr="004C518B">
              <w:rPr>
                <w:rFonts w:eastAsia="Times New Roman"/>
                <w:sz w:val="23"/>
                <w:szCs w:val="23"/>
                <w:lang w:eastAsia="ru-RU"/>
              </w:rPr>
              <w:t xml:space="preserve">Вспомогательный, но стабильно значимый фактор: </w:t>
            </w:r>
            <w:r w:rsidRPr="00A24C82">
              <w:rPr>
                <w:rFonts w:eastAsia="Times New Roman"/>
                <w:bCs/>
                <w:sz w:val="23"/>
                <w:szCs w:val="23"/>
                <w:lang w:eastAsia="ru-RU"/>
              </w:rPr>
              <w:t>β ≈ 0,43–0,46</w:t>
            </w:r>
            <w:r w:rsidRPr="004C518B">
              <w:rPr>
                <w:rFonts w:eastAsia="Times New Roman"/>
                <w:sz w:val="23"/>
                <w:szCs w:val="23"/>
                <w:lang w:eastAsia="ru-RU"/>
              </w:rPr>
              <w:t xml:space="preserve"> для всех групп.</w:t>
            </w:r>
          </w:p>
        </w:tc>
      </w:tr>
    </w:tbl>
    <w:p w14:paraId="2EEAE6A4" w14:textId="63E1F6E3" w:rsidR="00165BDA" w:rsidRDefault="00A96D12">
      <w:pPr>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706368" behindDoc="0" locked="0" layoutInCell="1" allowOverlap="1" wp14:anchorId="6EC958C6" wp14:editId="7DCA1DCB">
                <wp:simplePos x="0" y="0"/>
                <wp:positionH relativeFrom="column">
                  <wp:posOffset>4510278</wp:posOffset>
                </wp:positionH>
                <wp:positionV relativeFrom="paragraph">
                  <wp:posOffset>222885</wp:posOffset>
                </wp:positionV>
                <wp:extent cx="316992" cy="237744"/>
                <wp:effectExtent l="0" t="0" r="26035" b="10160"/>
                <wp:wrapNone/>
                <wp:docPr id="171" name="Прямоугольник 171"/>
                <wp:cNvGraphicFramePr/>
                <a:graphic xmlns:a="http://schemas.openxmlformats.org/drawingml/2006/main">
                  <a:graphicData uri="http://schemas.microsoft.com/office/word/2010/wordprocessingShape">
                    <wps:wsp>
                      <wps:cNvSpPr/>
                      <wps:spPr>
                        <a:xfrm>
                          <a:off x="0" y="0"/>
                          <a:ext cx="316992" cy="23774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CB187C" id="Прямоугольник 171" o:spid="_x0000_s1026" style="position:absolute;margin-left:355.15pt;margin-top:17.55pt;width:24.95pt;height:18.7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KFNtwIAAMAFAAAOAAAAZHJzL2Uyb0RvYy54bWysVM1OGzEQvlfqO1i+l01CICVigyIQVSUE&#10;qFBxdrx2diWvx7Wdv54q9YrUR+hD9FL1h2fYvFHH3s0GKOoBNQdnZmfm88znmTk8WpaKzIV1BeiU&#10;dnc6lAjNISv0NKXvr09fvabEeaYzpkCLlK6Eo0ejly8OF2YoepCDyoQlCKLdcGFSmntvhknieC5K&#10;5nbACI1GCbZkHlU7TTLLFoheqqTX6ewnC7CZscCFc/j1pDbSUcSXUnB/IaUTnqiUYm4+njaek3Am&#10;o0M2nFpm8oI3abBnZFGyQuOlLdQJ84zMbPEXVFlwCw6k3+FQJiBlwUWsAavpdh5Vc5UzI2ItSI4z&#10;LU3u/8Hy8/mlJUWGbzfoUqJZiY9UfV1/Wn+pflV368/Vt+qu+rm+rX5X36sfJHghZwvjhhh6ZS5t&#10;ozkUAwFLacvwj6WRZeR51fIslp5w/Ljb3T846FHC0dTbHQz6/YCZbIONdf6NgJIEIaUWnzGyy+Zn&#10;zteuG5dwlwNVZKeFUlEJrSOOlSVzho8+mcaEEfyBl9LPCkSYEJmE+uuKo+RXSgQ8pd8JiWxijb2Y&#10;cOzjbTKMc6F9tzblLBN1jnsd/DUUtBGRkAgYkCVW12I3AA8L3WDX9DT+IVTEMWiDO/9KrA5uI+LN&#10;oH0bXBYa7FMACqtqbq79NyTV1ASWJpCtsNcs1EPoDD8t8HnPmPOXzOLU4XziJvEXeEgFi5RCI1GS&#10;g/341Pfgj8OAVkoWOMUpdR9mzApK1FuNY3LQ7ffD2EelvzfooWLvWyb3LXpWHgP2DA4CZhfF4O/V&#10;RpQWyhtcOONwK5qY5nh3Srm3G+XY19sFVxYX43F0w1E3zJ/pK8MDeGA1tO/18oZZ0/S4x+E4h83E&#10;s+GjVq99Q6SG8cyDLOIcbHlt+MY1ERunWWlhD93Xo9d28Y7+AAAA//8DAFBLAwQUAAYACAAAACEA&#10;PD5S4d8AAAAJAQAADwAAAGRycy9kb3ducmV2LnhtbEyPwUrEMBCG74LvEEbw5ibtslutTRcRRQQP&#10;uivocbZN2mIzKU3arW/veNLbDPPxz/cXu8X1YjZj6DxpSFYKhKHK1x01Gt4Pj1fXIEJEqrH3ZDR8&#10;mwC78vyswLz2J3oz8z42gkMo5KihjXHIpQxVaxyGlR8M8c360WHkdWxkPeKJw10vU6W20mFH/KHF&#10;wdy3pvraT07Dp8Wnw8NzeJE2ne1N9zp92GzS+vJiubsFEc0S/2D41Wd1KNnp6Ceqg+g1ZIlaM6ph&#10;vUlAMJBtVQriyEO6AVkW8n+D8gcAAP//AwBQSwECLQAUAAYACAAAACEAtoM4kv4AAADhAQAAEwAA&#10;AAAAAAAAAAAAAAAAAAAAW0NvbnRlbnRfVHlwZXNdLnhtbFBLAQItABQABgAIAAAAIQA4/SH/1gAA&#10;AJQBAAALAAAAAAAAAAAAAAAAAC8BAABfcmVscy8ucmVsc1BLAQItABQABgAIAAAAIQAj9KFNtwIA&#10;AMAFAAAOAAAAAAAAAAAAAAAAAC4CAABkcnMvZTJvRG9jLnhtbFBLAQItABQABgAIAAAAIQA8PlLh&#10;3wAAAAkBAAAPAAAAAAAAAAAAAAAAABEFAABkcnMvZG93bnJldi54bWxQSwUGAAAAAAQABADzAAAA&#10;HQYAAAAA&#10;" fillcolor="white [3212]" strokecolor="white [3212]" strokeweight="1pt"/>
            </w:pict>
          </mc:Fallback>
        </mc:AlternateContent>
      </w:r>
    </w:p>
    <w:p w14:paraId="1ADDAAA0" w14:textId="0773D670" w:rsidR="004C518B" w:rsidRPr="004C518B" w:rsidRDefault="00A96D12">
      <w:pPr>
        <w:rPr>
          <w:rFonts w:ascii="Times New Roman" w:hAnsi="Times New Roman" w:cs="Times New Roman"/>
          <w:sz w:val="28"/>
          <w:szCs w:val="28"/>
          <w:lang w:val="kk-KZ"/>
        </w:rPr>
      </w:pPr>
      <w:r>
        <w:rPr>
          <w:rFonts w:ascii="Times New Roman" w:hAnsi="Times New Roman" w:cs="Times New Roman"/>
          <w:noProof/>
          <w:sz w:val="20"/>
          <w:szCs w:val="20"/>
          <w:lang w:eastAsia="ru-RU"/>
        </w:rPr>
        <w:lastRenderedPageBreak/>
        <mc:AlternateContent>
          <mc:Choice Requires="wps">
            <w:drawing>
              <wp:anchor distT="0" distB="0" distL="114300" distR="114300" simplePos="0" relativeHeight="251709440" behindDoc="0" locked="0" layoutInCell="1" allowOverlap="1" wp14:anchorId="00A5AABC" wp14:editId="1B4C1212">
                <wp:simplePos x="0" y="0"/>
                <wp:positionH relativeFrom="column">
                  <wp:posOffset>-457518</wp:posOffset>
                </wp:positionH>
                <wp:positionV relativeFrom="paragraph">
                  <wp:posOffset>2779615</wp:posOffset>
                </wp:positionV>
                <wp:extent cx="493776" cy="320040"/>
                <wp:effectExtent l="0" t="0" r="0" b="0"/>
                <wp:wrapNone/>
                <wp:docPr id="173" name="Надпись 173"/>
                <wp:cNvGraphicFramePr/>
                <a:graphic xmlns:a="http://schemas.openxmlformats.org/drawingml/2006/main">
                  <a:graphicData uri="http://schemas.microsoft.com/office/word/2010/wordprocessingShape">
                    <wps:wsp>
                      <wps:cNvSpPr txBox="1"/>
                      <wps:spPr>
                        <a:xfrm rot="5400000">
                          <a:off x="0" y="0"/>
                          <a:ext cx="493776" cy="3200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2950DD7" w14:textId="63EBEC91" w:rsidR="001D4931" w:rsidRPr="00A96D12" w:rsidRDefault="001D4931" w:rsidP="00A96D12">
                            <w:pPr>
                              <w:jc w:val="center"/>
                              <w:rPr>
                                <w:rFonts w:ascii="Times New Roman" w:hAnsi="Times New Roman" w:cs="Times New Roman"/>
                                <w:lang w:val="kk-KZ"/>
                              </w:rPr>
                            </w:pPr>
                            <w:r w:rsidRPr="00A96D12">
                              <w:rPr>
                                <w:rFonts w:ascii="Times New Roman" w:hAnsi="Times New Roman" w:cs="Times New Roman"/>
                                <w:lang w:val="kk-KZ"/>
                              </w:rPr>
                              <w:t>11</w:t>
                            </w:r>
                            <w:r>
                              <w:rPr>
                                <w:rFonts w:ascii="Times New Roman" w:hAnsi="Times New Roman" w:cs="Times New Roman"/>
                                <w:lang w:val="kk-KZ"/>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5AABC" id="Надпись 173" o:spid="_x0000_s1071" type="#_x0000_t202" style="position:absolute;margin-left:-36.05pt;margin-top:218.85pt;width:38.9pt;height:25.2pt;rotation:9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0atoAIAAHMFAAAOAAAAZHJzL2Uyb0RvYy54bWysVMFuEzEQvSPxD5bvdJM0bWjUTRVaFSFV&#10;bUWLena8drLCaxvbyW64cecX+AcOHLjxC+kf8ezNhlK4FLGHlT3zZjzz5tnHJ02lyEo4Xxqd0/5e&#10;jxKhuSlKPc/pu9vzFy8p8YHpgimjRU7XwtOTyfNnx7Udi4FZGFUIR5BE+3Ftc7oIwY6zzPOFqJjf&#10;M1ZoOKVxFQvYunlWOFYje6WyQa93mNXGFdYZLryH9ax10knKL6Xg4UpKLwJROUVtIf1d+s/iP5sc&#10;s/HcMbso+bYM9g9VVKzUOHSX6owFRpau/CNVVXJnvJFhj5sqM1KWXKQe0E2/96ibmwWzIvUCcrzd&#10;0eT/X1p+ubp2pCwwu9E+JZpVGNLmy+br5tvmx+b7/af7zyR6wFNt/RjwG4uA0LwyDWI6u4cxtt9I&#10;VxFnQPPBsBe/RAraJECD//WOc9EEwmEcHu2PRoeUcLj2MdFhmknWpooprfPhtTAViYucOow0JWWr&#10;Cx9QFqAdJMK1OS+VSmNV+jcDgNGSxT7aetMqrJWIOKXfCgkmUqHR4Lmbz06VI61coGc00IkmJUNA&#10;BEoc+MTYbUiMFkmlT4zfBaXzjQ67+KrUxiWC0h0SsYEVg/qL92laKFy2+I6KloDIRWhmTdLCYNAN&#10;dmaKNeadRor2veXnJeZwwXy4Zg5XBUZc/3CFn1SmzqnZrihZGPfxb/aIh4LhpaTG1cup/7BkTlCi&#10;3mho+6g/hApISJvhwWiAjXvomT306GV1atBfP1WXlhEfVLeUzlR3eCWm8VS4mOY4O6ehW56GdsJ4&#10;ZbiYThMIt9OycKFvLI+pI81RZbfNHXN2K8UADV+a7pKy8SNFttgYqc10GYwsk1wj0S2r2wHgZicV&#10;b1+h+HQ83CfUr7dy8hMAAP//AwBQSwMEFAAGAAgAAAAhACdhS6jgAAAACgEAAA8AAABkcnMvZG93&#10;bnJldi54bWxMj8FOg0AQhu8mvsNmTLzRhYZWggyNNqkH5dLqA2zZFYjsLGGXgj6948meJpP58s/3&#10;F7vF9uJiRt85QkhWMQhDtdMdNQgf74coA+GDIq16Rwbh23jYlbc3hcq1m+loLqfQCA4hnyuENoQh&#10;l9LXrbHKr9xgiG+fbrQq8Do2Uo9q5nDby3Ucb6VVHfGHVg1m35r66zRZhGl+62n/WlUv24ef46Gq&#10;k2p5ThDv75anRxDBLOEfhj99VoeSnc5uIu1FjxBtspRRhHSdcikmooznGWETJxnIspDXFcpfAAAA&#10;//8DAFBLAQItABQABgAIAAAAIQC2gziS/gAAAOEBAAATAAAAAAAAAAAAAAAAAAAAAABbQ29udGVu&#10;dF9UeXBlc10ueG1sUEsBAi0AFAAGAAgAAAAhADj9If/WAAAAlAEAAAsAAAAAAAAAAAAAAAAALwEA&#10;AF9yZWxzLy5yZWxzUEsBAi0AFAAGAAgAAAAhAI0XRq2gAgAAcwUAAA4AAAAAAAAAAAAAAAAALgIA&#10;AGRycy9lMm9Eb2MueG1sUEsBAi0AFAAGAAgAAAAhACdhS6jgAAAACgEAAA8AAAAAAAAAAAAAAAAA&#10;+gQAAGRycy9kb3ducmV2LnhtbFBLBQYAAAAABAAEAPMAAAAHBgAAAAA=&#10;" filled="f" stroked="f">
                <v:textbox>
                  <w:txbxContent>
                    <w:p w14:paraId="02950DD7" w14:textId="63EBEC91" w:rsidR="001D4931" w:rsidRPr="00A96D12" w:rsidRDefault="001D4931" w:rsidP="00A96D12">
                      <w:pPr>
                        <w:jc w:val="center"/>
                        <w:rPr>
                          <w:rFonts w:ascii="Times New Roman" w:hAnsi="Times New Roman" w:cs="Times New Roman"/>
                          <w:lang w:val="kk-KZ"/>
                        </w:rPr>
                      </w:pPr>
                      <w:r w:rsidRPr="00A96D12">
                        <w:rPr>
                          <w:rFonts w:ascii="Times New Roman" w:hAnsi="Times New Roman" w:cs="Times New Roman"/>
                          <w:lang w:val="kk-KZ"/>
                        </w:rPr>
                        <w:t>11</w:t>
                      </w:r>
                      <w:r>
                        <w:rPr>
                          <w:rFonts w:ascii="Times New Roman" w:hAnsi="Times New Roman" w:cs="Times New Roman"/>
                          <w:lang w:val="kk-KZ"/>
                        </w:rPr>
                        <w:t>2</w:t>
                      </w:r>
                    </w:p>
                  </w:txbxContent>
                </v:textbox>
              </v:shape>
            </w:pict>
          </mc:Fallback>
        </mc:AlternateContent>
      </w:r>
      <w:r w:rsidR="004C518B" w:rsidRPr="004C518B">
        <w:rPr>
          <w:rFonts w:ascii="Times New Roman" w:hAnsi="Times New Roman" w:cs="Times New Roman"/>
          <w:sz w:val="28"/>
          <w:szCs w:val="28"/>
          <w:lang w:val="kk-KZ"/>
        </w:rPr>
        <w:t>Продолжение таблицы 29</w:t>
      </w:r>
    </w:p>
    <w:tbl>
      <w:tblPr>
        <w:tblStyle w:val="a5"/>
        <w:tblW w:w="14623" w:type="dxa"/>
        <w:tblLayout w:type="fixed"/>
        <w:tblLook w:val="04A0" w:firstRow="1" w:lastRow="0" w:firstColumn="1" w:lastColumn="0" w:noHBand="0" w:noVBand="1"/>
      </w:tblPr>
      <w:tblGrid>
        <w:gridCol w:w="2025"/>
        <w:gridCol w:w="2506"/>
        <w:gridCol w:w="2435"/>
        <w:gridCol w:w="2450"/>
        <w:gridCol w:w="2572"/>
        <w:gridCol w:w="2635"/>
      </w:tblGrid>
      <w:tr w:rsidR="004C518B" w:rsidRPr="004C518B" w14:paraId="70F896EE" w14:textId="77777777" w:rsidTr="004C518B">
        <w:tc>
          <w:tcPr>
            <w:tcW w:w="2025" w:type="dxa"/>
          </w:tcPr>
          <w:p w14:paraId="500B7288" w14:textId="7E42AE99" w:rsidR="004C518B" w:rsidRPr="004C518B" w:rsidRDefault="004C518B" w:rsidP="004C518B">
            <w:pPr>
              <w:ind w:firstLine="0"/>
              <w:jc w:val="center"/>
              <w:rPr>
                <w:rFonts w:eastAsia="Times New Roman"/>
                <w:sz w:val="23"/>
                <w:szCs w:val="23"/>
                <w:lang w:eastAsia="ru-RU"/>
              </w:rPr>
            </w:pPr>
            <w:r w:rsidRPr="004C518B">
              <w:rPr>
                <w:rFonts w:eastAsia="Times New Roman"/>
                <w:sz w:val="23"/>
                <w:szCs w:val="23"/>
                <w:lang w:eastAsia="ru-RU"/>
              </w:rPr>
              <w:t>1</w:t>
            </w:r>
          </w:p>
        </w:tc>
        <w:tc>
          <w:tcPr>
            <w:tcW w:w="2506" w:type="dxa"/>
          </w:tcPr>
          <w:p w14:paraId="6235AA44" w14:textId="77777777" w:rsidR="004C518B" w:rsidRPr="004C518B" w:rsidRDefault="004C518B" w:rsidP="004C518B">
            <w:pPr>
              <w:ind w:firstLine="0"/>
              <w:jc w:val="center"/>
              <w:rPr>
                <w:rFonts w:eastAsia="Times New Roman"/>
                <w:sz w:val="23"/>
                <w:szCs w:val="23"/>
                <w:lang w:eastAsia="ru-RU"/>
              </w:rPr>
            </w:pPr>
            <w:r w:rsidRPr="004C518B">
              <w:rPr>
                <w:rFonts w:eastAsia="Times New Roman"/>
                <w:sz w:val="23"/>
                <w:szCs w:val="23"/>
                <w:lang w:eastAsia="ru-RU"/>
              </w:rPr>
              <w:t>2</w:t>
            </w:r>
          </w:p>
        </w:tc>
        <w:tc>
          <w:tcPr>
            <w:tcW w:w="2435" w:type="dxa"/>
          </w:tcPr>
          <w:p w14:paraId="3FD1CAE5" w14:textId="77777777" w:rsidR="004C518B" w:rsidRPr="004C518B" w:rsidRDefault="004C518B" w:rsidP="004C518B">
            <w:pPr>
              <w:ind w:firstLine="0"/>
              <w:jc w:val="center"/>
              <w:rPr>
                <w:rFonts w:eastAsia="Times New Roman"/>
                <w:sz w:val="23"/>
                <w:szCs w:val="23"/>
                <w:lang w:eastAsia="ru-RU"/>
              </w:rPr>
            </w:pPr>
            <w:r w:rsidRPr="004C518B">
              <w:rPr>
                <w:rFonts w:eastAsia="Times New Roman"/>
                <w:sz w:val="23"/>
                <w:szCs w:val="23"/>
                <w:lang w:eastAsia="ru-RU"/>
              </w:rPr>
              <w:t>3</w:t>
            </w:r>
          </w:p>
        </w:tc>
        <w:tc>
          <w:tcPr>
            <w:tcW w:w="2450" w:type="dxa"/>
          </w:tcPr>
          <w:p w14:paraId="6E618503" w14:textId="77777777" w:rsidR="004C518B" w:rsidRPr="004C518B" w:rsidRDefault="004C518B" w:rsidP="004C518B">
            <w:pPr>
              <w:ind w:firstLine="0"/>
              <w:jc w:val="center"/>
              <w:rPr>
                <w:rFonts w:eastAsia="Times New Roman"/>
                <w:sz w:val="23"/>
                <w:szCs w:val="23"/>
                <w:lang w:eastAsia="ru-RU"/>
              </w:rPr>
            </w:pPr>
            <w:r w:rsidRPr="004C518B">
              <w:rPr>
                <w:rFonts w:eastAsia="Times New Roman"/>
                <w:sz w:val="23"/>
                <w:szCs w:val="23"/>
                <w:lang w:eastAsia="ru-RU"/>
              </w:rPr>
              <w:t>4</w:t>
            </w:r>
          </w:p>
        </w:tc>
        <w:tc>
          <w:tcPr>
            <w:tcW w:w="2572" w:type="dxa"/>
          </w:tcPr>
          <w:p w14:paraId="2E38AB6B" w14:textId="77777777" w:rsidR="004C518B" w:rsidRPr="004C518B" w:rsidRDefault="004C518B" w:rsidP="004C518B">
            <w:pPr>
              <w:ind w:firstLine="0"/>
              <w:jc w:val="center"/>
              <w:rPr>
                <w:rFonts w:eastAsia="Times New Roman"/>
                <w:sz w:val="23"/>
                <w:szCs w:val="23"/>
                <w:lang w:eastAsia="ru-RU"/>
              </w:rPr>
            </w:pPr>
            <w:r w:rsidRPr="004C518B">
              <w:rPr>
                <w:rFonts w:eastAsia="Times New Roman"/>
                <w:sz w:val="23"/>
                <w:szCs w:val="23"/>
                <w:lang w:eastAsia="ru-RU"/>
              </w:rPr>
              <w:t>5</w:t>
            </w:r>
          </w:p>
        </w:tc>
        <w:tc>
          <w:tcPr>
            <w:tcW w:w="2635" w:type="dxa"/>
          </w:tcPr>
          <w:p w14:paraId="4F14EDEE" w14:textId="77777777" w:rsidR="004C518B" w:rsidRPr="004C518B" w:rsidRDefault="004C518B" w:rsidP="004C518B">
            <w:pPr>
              <w:ind w:firstLine="0"/>
              <w:jc w:val="center"/>
              <w:rPr>
                <w:rFonts w:eastAsia="Times New Roman"/>
                <w:sz w:val="23"/>
                <w:szCs w:val="23"/>
                <w:lang w:eastAsia="ru-RU"/>
              </w:rPr>
            </w:pPr>
            <w:r w:rsidRPr="004C518B">
              <w:rPr>
                <w:rFonts w:eastAsia="Times New Roman"/>
                <w:sz w:val="23"/>
                <w:szCs w:val="23"/>
                <w:lang w:eastAsia="ru-RU"/>
              </w:rPr>
              <w:t>6</w:t>
            </w:r>
          </w:p>
        </w:tc>
      </w:tr>
      <w:tr w:rsidR="004C518B" w:rsidRPr="004C518B" w14:paraId="670B3306" w14:textId="77777777" w:rsidTr="004C518B">
        <w:tc>
          <w:tcPr>
            <w:tcW w:w="2025" w:type="dxa"/>
            <w:hideMark/>
          </w:tcPr>
          <w:p w14:paraId="42050D7A" w14:textId="77777777" w:rsidR="00165BDA" w:rsidRPr="004C518B" w:rsidRDefault="00165BDA" w:rsidP="00165BDA">
            <w:pPr>
              <w:ind w:firstLine="0"/>
              <w:rPr>
                <w:rFonts w:eastAsia="Times New Roman"/>
                <w:bCs/>
                <w:sz w:val="23"/>
                <w:szCs w:val="23"/>
                <w:vertAlign w:val="subscript"/>
                <w:lang w:eastAsia="ru-RU"/>
              </w:rPr>
            </w:pPr>
            <w:r w:rsidRPr="00A24C82">
              <w:rPr>
                <w:rFonts w:eastAsia="Times New Roman"/>
                <w:bCs/>
                <w:sz w:val="23"/>
                <w:szCs w:val="23"/>
                <w:lang w:eastAsia="ru-RU"/>
              </w:rPr>
              <w:t>R</w:t>
            </w:r>
            <w:r w:rsidRPr="00A24C82">
              <w:rPr>
                <w:rFonts w:eastAsia="Times New Roman"/>
                <w:bCs/>
                <w:sz w:val="23"/>
                <w:szCs w:val="23"/>
                <w:vertAlign w:val="subscript"/>
                <w:lang w:eastAsia="ru-RU"/>
              </w:rPr>
              <w:t>4</w:t>
            </w:r>
          </w:p>
          <w:p w14:paraId="3EEE0AC9" w14:textId="56E2C966" w:rsidR="004C518B" w:rsidRPr="00A24C82" w:rsidRDefault="00165BDA" w:rsidP="00165BDA">
            <w:pPr>
              <w:ind w:firstLine="0"/>
              <w:rPr>
                <w:rFonts w:eastAsia="Times New Roman"/>
                <w:sz w:val="23"/>
                <w:szCs w:val="23"/>
                <w:lang w:eastAsia="ru-RU"/>
              </w:rPr>
            </w:pPr>
            <w:r w:rsidRPr="00A24C82">
              <w:rPr>
                <w:rFonts w:eastAsia="Times New Roman"/>
                <w:bCs/>
                <w:sz w:val="23"/>
                <w:szCs w:val="23"/>
                <w:lang w:eastAsia="ru-RU"/>
              </w:rPr>
              <w:t xml:space="preserve">Человеческий </w:t>
            </w:r>
            <w:r w:rsidR="004C518B" w:rsidRPr="00A24C82">
              <w:rPr>
                <w:rFonts w:eastAsia="Times New Roman"/>
                <w:bCs/>
                <w:sz w:val="23"/>
                <w:szCs w:val="23"/>
                <w:lang w:eastAsia="ru-RU"/>
              </w:rPr>
              <w:t>капитал и компетенции (HC)</w:t>
            </w:r>
          </w:p>
        </w:tc>
        <w:tc>
          <w:tcPr>
            <w:tcW w:w="2506" w:type="dxa"/>
            <w:hideMark/>
          </w:tcPr>
          <w:p w14:paraId="4D20A99E" w14:textId="29A4468E" w:rsidR="004C518B" w:rsidRPr="00A24C82" w:rsidRDefault="00165BDA" w:rsidP="004C518B">
            <w:pPr>
              <w:ind w:firstLine="0"/>
              <w:rPr>
                <w:rFonts w:eastAsia="Times New Roman"/>
                <w:sz w:val="23"/>
                <w:szCs w:val="23"/>
                <w:lang w:eastAsia="ru-RU"/>
              </w:rPr>
            </w:pPr>
            <w:r w:rsidRPr="004C518B">
              <w:rPr>
                <w:rFonts w:eastAsia="Times New Roman"/>
                <w:sz w:val="23"/>
                <w:szCs w:val="23"/>
                <w:lang w:eastAsia="ru-RU"/>
              </w:rPr>
              <w:t xml:space="preserve">Формирует </w:t>
            </w:r>
            <w:r w:rsidRPr="00A24C82">
              <w:rPr>
                <w:rFonts w:eastAsia="Times New Roman"/>
                <w:bCs/>
                <w:sz w:val="23"/>
                <w:szCs w:val="23"/>
                <w:lang w:eastAsia="ru-RU"/>
              </w:rPr>
              <w:t xml:space="preserve">адаптивную </w:t>
            </w:r>
            <w:r w:rsidR="004C518B" w:rsidRPr="00A24C82">
              <w:rPr>
                <w:rFonts w:eastAsia="Times New Roman"/>
                <w:bCs/>
                <w:sz w:val="23"/>
                <w:szCs w:val="23"/>
                <w:lang w:eastAsia="ru-RU"/>
              </w:rPr>
              <w:t>способность</w:t>
            </w:r>
            <w:r w:rsidR="004C518B" w:rsidRPr="004C518B">
              <w:rPr>
                <w:rFonts w:eastAsia="Times New Roman"/>
                <w:sz w:val="23"/>
                <w:szCs w:val="23"/>
                <w:lang w:eastAsia="ru-RU"/>
              </w:rPr>
              <w:t xml:space="preserve"> предприятия, выступает ключевым компенсаторным ресурсом для МСП.</w:t>
            </w:r>
          </w:p>
        </w:tc>
        <w:tc>
          <w:tcPr>
            <w:tcW w:w="2435" w:type="dxa"/>
            <w:hideMark/>
          </w:tcPr>
          <w:p w14:paraId="7918021D" w14:textId="6A22ED65" w:rsidR="004C518B" w:rsidRPr="00A24C82" w:rsidRDefault="00165BDA" w:rsidP="004C518B">
            <w:pPr>
              <w:ind w:firstLine="0"/>
              <w:rPr>
                <w:rFonts w:eastAsia="Times New Roman"/>
                <w:sz w:val="23"/>
                <w:szCs w:val="23"/>
                <w:lang w:eastAsia="ru-RU"/>
              </w:rPr>
            </w:pPr>
            <w:r w:rsidRPr="004C518B">
              <w:rPr>
                <w:rFonts w:eastAsia="Times New Roman"/>
                <w:sz w:val="23"/>
                <w:szCs w:val="23"/>
                <w:lang w:eastAsia="ru-RU"/>
              </w:rPr>
              <w:t xml:space="preserve">Приоритетное развитие </w:t>
            </w:r>
            <w:r w:rsidRPr="00A24C82">
              <w:rPr>
                <w:rFonts w:eastAsia="Times New Roman"/>
                <w:bCs/>
                <w:sz w:val="23"/>
                <w:szCs w:val="23"/>
                <w:lang w:eastAsia="ru-RU"/>
              </w:rPr>
              <w:t xml:space="preserve">β-значимых </w:t>
            </w:r>
            <w:r w:rsidR="004C518B" w:rsidRPr="00A24C82">
              <w:rPr>
                <w:rFonts w:eastAsia="Times New Roman"/>
                <w:bCs/>
                <w:sz w:val="23"/>
                <w:szCs w:val="23"/>
                <w:lang w:eastAsia="ru-RU"/>
              </w:rPr>
              <w:t>компетенций</w:t>
            </w:r>
            <w:r w:rsidR="004C518B" w:rsidRPr="004C518B">
              <w:rPr>
                <w:rFonts w:eastAsia="Times New Roman"/>
                <w:sz w:val="23"/>
                <w:szCs w:val="23"/>
                <w:lang w:eastAsia="ru-RU"/>
              </w:rPr>
              <w:t>: робототехника, Big Data, устойчивое мышление.</w:t>
            </w:r>
          </w:p>
        </w:tc>
        <w:tc>
          <w:tcPr>
            <w:tcW w:w="2450" w:type="dxa"/>
            <w:hideMark/>
          </w:tcPr>
          <w:p w14:paraId="29160C12" w14:textId="281E96A5" w:rsidR="004C518B" w:rsidRPr="00A24C82" w:rsidRDefault="00165BDA" w:rsidP="004C518B">
            <w:pPr>
              <w:ind w:firstLine="0"/>
              <w:rPr>
                <w:rFonts w:eastAsia="Times New Roman"/>
                <w:sz w:val="23"/>
                <w:szCs w:val="23"/>
                <w:lang w:eastAsia="ru-RU"/>
              </w:rPr>
            </w:pPr>
            <w:r w:rsidRPr="004C518B">
              <w:rPr>
                <w:rFonts w:eastAsia="Times New Roman"/>
                <w:sz w:val="23"/>
                <w:szCs w:val="23"/>
                <w:lang w:eastAsia="ru-RU"/>
              </w:rPr>
              <w:t xml:space="preserve">Создание </w:t>
            </w:r>
            <w:r w:rsidRPr="00A24C82">
              <w:rPr>
                <w:rFonts w:eastAsia="Times New Roman"/>
                <w:bCs/>
                <w:sz w:val="23"/>
                <w:szCs w:val="23"/>
                <w:lang w:eastAsia="ru-RU"/>
              </w:rPr>
              <w:t xml:space="preserve">межфункциональных </w:t>
            </w:r>
            <w:r w:rsidR="004C518B" w:rsidRPr="00A24C82">
              <w:rPr>
                <w:rFonts w:eastAsia="Times New Roman"/>
                <w:bCs/>
                <w:sz w:val="23"/>
                <w:szCs w:val="23"/>
                <w:lang w:eastAsia="ru-RU"/>
              </w:rPr>
              <w:t>команд</w:t>
            </w:r>
            <w:r w:rsidR="004C518B" w:rsidRPr="004C518B">
              <w:rPr>
                <w:rFonts w:eastAsia="Times New Roman"/>
                <w:sz w:val="23"/>
                <w:szCs w:val="23"/>
                <w:lang w:eastAsia="ru-RU"/>
              </w:rPr>
              <w:t xml:space="preserve"> и внедрение систем наставничества для ускоренной передачи знаний.</w:t>
            </w:r>
          </w:p>
        </w:tc>
        <w:tc>
          <w:tcPr>
            <w:tcW w:w="2572" w:type="dxa"/>
            <w:hideMark/>
          </w:tcPr>
          <w:p w14:paraId="4DD9D9FE" w14:textId="532BD44F" w:rsidR="004C518B" w:rsidRPr="00A24C82" w:rsidRDefault="00165BDA" w:rsidP="004C518B">
            <w:pPr>
              <w:ind w:firstLine="0"/>
              <w:rPr>
                <w:rFonts w:eastAsia="Times New Roman"/>
                <w:sz w:val="23"/>
                <w:szCs w:val="23"/>
                <w:lang w:eastAsia="ru-RU"/>
              </w:rPr>
            </w:pPr>
            <w:r w:rsidRPr="00165BDA">
              <w:rPr>
                <w:rFonts w:eastAsia="Times New Roman"/>
                <w:bCs/>
                <w:sz w:val="22"/>
                <w:szCs w:val="23"/>
                <w:lang w:eastAsia="ru-RU"/>
              </w:rPr>
              <w:t>Институционализация систем мотивации</w:t>
            </w:r>
            <w:r w:rsidRPr="00165BDA">
              <w:rPr>
                <w:rFonts w:eastAsia="Times New Roman"/>
                <w:sz w:val="22"/>
                <w:szCs w:val="23"/>
                <w:lang w:eastAsia="ru-RU"/>
              </w:rPr>
              <w:t xml:space="preserve">, </w:t>
            </w:r>
            <w:r w:rsidR="004C518B" w:rsidRPr="00165BDA">
              <w:rPr>
                <w:rFonts w:eastAsia="Times New Roman"/>
                <w:sz w:val="22"/>
                <w:szCs w:val="23"/>
                <w:lang w:eastAsia="ru-RU"/>
              </w:rPr>
              <w:t>привязанных к инновационным результатам; оценка компетенций, привязанная к стратегическим целям.</w:t>
            </w:r>
          </w:p>
        </w:tc>
        <w:tc>
          <w:tcPr>
            <w:tcW w:w="2635" w:type="dxa"/>
            <w:hideMark/>
          </w:tcPr>
          <w:p w14:paraId="398CBBBE" w14:textId="57502C4A" w:rsidR="004C518B" w:rsidRPr="00A24C82" w:rsidRDefault="00165BDA" w:rsidP="004C518B">
            <w:pPr>
              <w:ind w:firstLine="0"/>
              <w:rPr>
                <w:rFonts w:eastAsia="Times New Roman"/>
                <w:sz w:val="23"/>
                <w:szCs w:val="23"/>
                <w:lang w:eastAsia="ru-RU"/>
              </w:rPr>
            </w:pPr>
            <w:r w:rsidRPr="004C518B">
              <w:rPr>
                <w:rFonts w:eastAsia="Times New Roman"/>
                <w:sz w:val="23"/>
                <w:szCs w:val="23"/>
                <w:lang w:eastAsia="ru-RU"/>
              </w:rPr>
              <w:t xml:space="preserve">Навыки </w:t>
            </w:r>
            <w:r w:rsidRPr="00A24C82">
              <w:rPr>
                <w:rFonts w:eastAsia="Times New Roman"/>
                <w:bCs/>
                <w:sz w:val="23"/>
                <w:szCs w:val="23"/>
                <w:lang w:eastAsia="ru-RU"/>
              </w:rPr>
              <w:t>Робототехники</w:t>
            </w:r>
            <w:r w:rsidRPr="004C518B">
              <w:rPr>
                <w:rFonts w:eastAsia="Times New Roman"/>
                <w:sz w:val="23"/>
                <w:szCs w:val="23"/>
                <w:lang w:eastAsia="ru-RU"/>
              </w:rPr>
              <w:t xml:space="preserve"> (β = </w:t>
            </w:r>
            <w:r w:rsidR="004C518B" w:rsidRPr="004C518B">
              <w:rPr>
                <w:rFonts w:eastAsia="Times New Roman"/>
                <w:sz w:val="23"/>
                <w:szCs w:val="23"/>
                <w:lang w:eastAsia="ru-RU"/>
              </w:rPr>
              <w:t xml:space="preserve">0,378) и </w:t>
            </w:r>
            <w:r w:rsidR="004C518B" w:rsidRPr="00A24C82">
              <w:rPr>
                <w:rFonts w:eastAsia="Times New Roman"/>
                <w:bCs/>
                <w:sz w:val="23"/>
                <w:szCs w:val="23"/>
                <w:lang w:eastAsia="ru-RU"/>
              </w:rPr>
              <w:t>Big Data</w:t>
            </w:r>
            <w:r w:rsidR="004C518B" w:rsidRPr="004C518B">
              <w:rPr>
                <w:rFonts w:eastAsia="Times New Roman"/>
                <w:sz w:val="23"/>
                <w:szCs w:val="23"/>
                <w:lang w:eastAsia="ru-RU"/>
              </w:rPr>
              <w:t xml:space="preserve"> (β = 0,337) являются наиболее значимыми драйверами ИП для крупных структур.</w:t>
            </w:r>
          </w:p>
        </w:tc>
      </w:tr>
      <w:tr w:rsidR="004C518B" w:rsidRPr="004C518B" w14:paraId="0CACEC73" w14:textId="77777777" w:rsidTr="004C518B">
        <w:tc>
          <w:tcPr>
            <w:tcW w:w="2025" w:type="dxa"/>
            <w:hideMark/>
          </w:tcPr>
          <w:p w14:paraId="33B16691" w14:textId="77777777" w:rsidR="004C518B" w:rsidRPr="004C518B" w:rsidRDefault="004C518B" w:rsidP="004C518B">
            <w:pPr>
              <w:ind w:firstLine="0"/>
              <w:rPr>
                <w:rFonts w:eastAsia="Times New Roman"/>
                <w:bCs/>
                <w:sz w:val="23"/>
                <w:szCs w:val="23"/>
                <w:vertAlign w:val="subscript"/>
                <w:lang w:eastAsia="ru-RU"/>
              </w:rPr>
            </w:pPr>
            <w:r w:rsidRPr="00A24C82">
              <w:rPr>
                <w:rFonts w:eastAsia="Times New Roman"/>
                <w:bCs/>
                <w:sz w:val="23"/>
                <w:szCs w:val="23"/>
                <w:lang w:eastAsia="ru-RU"/>
              </w:rPr>
              <w:t>R</w:t>
            </w:r>
            <w:r w:rsidRPr="00A24C82">
              <w:rPr>
                <w:rFonts w:eastAsia="Times New Roman"/>
                <w:bCs/>
                <w:sz w:val="23"/>
                <w:szCs w:val="23"/>
                <w:vertAlign w:val="subscript"/>
                <w:lang w:eastAsia="ru-RU"/>
              </w:rPr>
              <w:t>5</w:t>
            </w:r>
          </w:p>
          <w:p w14:paraId="37B8860B" w14:textId="77777777" w:rsidR="004C518B" w:rsidRPr="00A24C82" w:rsidRDefault="004C518B" w:rsidP="004C518B">
            <w:pPr>
              <w:ind w:firstLine="0"/>
              <w:rPr>
                <w:rFonts w:eastAsia="Times New Roman"/>
                <w:sz w:val="23"/>
                <w:szCs w:val="23"/>
                <w:lang w:eastAsia="ru-RU"/>
              </w:rPr>
            </w:pPr>
            <w:r w:rsidRPr="00A24C82">
              <w:rPr>
                <w:rFonts w:eastAsia="Times New Roman"/>
                <w:bCs/>
                <w:sz w:val="23"/>
                <w:szCs w:val="23"/>
                <w:lang w:eastAsia="ru-RU"/>
              </w:rPr>
              <w:t>Инновационная культура (IC)</w:t>
            </w:r>
          </w:p>
        </w:tc>
        <w:tc>
          <w:tcPr>
            <w:tcW w:w="2506" w:type="dxa"/>
            <w:hideMark/>
          </w:tcPr>
          <w:p w14:paraId="3CFB24C5" w14:textId="77777777" w:rsidR="004C518B" w:rsidRPr="00A24C82" w:rsidRDefault="004C518B" w:rsidP="004C518B">
            <w:pPr>
              <w:ind w:firstLine="0"/>
              <w:rPr>
                <w:rFonts w:eastAsia="Times New Roman"/>
                <w:sz w:val="23"/>
                <w:szCs w:val="23"/>
                <w:lang w:eastAsia="ru-RU"/>
              </w:rPr>
            </w:pPr>
            <w:r w:rsidRPr="004C518B">
              <w:rPr>
                <w:rFonts w:eastAsia="Times New Roman"/>
                <w:sz w:val="23"/>
                <w:szCs w:val="23"/>
                <w:lang w:eastAsia="ru-RU"/>
              </w:rPr>
              <w:t xml:space="preserve">Поддерживает </w:t>
            </w:r>
            <w:r w:rsidRPr="00A24C82">
              <w:rPr>
                <w:rFonts w:eastAsia="Times New Roman"/>
                <w:bCs/>
                <w:sz w:val="23"/>
                <w:szCs w:val="23"/>
                <w:lang w:eastAsia="ru-RU"/>
              </w:rPr>
              <w:t>нематериальные основания</w:t>
            </w:r>
            <w:r w:rsidRPr="004C518B">
              <w:rPr>
                <w:rFonts w:eastAsia="Times New Roman"/>
                <w:sz w:val="23"/>
                <w:szCs w:val="23"/>
                <w:lang w:eastAsia="ru-RU"/>
              </w:rPr>
              <w:t xml:space="preserve"> ИП; формирует </w:t>
            </w:r>
            <w:r w:rsidRPr="00A24C82">
              <w:rPr>
                <w:rFonts w:eastAsia="Times New Roman"/>
                <w:bCs/>
                <w:sz w:val="23"/>
                <w:szCs w:val="23"/>
                <w:lang w:eastAsia="ru-RU"/>
              </w:rPr>
              <w:t>готовность к изменениям</w:t>
            </w:r>
            <w:r w:rsidRPr="004C518B">
              <w:rPr>
                <w:rFonts w:eastAsia="Times New Roman"/>
                <w:sz w:val="23"/>
                <w:szCs w:val="23"/>
                <w:lang w:eastAsia="ru-RU"/>
              </w:rPr>
              <w:t xml:space="preserve"> и толерантность к риску.</w:t>
            </w:r>
          </w:p>
        </w:tc>
        <w:tc>
          <w:tcPr>
            <w:tcW w:w="2435" w:type="dxa"/>
            <w:hideMark/>
          </w:tcPr>
          <w:p w14:paraId="09BE6C11" w14:textId="77777777" w:rsidR="004C518B" w:rsidRPr="00A24C82" w:rsidRDefault="004C518B" w:rsidP="004C518B">
            <w:pPr>
              <w:ind w:firstLine="0"/>
              <w:rPr>
                <w:rFonts w:eastAsia="Times New Roman"/>
                <w:sz w:val="23"/>
                <w:szCs w:val="23"/>
                <w:lang w:eastAsia="ru-RU"/>
              </w:rPr>
            </w:pPr>
            <w:r w:rsidRPr="004C518B">
              <w:rPr>
                <w:rFonts w:eastAsia="Times New Roman"/>
                <w:sz w:val="23"/>
                <w:szCs w:val="23"/>
                <w:lang w:eastAsia="ru-RU"/>
              </w:rPr>
              <w:t xml:space="preserve">Поощрение новых идей и инициатив; институционализация принципа </w:t>
            </w:r>
            <w:r w:rsidRPr="00A24C82">
              <w:rPr>
                <w:rFonts w:eastAsia="Times New Roman"/>
                <w:bCs/>
                <w:sz w:val="23"/>
                <w:szCs w:val="23"/>
                <w:lang w:eastAsia="ru-RU"/>
              </w:rPr>
              <w:t>допустимости управляемого риска</w:t>
            </w:r>
            <w:r w:rsidRPr="004C518B">
              <w:rPr>
                <w:rFonts w:eastAsia="Times New Roman"/>
                <w:sz w:val="23"/>
                <w:szCs w:val="23"/>
                <w:lang w:eastAsia="ru-RU"/>
              </w:rPr>
              <w:t>.</w:t>
            </w:r>
          </w:p>
        </w:tc>
        <w:tc>
          <w:tcPr>
            <w:tcW w:w="2450" w:type="dxa"/>
            <w:hideMark/>
          </w:tcPr>
          <w:p w14:paraId="69447B20" w14:textId="77777777" w:rsidR="004C518B" w:rsidRPr="00A24C82" w:rsidRDefault="004C518B" w:rsidP="004C518B">
            <w:pPr>
              <w:ind w:firstLine="0"/>
              <w:rPr>
                <w:rFonts w:eastAsia="Times New Roman"/>
                <w:sz w:val="23"/>
                <w:szCs w:val="23"/>
                <w:lang w:eastAsia="ru-RU"/>
              </w:rPr>
            </w:pPr>
            <w:r w:rsidRPr="00165BDA">
              <w:rPr>
                <w:rFonts w:eastAsia="Times New Roman"/>
                <w:sz w:val="22"/>
                <w:szCs w:val="23"/>
                <w:lang w:eastAsia="ru-RU"/>
              </w:rPr>
              <w:t xml:space="preserve">Внедрение систем </w:t>
            </w:r>
            <w:r w:rsidRPr="00165BDA">
              <w:rPr>
                <w:rFonts w:eastAsia="Times New Roman"/>
                <w:bCs/>
                <w:sz w:val="22"/>
                <w:szCs w:val="23"/>
                <w:lang w:eastAsia="ru-RU"/>
              </w:rPr>
              <w:t>комплексной обратной связи</w:t>
            </w:r>
            <w:r w:rsidRPr="00165BDA">
              <w:rPr>
                <w:rFonts w:eastAsia="Times New Roman"/>
                <w:sz w:val="22"/>
                <w:szCs w:val="23"/>
                <w:lang w:eastAsia="ru-RU"/>
              </w:rPr>
              <w:t xml:space="preserve">; обеспечение </w:t>
            </w:r>
            <w:r w:rsidRPr="00165BDA">
              <w:rPr>
                <w:rFonts w:eastAsia="Times New Roman"/>
                <w:bCs/>
                <w:sz w:val="22"/>
                <w:szCs w:val="23"/>
                <w:lang w:eastAsia="ru-RU"/>
              </w:rPr>
              <w:t>психологической безопасности</w:t>
            </w:r>
            <w:r w:rsidRPr="00165BDA">
              <w:rPr>
                <w:rFonts w:eastAsia="Times New Roman"/>
                <w:sz w:val="22"/>
                <w:szCs w:val="23"/>
                <w:lang w:eastAsia="ru-RU"/>
              </w:rPr>
              <w:t xml:space="preserve"> для выдвижения новых идей.</w:t>
            </w:r>
          </w:p>
        </w:tc>
        <w:tc>
          <w:tcPr>
            <w:tcW w:w="2572" w:type="dxa"/>
            <w:hideMark/>
          </w:tcPr>
          <w:p w14:paraId="03346840" w14:textId="77777777" w:rsidR="004C518B" w:rsidRPr="00A24C82" w:rsidRDefault="004C518B" w:rsidP="004C518B">
            <w:pPr>
              <w:ind w:firstLine="0"/>
              <w:rPr>
                <w:rFonts w:eastAsia="Times New Roman"/>
                <w:sz w:val="23"/>
                <w:szCs w:val="23"/>
                <w:lang w:eastAsia="ru-RU"/>
              </w:rPr>
            </w:pPr>
            <w:r w:rsidRPr="004C518B">
              <w:rPr>
                <w:rFonts w:eastAsia="Times New Roman"/>
                <w:sz w:val="23"/>
                <w:szCs w:val="23"/>
                <w:lang w:eastAsia="ru-RU"/>
              </w:rPr>
              <w:t xml:space="preserve">Интеграция культуры </w:t>
            </w:r>
            <w:r w:rsidRPr="00A24C82">
              <w:rPr>
                <w:rFonts w:eastAsia="Times New Roman"/>
                <w:bCs/>
                <w:sz w:val="23"/>
                <w:szCs w:val="23"/>
                <w:lang w:eastAsia="ru-RU"/>
              </w:rPr>
              <w:t xml:space="preserve">устойчивого развития </w:t>
            </w:r>
            <w:r w:rsidRPr="004C518B">
              <w:rPr>
                <w:rFonts w:eastAsia="Times New Roman"/>
                <w:sz w:val="23"/>
                <w:szCs w:val="23"/>
                <w:lang w:eastAsia="ru-RU"/>
              </w:rPr>
              <w:t>и формирование культуры открытого обмена знаниями.</w:t>
            </w:r>
          </w:p>
        </w:tc>
        <w:tc>
          <w:tcPr>
            <w:tcW w:w="2635" w:type="dxa"/>
            <w:hideMark/>
          </w:tcPr>
          <w:p w14:paraId="0C9008C4" w14:textId="77777777" w:rsidR="004C518B" w:rsidRPr="00A24C82" w:rsidRDefault="004C518B" w:rsidP="004C518B">
            <w:pPr>
              <w:ind w:firstLine="0"/>
              <w:rPr>
                <w:rFonts w:eastAsia="Times New Roman"/>
                <w:sz w:val="23"/>
                <w:szCs w:val="23"/>
                <w:lang w:eastAsia="ru-RU"/>
              </w:rPr>
            </w:pPr>
            <w:r w:rsidRPr="004C518B">
              <w:rPr>
                <w:rFonts w:eastAsia="Times New Roman"/>
                <w:sz w:val="23"/>
                <w:szCs w:val="23"/>
                <w:lang w:eastAsia="ru-RU"/>
              </w:rPr>
              <w:t xml:space="preserve">Влияние нелинейно: </w:t>
            </w:r>
            <w:r w:rsidRPr="00A24C82">
              <w:rPr>
                <w:rFonts w:eastAsia="Times New Roman"/>
                <w:bCs/>
                <w:sz w:val="23"/>
                <w:szCs w:val="23"/>
                <w:lang w:eastAsia="ru-RU"/>
              </w:rPr>
              <w:t>Наивысший ИП</w:t>
            </w:r>
            <w:r w:rsidRPr="004C518B">
              <w:rPr>
                <w:rFonts w:eastAsia="Times New Roman"/>
                <w:sz w:val="23"/>
                <w:szCs w:val="23"/>
                <w:lang w:eastAsia="ru-RU"/>
              </w:rPr>
              <w:t xml:space="preserve"> достигается в кластере «Ситуативно активных» структур (15,4%), что подтверждает приоритет гибкости.</w:t>
            </w:r>
          </w:p>
        </w:tc>
      </w:tr>
      <w:tr w:rsidR="004C518B" w:rsidRPr="004C518B" w14:paraId="3159E069" w14:textId="77777777" w:rsidTr="004C518B">
        <w:tc>
          <w:tcPr>
            <w:tcW w:w="2025" w:type="dxa"/>
            <w:hideMark/>
          </w:tcPr>
          <w:p w14:paraId="60F7A672" w14:textId="77777777" w:rsidR="004C518B" w:rsidRPr="004C518B" w:rsidRDefault="004C518B" w:rsidP="004C518B">
            <w:pPr>
              <w:ind w:firstLine="0"/>
              <w:rPr>
                <w:rFonts w:eastAsia="Times New Roman"/>
                <w:bCs/>
                <w:sz w:val="23"/>
                <w:szCs w:val="23"/>
                <w:vertAlign w:val="subscript"/>
                <w:lang w:eastAsia="ru-RU"/>
              </w:rPr>
            </w:pPr>
            <w:r w:rsidRPr="00A24C82">
              <w:rPr>
                <w:rFonts w:eastAsia="Times New Roman"/>
                <w:bCs/>
                <w:sz w:val="23"/>
                <w:szCs w:val="23"/>
                <w:lang w:eastAsia="ru-RU"/>
              </w:rPr>
              <w:t>R</w:t>
            </w:r>
            <w:r w:rsidRPr="00A24C82">
              <w:rPr>
                <w:rFonts w:eastAsia="Times New Roman"/>
                <w:bCs/>
                <w:sz w:val="23"/>
                <w:szCs w:val="23"/>
                <w:vertAlign w:val="subscript"/>
                <w:lang w:eastAsia="ru-RU"/>
              </w:rPr>
              <w:t>6</w:t>
            </w:r>
          </w:p>
          <w:p w14:paraId="17B95A95" w14:textId="77777777" w:rsidR="004C518B" w:rsidRPr="00A24C82" w:rsidRDefault="004C518B" w:rsidP="004C518B">
            <w:pPr>
              <w:ind w:firstLine="0"/>
              <w:rPr>
                <w:rFonts w:eastAsia="Times New Roman"/>
                <w:sz w:val="23"/>
                <w:szCs w:val="23"/>
                <w:lang w:eastAsia="ru-RU"/>
              </w:rPr>
            </w:pPr>
            <w:r w:rsidRPr="00A24C82">
              <w:rPr>
                <w:rFonts w:eastAsia="Times New Roman"/>
                <w:bCs/>
                <w:sz w:val="23"/>
                <w:szCs w:val="23"/>
                <w:lang w:eastAsia="ru-RU"/>
              </w:rPr>
              <w:t>Цифровая среда (DS)</w:t>
            </w:r>
          </w:p>
        </w:tc>
        <w:tc>
          <w:tcPr>
            <w:tcW w:w="2506" w:type="dxa"/>
            <w:hideMark/>
          </w:tcPr>
          <w:p w14:paraId="3CD4B9AE" w14:textId="77777777" w:rsidR="004C518B" w:rsidRPr="00A24C82" w:rsidRDefault="004C518B" w:rsidP="004C518B">
            <w:pPr>
              <w:ind w:firstLine="0"/>
              <w:rPr>
                <w:rFonts w:eastAsia="Times New Roman"/>
                <w:sz w:val="23"/>
                <w:szCs w:val="23"/>
                <w:lang w:eastAsia="ru-RU"/>
              </w:rPr>
            </w:pPr>
            <w:r w:rsidRPr="004C518B">
              <w:rPr>
                <w:rFonts w:eastAsia="Times New Roman"/>
                <w:sz w:val="23"/>
                <w:szCs w:val="23"/>
                <w:lang w:eastAsia="ru-RU"/>
              </w:rPr>
              <w:t xml:space="preserve">Выступает </w:t>
            </w:r>
            <w:r w:rsidRPr="00A24C82">
              <w:rPr>
                <w:rFonts w:eastAsia="Times New Roman"/>
                <w:bCs/>
                <w:sz w:val="23"/>
                <w:szCs w:val="23"/>
                <w:lang w:eastAsia="ru-RU"/>
              </w:rPr>
              <w:t>сквозным медиатором</w:t>
            </w:r>
            <w:r w:rsidRPr="004C518B">
              <w:rPr>
                <w:rFonts w:eastAsia="Times New Roman"/>
                <w:sz w:val="23"/>
                <w:szCs w:val="23"/>
                <w:lang w:eastAsia="ru-RU"/>
              </w:rPr>
              <w:t>, усиливающим влияние внутренних драйверов и компенсирующим ресурсные ограничения МСП.</w:t>
            </w:r>
          </w:p>
        </w:tc>
        <w:tc>
          <w:tcPr>
            <w:tcW w:w="2435" w:type="dxa"/>
            <w:hideMark/>
          </w:tcPr>
          <w:p w14:paraId="47E420DA" w14:textId="77777777" w:rsidR="004C518B" w:rsidRPr="00A24C82" w:rsidRDefault="004C518B" w:rsidP="004C518B">
            <w:pPr>
              <w:ind w:firstLine="0"/>
              <w:rPr>
                <w:rFonts w:eastAsia="Times New Roman"/>
                <w:sz w:val="23"/>
                <w:szCs w:val="23"/>
                <w:lang w:eastAsia="ru-RU"/>
              </w:rPr>
            </w:pPr>
            <w:r w:rsidRPr="004C518B">
              <w:rPr>
                <w:rFonts w:eastAsia="Times New Roman"/>
                <w:sz w:val="23"/>
                <w:szCs w:val="23"/>
                <w:lang w:eastAsia="ru-RU"/>
              </w:rPr>
              <w:t xml:space="preserve">Разработка базовой стратегии </w:t>
            </w:r>
            <w:r w:rsidRPr="00A24C82">
              <w:rPr>
                <w:rFonts w:eastAsia="Times New Roman"/>
                <w:bCs/>
                <w:sz w:val="23"/>
                <w:szCs w:val="23"/>
                <w:lang w:eastAsia="ru-RU"/>
              </w:rPr>
              <w:t>цифровой адаптации</w:t>
            </w:r>
            <w:r w:rsidRPr="004C518B">
              <w:rPr>
                <w:rFonts w:eastAsia="Times New Roman"/>
                <w:sz w:val="23"/>
                <w:szCs w:val="23"/>
                <w:lang w:eastAsia="ru-RU"/>
              </w:rPr>
              <w:t xml:space="preserve"> или комплексной стратегии цифровой трансформации.</w:t>
            </w:r>
          </w:p>
        </w:tc>
        <w:tc>
          <w:tcPr>
            <w:tcW w:w="2450" w:type="dxa"/>
            <w:hideMark/>
          </w:tcPr>
          <w:p w14:paraId="15CD2077" w14:textId="77777777" w:rsidR="004C518B" w:rsidRPr="00A24C82" w:rsidRDefault="004C518B" w:rsidP="004C518B">
            <w:pPr>
              <w:ind w:firstLine="0"/>
              <w:rPr>
                <w:rFonts w:eastAsia="Times New Roman"/>
                <w:sz w:val="23"/>
                <w:szCs w:val="23"/>
                <w:lang w:eastAsia="ru-RU"/>
              </w:rPr>
            </w:pPr>
            <w:r w:rsidRPr="004C518B">
              <w:rPr>
                <w:rFonts w:eastAsia="Times New Roman"/>
                <w:sz w:val="23"/>
                <w:szCs w:val="23"/>
                <w:lang w:eastAsia="ru-RU"/>
              </w:rPr>
              <w:t xml:space="preserve">Использование </w:t>
            </w:r>
            <w:r w:rsidRPr="00A24C82">
              <w:rPr>
                <w:rFonts w:eastAsia="Times New Roman"/>
                <w:bCs/>
                <w:sz w:val="23"/>
                <w:szCs w:val="23"/>
                <w:lang w:eastAsia="ru-RU"/>
              </w:rPr>
              <w:t>цифровых платформ</w:t>
            </w:r>
            <w:r w:rsidRPr="004C518B">
              <w:rPr>
                <w:rFonts w:eastAsia="Times New Roman"/>
                <w:sz w:val="23"/>
                <w:szCs w:val="23"/>
                <w:lang w:eastAsia="ru-RU"/>
              </w:rPr>
              <w:t>; интеграция AI/ML для оптимизации процессов.</w:t>
            </w:r>
          </w:p>
        </w:tc>
        <w:tc>
          <w:tcPr>
            <w:tcW w:w="2572" w:type="dxa"/>
            <w:hideMark/>
          </w:tcPr>
          <w:p w14:paraId="796343D4" w14:textId="77777777" w:rsidR="004C518B" w:rsidRPr="00A24C82" w:rsidRDefault="004C518B" w:rsidP="004C518B">
            <w:pPr>
              <w:ind w:firstLine="0"/>
              <w:rPr>
                <w:rFonts w:eastAsia="Times New Roman"/>
                <w:sz w:val="23"/>
                <w:szCs w:val="23"/>
                <w:lang w:eastAsia="ru-RU"/>
              </w:rPr>
            </w:pPr>
            <w:r w:rsidRPr="00165BDA">
              <w:rPr>
                <w:rFonts w:eastAsia="Times New Roman"/>
                <w:sz w:val="22"/>
                <w:szCs w:val="23"/>
                <w:lang w:eastAsia="ru-RU"/>
              </w:rPr>
              <w:t xml:space="preserve">Развитие API-инфраструктуры для </w:t>
            </w:r>
            <w:r w:rsidRPr="00165BDA">
              <w:rPr>
                <w:rFonts w:eastAsia="Times New Roman"/>
                <w:bCs/>
                <w:sz w:val="22"/>
                <w:szCs w:val="23"/>
                <w:lang w:eastAsia="ru-RU"/>
              </w:rPr>
              <w:t>интеграции с внешними партнёрами</w:t>
            </w:r>
            <w:r w:rsidRPr="00165BDA">
              <w:rPr>
                <w:rFonts w:eastAsia="Times New Roman"/>
                <w:sz w:val="22"/>
                <w:szCs w:val="23"/>
                <w:lang w:eastAsia="ru-RU"/>
              </w:rPr>
              <w:t>; создание внутренних центров компетенций по цифровому управлению.</w:t>
            </w:r>
          </w:p>
        </w:tc>
        <w:tc>
          <w:tcPr>
            <w:tcW w:w="2635" w:type="dxa"/>
            <w:hideMark/>
          </w:tcPr>
          <w:p w14:paraId="702E0A9B" w14:textId="77777777" w:rsidR="004C518B" w:rsidRPr="00A24C82" w:rsidRDefault="004C518B" w:rsidP="004C518B">
            <w:pPr>
              <w:ind w:firstLine="0"/>
              <w:rPr>
                <w:rFonts w:eastAsia="Times New Roman"/>
                <w:sz w:val="23"/>
                <w:szCs w:val="23"/>
                <w:lang w:eastAsia="ru-RU"/>
              </w:rPr>
            </w:pPr>
            <w:r w:rsidRPr="00A24C82">
              <w:rPr>
                <w:rFonts w:eastAsia="Times New Roman"/>
                <w:bCs/>
                <w:sz w:val="23"/>
                <w:szCs w:val="23"/>
                <w:lang w:eastAsia="ru-RU"/>
              </w:rPr>
              <w:t>Медиирующий эффект</w:t>
            </w:r>
            <w:r w:rsidRPr="004C518B">
              <w:rPr>
                <w:rFonts w:eastAsia="Times New Roman"/>
                <w:sz w:val="23"/>
                <w:szCs w:val="23"/>
                <w:lang w:eastAsia="ru-RU"/>
              </w:rPr>
              <w:t xml:space="preserve"> максимален для МСП: </w:t>
            </w:r>
            <w:r w:rsidRPr="00A24C82">
              <w:rPr>
                <w:rFonts w:eastAsia="Times New Roman"/>
                <w:bCs/>
                <w:sz w:val="23"/>
                <w:szCs w:val="23"/>
                <w:lang w:eastAsia="ru-RU"/>
              </w:rPr>
              <w:t>β = 0,203</w:t>
            </w:r>
            <w:r w:rsidRPr="004C518B">
              <w:rPr>
                <w:rFonts w:eastAsia="Times New Roman"/>
                <w:sz w:val="23"/>
                <w:szCs w:val="23"/>
                <w:lang w:eastAsia="ru-RU"/>
              </w:rPr>
              <w:t xml:space="preserve"> (p &lt; 0,05), что подтверждает компенсаторную роль цифровизации.</w:t>
            </w:r>
          </w:p>
        </w:tc>
      </w:tr>
      <w:tr w:rsidR="004C518B" w:rsidRPr="004C518B" w14:paraId="0E1C14F7" w14:textId="77777777" w:rsidTr="004C518B">
        <w:tc>
          <w:tcPr>
            <w:tcW w:w="2025" w:type="dxa"/>
            <w:hideMark/>
          </w:tcPr>
          <w:p w14:paraId="6002D89C" w14:textId="77777777" w:rsidR="004C518B" w:rsidRPr="004C518B" w:rsidRDefault="004C518B" w:rsidP="004C518B">
            <w:pPr>
              <w:ind w:firstLine="0"/>
              <w:rPr>
                <w:rFonts w:eastAsia="Times New Roman"/>
                <w:bCs/>
                <w:sz w:val="23"/>
                <w:szCs w:val="23"/>
                <w:vertAlign w:val="subscript"/>
                <w:lang w:eastAsia="ru-RU"/>
              </w:rPr>
            </w:pPr>
            <w:r w:rsidRPr="00A24C82">
              <w:rPr>
                <w:rFonts w:eastAsia="Times New Roman"/>
                <w:bCs/>
                <w:sz w:val="23"/>
                <w:szCs w:val="23"/>
                <w:lang w:eastAsia="ru-RU"/>
              </w:rPr>
              <w:t>R</w:t>
            </w:r>
            <w:r w:rsidRPr="00A24C82">
              <w:rPr>
                <w:rFonts w:eastAsia="Times New Roman"/>
                <w:bCs/>
                <w:sz w:val="23"/>
                <w:szCs w:val="23"/>
                <w:vertAlign w:val="subscript"/>
                <w:lang w:eastAsia="ru-RU"/>
              </w:rPr>
              <w:t>7</w:t>
            </w:r>
          </w:p>
          <w:p w14:paraId="683CC8EA" w14:textId="77777777" w:rsidR="004C518B" w:rsidRPr="00A24C82" w:rsidRDefault="004C518B" w:rsidP="004C518B">
            <w:pPr>
              <w:ind w:firstLine="0"/>
              <w:rPr>
                <w:rFonts w:eastAsia="Times New Roman"/>
                <w:sz w:val="23"/>
                <w:szCs w:val="23"/>
                <w:lang w:eastAsia="ru-RU"/>
              </w:rPr>
            </w:pPr>
            <w:r w:rsidRPr="00A24C82">
              <w:rPr>
                <w:rFonts w:eastAsia="Times New Roman"/>
                <w:bCs/>
                <w:sz w:val="23"/>
                <w:szCs w:val="23"/>
                <w:lang w:eastAsia="ru-RU"/>
              </w:rPr>
              <w:t>Институциональная среда (Inst)</w:t>
            </w:r>
          </w:p>
        </w:tc>
        <w:tc>
          <w:tcPr>
            <w:tcW w:w="2506" w:type="dxa"/>
            <w:hideMark/>
          </w:tcPr>
          <w:p w14:paraId="7EF49697" w14:textId="5065E6A3" w:rsidR="004C518B" w:rsidRPr="00A24C82" w:rsidRDefault="004C518B" w:rsidP="004C518B">
            <w:pPr>
              <w:ind w:firstLine="0"/>
              <w:rPr>
                <w:rFonts w:eastAsia="Times New Roman"/>
                <w:sz w:val="23"/>
                <w:szCs w:val="23"/>
                <w:lang w:val="kk-KZ" w:eastAsia="ru-RU"/>
              </w:rPr>
            </w:pPr>
            <w:r w:rsidRPr="004C518B">
              <w:rPr>
                <w:rFonts w:eastAsia="Times New Roman"/>
                <w:sz w:val="23"/>
                <w:szCs w:val="23"/>
                <w:lang w:eastAsia="ru-RU"/>
              </w:rPr>
              <w:t xml:space="preserve">Формирует </w:t>
            </w:r>
            <w:r w:rsidRPr="00A24C82">
              <w:rPr>
                <w:rFonts w:eastAsia="Times New Roman"/>
                <w:bCs/>
                <w:sz w:val="23"/>
                <w:szCs w:val="23"/>
                <w:lang w:eastAsia="ru-RU"/>
              </w:rPr>
              <w:t>внешние рамочные условия</w:t>
            </w:r>
            <w:r w:rsidRPr="004C518B">
              <w:rPr>
                <w:rFonts w:eastAsia="Times New Roman"/>
                <w:sz w:val="23"/>
                <w:szCs w:val="23"/>
                <w:lang w:eastAsia="ru-RU"/>
              </w:rPr>
              <w:t>; определяет доступ к государственной поддержке, инфраструктуре</w:t>
            </w:r>
            <w:r w:rsidRPr="004C518B">
              <w:rPr>
                <w:rFonts w:eastAsia="Times New Roman"/>
                <w:sz w:val="23"/>
                <w:szCs w:val="23"/>
                <w:lang w:val="kk-KZ" w:eastAsia="ru-RU"/>
              </w:rPr>
              <w:t>.</w:t>
            </w:r>
          </w:p>
        </w:tc>
        <w:tc>
          <w:tcPr>
            <w:tcW w:w="2435" w:type="dxa"/>
            <w:hideMark/>
          </w:tcPr>
          <w:p w14:paraId="08421A0B" w14:textId="77777777" w:rsidR="004C518B" w:rsidRPr="00A24C82" w:rsidRDefault="004C518B" w:rsidP="004C518B">
            <w:pPr>
              <w:ind w:firstLine="0"/>
              <w:rPr>
                <w:rFonts w:eastAsia="Times New Roman"/>
                <w:sz w:val="23"/>
                <w:szCs w:val="23"/>
                <w:lang w:eastAsia="ru-RU"/>
              </w:rPr>
            </w:pPr>
            <w:r w:rsidRPr="004C518B">
              <w:rPr>
                <w:rFonts w:eastAsia="Times New Roman"/>
                <w:sz w:val="23"/>
                <w:szCs w:val="23"/>
                <w:lang w:eastAsia="ru-RU"/>
              </w:rPr>
              <w:t xml:space="preserve">Повышение </w:t>
            </w:r>
            <w:r w:rsidRPr="00A24C82">
              <w:rPr>
                <w:rFonts w:eastAsia="Times New Roman"/>
                <w:bCs/>
                <w:sz w:val="23"/>
                <w:szCs w:val="23"/>
                <w:lang w:eastAsia="ru-RU"/>
              </w:rPr>
              <w:t>осведомлённости</w:t>
            </w:r>
            <w:r w:rsidRPr="004C518B">
              <w:rPr>
                <w:rFonts w:eastAsia="Times New Roman"/>
                <w:sz w:val="23"/>
                <w:szCs w:val="23"/>
                <w:lang w:eastAsia="ru-RU"/>
              </w:rPr>
              <w:t xml:space="preserve"> о мерах господдержки; активное использование цифровых </w:t>
            </w:r>
            <w:r w:rsidRPr="004C518B">
              <w:rPr>
                <w:rFonts w:eastAsia="Times New Roman"/>
                <w:sz w:val="23"/>
                <w:szCs w:val="23"/>
                <w:lang w:val="kk-KZ" w:eastAsia="ru-RU"/>
              </w:rPr>
              <w:t>ИТ</w:t>
            </w:r>
            <w:r w:rsidRPr="004C518B">
              <w:rPr>
                <w:rFonts w:eastAsia="Times New Roman"/>
                <w:sz w:val="23"/>
                <w:szCs w:val="23"/>
                <w:lang w:eastAsia="ru-RU"/>
              </w:rPr>
              <w:t xml:space="preserve"> каналов.</w:t>
            </w:r>
          </w:p>
        </w:tc>
        <w:tc>
          <w:tcPr>
            <w:tcW w:w="2450" w:type="dxa"/>
            <w:hideMark/>
          </w:tcPr>
          <w:p w14:paraId="6AEDBCC9" w14:textId="77777777" w:rsidR="004C518B" w:rsidRPr="00A24C82" w:rsidRDefault="004C518B" w:rsidP="004C518B">
            <w:pPr>
              <w:ind w:firstLine="0"/>
              <w:rPr>
                <w:rFonts w:eastAsia="Times New Roman"/>
                <w:sz w:val="23"/>
                <w:szCs w:val="23"/>
                <w:lang w:eastAsia="ru-RU"/>
              </w:rPr>
            </w:pPr>
            <w:r w:rsidRPr="004C518B">
              <w:rPr>
                <w:rFonts w:eastAsia="Times New Roman"/>
                <w:sz w:val="23"/>
                <w:szCs w:val="23"/>
                <w:lang w:eastAsia="ru-RU"/>
              </w:rPr>
              <w:t xml:space="preserve">Снижение </w:t>
            </w:r>
            <w:r w:rsidRPr="00A24C82">
              <w:rPr>
                <w:rFonts w:eastAsia="Times New Roman"/>
                <w:bCs/>
                <w:sz w:val="23"/>
                <w:szCs w:val="23"/>
                <w:lang w:eastAsia="ru-RU"/>
              </w:rPr>
              <w:t>трансакционных издержек</w:t>
            </w:r>
            <w:r w:rsidRPr="004C518B">
              <w:rPr>
                <w:rFonts w:eastAsia="Times New Roman"/>
                <w:sz w:val="23"/>
                <w:szCs w:val="23"/>
                <w:lang w:eastAsia="ru-RU"/>
              </w:rPr>
              <w:t xml:space="preserve"> участия через внедрение цифрового </w:t>
            </w:r>
            <w:r w:rsidRPr="00A24C82">
              <w:rPr>
                <w:rFonts w:eastAsia="Times New Roman"/>
                <w:bCs/>
                <w:sz w:val="23"/>
                <w:szCs w:val="23"/>
                <w:lang w:eastAsia="ru-RU"/>
              </w:rPr>
              <w:t>«Единого окна»</w:t>
            </w:r>
            <w:r w:rsidRPr="004C518B">
              <w:rPr>
                <w:rFonts w:eastAsia="Times New Roman"/>
                <w:sz w:val="23"/>
                <w:szCs w:val="23"/>
                <w:lang w:eastAsia="ru-RU"/>
              </w:rPr>
              <w:t xml:space="preserve"> поддержки.</w:t>
            </w:r>
          </w:p>
        </w:tc>
        <w:tc>
          <w:tcPr>
            <w:tcW w:w="2572" w:type="dxa"/>
            <w:hideMark/>
          </w:tcPr>
          <w:p w14:paraId="3D704BFA" w14:textId="77777777" w:rsidR="004C518B" w:rsidRPr="00A24C82" w:rsidRDefault="004C518B" w:rsidP="004C518B">
            <w:pPr>
              <w:ind w:firstLine="0"/>
              <w:rPr>
                <w:rFonts w:eastAsia="Times New Roman"/>
                <w:sz w:val="23"/>
                <w:szCs w:val="23"/>
                <w:lang w:eastAsia="ru-RU"/>
              </w:rPr>
            </w:pPr>
            <w:r w:rsidRPr="004C518B">
              <w:rPr>
                <w:rFonts w:eastAsia="Times New Roman"/>
                <w:sz w:val="23"/>
                <w:szCs w:val="23"/>
                <w:lang w:eastAsia="ru-RU"/>
              </w:rPr>
              <w:t xml:space="preserve">Укрепление </w:t>
            </w:r>
            <w:r w:rsidRPr="00A24C82">
              <w:rPr>
                <w:rFonts w:eastAsia="Times New Roman"/>
                <w:bCs/>
                <w:sz w:val="23"/>
                <w:szCs w:val="23"/>
                <w:lang w:eastAsia="ru-RU"/>
              </w:rPr>
              <w:t>адресности</w:t>
            </w:r>
            <w:r w:rsidRPr="004C518B">
              <w:rPr>
                <w:rFonts w:eastAsia="Times New Roman"/>
                <w:sz w:val="23"/>
                <w:szCs w:val="23"/>
                <w:lang w:eastAsia="ru-RU"/>
              </w:rPr>
              <w:t xml:space="preserve"> поддержки; введение консультационно-образовательных треков для МСП.</w:t>
            </w:r>
          </w:p>
        </w:tc>
        <w:tc>
          <w:tcPr>
            <w:tcW w:w="2635" w:type="dxa"/>
            <w:hideMark/>
          </w:tcPr>
          <w:p w14:paraId="181F9176" w14:textId="1A6477BE" w:rsidR="004C518B" w:rsidRPr="00A24C82" w:rsidRDefault="004C518B" w:rsidP="004C518B">
            <w:pPr>
              <w:ind w:firstLine="0"/>
              <w:rPr>
                <w:rFonts w:eastAsia="Times New Roman"/>
                <w:sz w:val="23"/>
                <w:szCs w:val="23"/>
                <w:lang w:eastAsia="ru-RU"/>
              </w:rPr>
            </w:pPr>
            <w:r w:rsidRPr="00A24C82">
              <w:rPr>
                <w:rFonts w:eastAsia="Times New Roman"/>
                <w:bCs/>
                <w:sz w:val="23"/>
                <w:szCs w:val="23"/>
                <w:lang w:eastAsia="ru-RU"/>
              </w:rPr>
              <w:t>Институциональное неравенство</w:t>
            </w:r>
            <w:r w:rsidRPr="004C518B">
              <w:rPr>
                <w:rFonts w:eastAsia="Times New Roman"/>
                <w:sz w:val="23"/>
                <w:szCs w:val="23"/>
                <w:lang w:eastAsia="ru-RU"/>
              </w:rPr>
              <w:t xml:space="preserve">: Вероятность участия МСП в госпрограммах в </w:t>
            </w:r>
            <w:r w:rsidRPr="00A24C82">
              <w:rPr>
                <w:rFonts w:eastAsia="Times New Roman"/>
                <w:bCs/>
                <w:sz w:val="23"/>
                <w:szCs w:val="23"/>
                <w:lang w:eastAsia="ru-RU"/>
              </w:rPr>
              <w:t>2,7 раза ниже</w:t>
            </w:r>
            <w:r w:rsidRPr="004C518B">
              <w:rPr>
                <w:rFonts w:eastAsia="Times New Roman"/>
                <w:sz w:val="23"/>
                <w:szCs w:val="23"/>
                <w:lang w:eastAsia="ru-RU"/>
              </w:rPr>
              <w:t xml:space="preserve"> (Exp(B) = 0,363, p=0,004).</w:t>
            </w:r>
          </w:p>
        </w:tc>
      </w:tr>
      <w:tr w:rsidR="004C518B" w:rsidRPr="004C518B" w14:paraId="1A7996C5" w14:textId="77777777" w:rsidTr="004C518B">
        <w:tc>
          <w:tcPr>
            <w:tcW w:w="14623" w:type="dxa"/>
            <w:gridSpan w:val="6"/>
          </w:tcPr>
          <w:p w14:paraId="665D0AF0" w14:textId="74412503" w:rsidR="004C518B" w:rsidRPr="004C518B" w:rsidRDefault="004C518B" w:rsidP="000F3C80">
            <w:pPr>
              <w:ind w:firstLine="455"/>
              <w:rPr>
                <w:rFonts w:eastAsia="Times New Roman"/>
                <w:bCs/>
                <w:sz w:val="23"/>
                <w:szCs w:val="23"/>
                <w:lang w:eastAsia="ru-RU"/>
              </w:rPr>
            </w:pPr>
            <w:r w:rsidRPr="00EE311D">
              <w:rPr>
                <w:rFonts w:eastAsia="Times New Roman"/>
                <w:iCs/>
                <w:szCs w:val="23"/>
                <w:lang w:eastAsia="ru-RU"/>
              </w:rPr>
              <w:t>Примечание</w:t>
            </w:r>
            <w:r w:rsidRPr="00EE311D">
              <w:rPr>
                <w:rFonts w:eastAsia="Times New Roman"/>
                <w:iCs/>
                <w:szCs w:val="23"/>
                <w:lang w:val="kk-KZ" w:eastAsia="ru-RU"/>
              </w:rPr>
              <w:t xml:space="preserve"> – </w:t>
            </w:r>
            <w:r w:rsidR="000F3C80" w:rsidRPr="00EE311D">
              <w:rPr>
                <w:rFonts w:eastAsia="Times New Roman"/>
                <w:szCs w:val="23"/>
                <w:lang w:val="kk-KZ" w:eastAsia="ru-RU"/>
              </w:rPr>
              <w:t>С</w:t>
            </w:r>
            <w:r w:rsidRPr="00EE311D">
              <w:rPr>
                <w:rFonts w:eastAsia="Times New Roman"/>
                <w:szCs w:val="23"/>
                <w:lang w:eastAsia="ru-RU"/>
              </w:rPr>
              <w:t>оставлено автором на основе интеграции теоретических положений (Глава 1), результатов структурного моделирования уравнений (SEM) и логистического анал</w:t>
            </w:r>
            <w:r w:rsidRPr="00EE311D">
              <w:rPr>
                <w:rFonts w:eastAsia="Times New Roman"/>
                <w:szCs w:val="23"/>
                <w:lang w:val="kk-KZ" w:eastAsia="ru-RU"/>
              </w:rPr>
              <w:t>иза</w:t>
            </w:r>
          </w:p>
        </w:tc>
      </w:tr>
    </w:tbl>
    <w:p w14:paraId="2684A3A0" w14:textId="3A0C0D79" w:rsidR="004C518B" w:rsidRDefault="00A96D12">
      <w:pPr>
        <w:rPr>
          <w:rFonts w:ascii="Times New Roman" w:hAnsi="Times New Roman" w:cs="Times New Roman"/>
          <w:sz w:val="28"/>
          <w:szCs w:val="28"/>
        </w:rPr>
        <w:sectPr w:rsidR="004C518B" w:rsidSect="00165BDA">
          <w:pgSz w:w="16838" w:h="11906" w:orient="landscape"/>
          <w:pgMar w:top="1701" w:right="1134" w:bottom="567" w:left="1134" w:header="709" w:footer="709" w:gutter="0"/>
          <w:cols w:space="708"/>
          <w:docGrid w:linePitch="360"/>
        </w:sectPr>
      </w:pPr>
      <w:r>
        <w:rPr>
          <w:rFonts w:ascii="Times New Roman"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14:anchorId="7B6DBE89" wp14:editId="694A2E6C">
                <wp:simplePos x="0" y="0"/>
                <wp:positionH relativeFrom="column">
                  <wp:posOffset>4501615</wp:posOffset>
                </wp:positionH>
                <wp:positionV relativeFrom="paragraph">
                  <wp:posOffset>49697</wp:posOffset>
                </wp:positionV>
                <wp:extent cx="285951" cy="168442"/>
                <wp:effectExtent l="0" t="0" r="19050" b="22225"/>
                <wp:wrapNone/>
                <wp:docPr id="174" name="Прямоугольник 174"/>
                <wp:cNvGraphicFramePr/>
                <a:graphic xmlns:a="http://schemas.openxmlformats.org/drawingml/2006/main">
                  <a:graphicData uri="http://schemas.microsoft.com/office/word/2010/wordprocessingShape">
                    <wps:wsp>
                      <wps:cNvSpPr/>
                      <wps:spPr>
                        <a:xfrm>
                          <a:off x="0" y="0"/>
                          <a:ext cx="285951" cy="16844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2EAF0C" id="Прямоугольник 174" o:spid="_x0000_s1026" style="position:absolute;margin-left:354.45pt;margin-top:3.9pt;width:22.5pt;height:13.2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BIJtwIAAMAFAAAOAAAAZHJzL2Uyb0RvYy54bWysVM1u2zAMvg/YOwi6r46DpD9BnSJo0WFA&#10;0RVrh54VWYoNyJImKXGy04BdB+wR9hC7DPvpMzhvNEqyna4rdiiWg0Ka5CfyE8njk3Ul0IoZWyqZ&#10;4XRvgBGTVOWlXGT47c35i0OMrCMyJ0JJluENs/hk+vzZca0nbKgKJXJmEIBIO6l1hgvn9CRJLC1Y&#10;Reye0kyCkStTEQeqWSS5ITWgVyIZDgb7Sa1Mro2izFr4ehaNeBrwOWfUvebcModEhiE3F04Tzrk/&#10;k+kxmSwM0UVJ2zTIE7KoSCnh0h7qjDiClqb8C6oqqVFWcbdHVZUozkvKQg1QTTp4UM11QTQLtQA5&#10;Vvc02f8HSy9XVwaVObzdwQgjSSp4pObL9sP2c/Ozudt+bL42d82P7afmV/Ot+Y68F3BWazuB0Gt9&#10;ZVrNgugJWHNT+X8oDa0Dz5ueZ7Z2iMLH4eH4aJxiRMGU7h+ORkOPmeyCtbHuJVMV8kKGDTxjYJes&#10;LqyLrp2Lv8sqUebnpRBB8a3DToVBKwKPPl+kLfgfXkI+KRBy9JGJrz9WHCS3EczjCfmGcWDT1xgS&#10;Dn28S4ZQyqRLo6kgOYs5jgfw67Ls0g+EBECPzKG6HrsF6DwjSIcd6Wn9fSgLY9AHD/6VWAzuI8LN&#10;Sro+uCqlMo8BCKiqvTn6dyRFajxLc5VvoNeMikNoNT0v4XkviHVXxMDUwXzCJnGv4eBC1RlWrYRR&#10;ocz7x757fxgGsGJUwxRn2L5bEsMwEq8kjMlROhr5sQ/KaHwwBMXct8zvW+SyOlXQM9CakF0Qvb8T&#10;nciNqm5h4cz8rWAiksLdGabOdMqpi9sFVhZls1lwg1HXxF3Ia009uGfVt+/N+pYY3fa4g+G4VN3E&#10;k8mDVo++PlKq2dIpXoY52PHa8g1rIjROu9L8HrqvB6/d4p3+BgAA//8DAFBLAwQUAAYACAAAACEA&#10;uHZ32N4AAAAIAQAADwAAAGRycy9kb3ducmV2LnhtbEyPwU7DMBBE70j8g7VI3KhDA6RN41QIgRAS&#10;B2iR6HEbr5OI2I5iJw1/z3KC245mNPum2M62ExMNofVOwfUiAUGu8rp1tYKP/dPVCkSI6DR23pGC&#10;bwqwLc/PCsy1P7l3mnaxFlziQo4Kmhj7XMpQNWQxLHxPjj3jB4uR5VBLPeCJy20nl0lyJy22jj80&#10;2NNDQ9XXbrQKDgaf948v4VWa5WTW7dv4abJRqcuL+X4DItIc/8Lwi8/oUDLT0Y9OB9EpyJLVmqN8&#10;8AL2s9uU9VFBepOCLAv5f0D5AwAA//8DAFBLAQItABQABgAIAAAAIQC2gziS/gAAAOEBAAATAAAA&#10;AAAAAAAAAAAAAAAAAABbQ29udGVudF9UeXBlc10ueG1sUEsBAi0AFAAGAAgAAAAhADj9If/WAAAA&#10;lAEAAAsAAAAAAAAAAAAAAAAALwEAAF9yZWxzLy5yZWxzUEsBAi0AFAAGAAgAAAAhAFSEEgm3AgAA&#10;wAUAAA4AAAAAAAAAAAAAAAAALgIAAGRycy9lMm9Eb2MueG1sUEsBAi0AFAAGAAgAAAAhALh2d9je&#10;AAAACAEAAA8AAAAAAAAAAAAAAAAAEQUAAGRycy9kb3ducmV2LnhtbFBLBQYAAAAABAAEAPMAAAAc&#10;BgAAAAA=&#10;" fillcolor="white [3212]" strokecolor="white [3212]" strokeweight="1pt"/>
            </w:pict>
          </mc:Fallback>
        </mc:AlternateContent>
      </w:r>
      <w:r w:rsidR="00C465CD">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7B59CE4C" wp14:editId="6B88129C">
                <wp:simplePos x="0" y="0"/>
                <wp:positionH relativeFrom="column">
                  <wp:posOffset>4431030</wp:posOffset>
                </wp:positionH>
                <wp:positionV relativeFrom="paragraph">
                  <wp:posOffset>469265</wp:posOffset>
                </wp:positionV>
                <wp:extent cx="358140" cy="289560"/>
                <wp:effectExtent l="0" t="0" r="22860" b="15240"/>
                <wp:wrapNone/>
                <wp:docPr id="53" name="Прямоугольник 53"/>
                <wp:cNvGraphicFramePr/>
                <a:graphic xmlns:a="http://schemas.openxmlformats.org/drawingml/2006/main">
                  <a:graphicData uri="http://schemas.microsoft.com/office/word/2010/wordprocessingShape">
                    <wps:wsp>
                      <wps:cNvSpPr/>
                      <wps:spPr>
                        <a:xfrm>
                          <a:off x="0" y="0"/>
                          <a:ext cx="358140" cy="2895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73AC9A" id="Прямоугольник 53" o:spid="_x0000_s1026" style="position:absolute;margin-left:348.9pt;margin-top:36.95pt;width:28.2pt;height:22.8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Gt2uQIAAL4FAAAOAAAAZHJzL2Uyb0RvYy54bWysVM1uEzEQviPxDpbvdLNpU9qomypqVYRU&#10;tRUt6tnx2tmV/IftZBNOSFyReAQeggvip8+weSPG3p+UUnGoyMHx7Mx8M/N5Zo6OV1KgJbOu1CrD&#10;6c4AI6aozks1z/Dbm7MXBxg5T1ROhFYsw2vm8PHk+bOjyozZUBda5MwiAFFuXJkMF96bcZI4WjBJ&#10;3I42TIGSayuJB9HOk9ySCtClSIaDwX5SaZsbqylzDr6eNko8ificM+ovOXfMI5FhyM3H08ZzFs5k&#10;ckTGc0tMUdI2DfKELCQpFQTtoU6JJ2hhy7+gZEmtdpr7HaplojkvKYs1QDXp4EE11wUxLNYC5DjT&#10;0+T+Hyy9WF5ZVOYZHu1ipIiEN6q/bD5sPtc/67vNx/prfVf/2Hyqf9Xf6u8IjICxyrgxOF6bK9tK&#10;Dq6h/BW3MvxDYWgVWV73LLOVRxQ+7o4O0j14Cwqq4cHhaD++QrJ1Ntb5V0xLFC4ZtvCIkVuyPHce&#10;AoJpZxJiOS3K/KwUIgqhcdiJsGhJ4Mln8zQkDB5/WAn1JEeACZ5JqL+pON78WrCAJ9QbxoFLqHEY&#10;E45dvE2GUMqUTxtVQXLW5DgawK/Lsks/5hwBAzKH6nrsFqCzbEA67KbY1j64sjgEvfPgX4k1zr1H&#10;jKyV751lqbR9DEBAVW3kxr4jqaEmsDTT+Ro6zepmBJ2hZyU87zlx/opYmDnoCNgj/hIOLnSVYd3e&#10;MCq0ff/Y92APowBajCqY4Qy7dwtiGUbitYIhOUz3QqP5KOyNXg5BsPc1s/satZAnGnomhY1laLwG&#10;ey+6K7da3sK6mYaooCKKQuwMU2874cQ3uwUWFmXTaTSDQTfEn6trQwN4YDW0783qlljT9riH4bjQ&#10;3byT8YNWb2yDp9LThde8jHOw5bXlG5ZEbJx2oYUtdF+OVtu1O/kNAAD//wMAUEsDBBQABgAIAAAA&#10;IQBpJtUh4QAAAAoBAAAPAAAAZHJzL2Rvd25yZXYueG1sTI9BT4NAEIXvJv6HzZh4s0vRloIsjTEa&#10;Y9KDtib1OIVZILK7hF0o/nvHkx4n78t73+Tb2XRiosG3zipYLiIQZEtXtbZW8HF4vtmA8AFthZ2z&#10;pOCbPGyLy4scs8qd7TtN+1ALLrE+QwVNCH0mpS8bMugXrifLmXaDwcDnUMtqwDOXm07GUbSWBlvL&#10;Cw329NhQ+bUfjYJPjS+Hp1e/kzqedNq+jUedjEpdX80P9yACzeEPhl99VoeCnU5utJUXnYJ1mrB6&#10;UJDcpiAYSFZ3MYgTk8t0BbLI5f8Xih8AAAD//wMAUEsBAi0AFAAGAAgAAAAhALaDOJL+AAAA4QEA&#10;ABMAAAAAAAAAAAAAAAAAAAAAAFtDb250ZW50X1R5cGVzXS54bWxQSwECLQAUAAYACAAAACEAOP0h&#10;/9YAAACUAQAACwAAAAAAAAAAAAAAAAAvAQAAX3JlbHMvLnJlbHNQSwECLQAUAAYACAAAACEA70hr&#10;drkCAAC+BQAADgAAAAAAAAAAAAAAAAAuAgAAZHJzL2Uyb0RvYy54bWxQSwECLQAUAAYACAAAACEA&#10;aSbVIeEAAAAKAQAADwAAAAAAAAAAAAAAAAATBQAAZHJzL2Rvd25yZXYueG1sUEsFBgAAAAAEAAQA&#10;8wAAACEGAAAAAA==&#10;" fillcolor="white [3212]" strokecolor="white [3212]" strokeweight="1pt"/>
            </w:pict>
          </mc:Fallback>
        </mc:AlternateContent>
      </w:r>
    </w:p>
    <w:p w14:paraId="33FFE39D" w14:textId="66D671C7"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lastRenderedPageBreak/>
        <w:t xml:space="preserve">Таким образом, матрица выполняет двойную функцию: диагностическую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фиксируя текущее состояние потенциала, и проектную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определяя направления его развития и согласования с целями цифровой экономики. Представленная логика позволяет перейти к формированию концептуальной схемы проектирования инновационного потенциала в контексте устойчивого развития предпринимательских структур. Интеграция внутренних ресурсов, цифровой адаптации, институциональных условий и инновационного потенциала в единую сис</w:t>
      </w:r>
      <w:r w:rsidR="004B60DD">
        <w:rPr>
          <w:rFonts w:ascii="Times New Roman" w:hAnsi="Times New Roman" w:cs="Times New Roman"/>
          <w:sz w:val="28"/>
          <w:szCs w:val="28"/>
        </w:rPr>
        <w:t xml:space="preserve">тему представлена на рисунке </w:t>
      </w:r>
      <w:r w:rsidR="00FD618C">
        <w:rPr>
          <w:rFonts w:ascii="Times New Roman" w:hAnsi="Times New Roman" w:cs="Times New Roman"/>
          <w:sz w:val="28"/>
          <w:szCs w:val="28"/>
          <w:lang w:val="kk-KZ"/>
        </w:rPr>
        <w:t>5</w:t>
      </w:r>
      <w:r w:rsidRPr="002F33D0">
        <w:rPr>
          <w:rFonts w:ascii="Times New Roman" w:hAnsi="Times New Roman" w:cs="Times New Roman"/>
          <w:sz w:val="28"/>
          <w:szCs w:val="28"/>
        </w:rPr>
        <w:t>, который отражает архитектуру формирования устойчивой траектории развития предпринимательских структур в условиях цифровой трансформации.</w:t>
      </w:r>
    </w:p>
    <w:p w14:paraId="7ACBD6A2" w14:textId="77777777" w:rsidR="002F33D0" w:rsidRPr="002F33D0" w:rsidRDefault="002F33D0" w:rsidP="002F33D0">
      <w:pPr>
        <w:spacing w:after="0" w:line="240" w:lineRule="auto"/>
        <w:jc w:val="both"/>
        <w:rPr>
          <w:rFonts w:ascii="Times New Roman" w:hAnsi="Times New Roman" w:cs="Times New Roman"/>
          <w:sz w:val="28"/>
          <w:szCs w:val="28"/>
        </w:rPr>
      </w:pPr>
    </w:p>
    <w:p w14:paraId="78F6102D" w14:textId="77777777" w:rsidR="002F33D0" w:rsidRPr="002F33D0" w:rsidRDefault="002F33D0" w:rsidP="002F33D0">
      <w:pPr>
        <w:spacing w:after="0" w:line="240" w:lineRule="auto"/>
        <w:jc w:val="both"/>
        <w:rPr>
          <w:rFonts w:ascii="Times New Roman" w:hAnsi="Times New Roman" w:cs="Times New Roman"/>
          <w:sz w:val="28"/>
          <w:szCs w:val="28"/>
        </w:rPr>
      </w:pPr>
      <w:r w:rsidRPr="002F33D0">
        <w:rPr>
          <w:rFonts w:ascii="Times New Roman" w:hAnsi="Times New Roman" w:cs="Times New Roman"/>
          <w:noProof/>
          <w:sz w:val="28"/>
          <w:szCs w:val="28"/>
          <w:lang w:eastAsia="ru-RU"/>
        </w:rPr>
        <mc:AlternateContent>
          <mc:Choice Requires="wpg">
            <w:drawing>
              <wp:anchor distT="0" distB="0" distL="114300" distR="114300" simplePos="0" relativeHeight="251658240" behindDoc="0" locked="0" layoutInCell="1" allowOverlap="1" wp14:anchorId="5DA478F5" wp14:editId="573DE03B">
                <wp:simplePos x="0" y="0"/>
                <wp:positionH relativeFrom="column">
                  <wp:posOffset>24765</wp:posOffset>
                </wp:positionH>
                <wp:positionV relativeFrom="paragraph">
                  <wp:posOffset>30480</wp:posOffset>
                </wp:positionV>
                <wp:extent cx="5920740" cy="3566160"/>
                <wp:effectExtent l="0" t="0" r="22860" b="15240"/>
                <wp:wrapTopAndBottom/>
                <wp:docPr id="184" name="Группа 184"/>
                <wp:cNvGraphicFramePr/>
                <a:graphic xmlns:a="http://schemas.openxmlformats.org/drawingml/2006/main">
                  <a:graphicData uri="http://schemas.microsoft.com/office/word/2010/wordprocessingGroup">
                    <wpg:wgp>
                      <wpg:cNvGrpSpPr/>
                      <wpg:grpSpPr>
                        <a:xfrm>
                          <a:off x="0" y="0"/>
                          <a:ext cx="5920740" cy="3566160"/>
                          <a:chOff x="0" y="0"/>
                          <a:chExt cx="5920740" cy="3566160"/>
                        </a:xfrm>
                      </wpg:grpSpPr>
                      <wps:wsp>
                        <wps:cNvPr id="185" name="Прямоугольник 185"/>
                        <wps:cNvSpPr/>
                        <wps:spPr>
                          <a:xfrm>
                            <a:off x="1691640" y="15240"/>
                            <a:ext cx="4229100" cy="1851660"/>
                          </a:xfrm>
                          <a:prstGeom prst="rect">
                            <a:avLst/>
                          </a:prstGeom>
                          <a:noFill/>
                          <a:ln w="1270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Надпись 186"/>
                        <wps:cNvSpPr txBox="1"/>
                        <wps:spPr>
                          <a:xfrm>
                            <a:off x="0" y="0"/>
                            <a:ext cx="1546860" cy="335280"/>
                          </a:xfrm>
                          <a:prstGeom prst="rect">
                            <a:avLst/>
                          </a:prstGeom>
                          <a:solidFill>
                            <a:schemeClr val="accent4">
                              <a:lumMod val="60000"/>
                              <a:lumOff val="40000"/>
                            </a:schemeClr>
                          </a:solidFill>
                          <a:ln w="6350">
                            <a:solidFill>
                              <a:prstClr val="black"/>
                            </a:solidFill>
                          </a:ln>
                        </wps:spPr>
                        <wps:txbx>
                          <w:txbxContent>
                            <w:p w14:paraId="191187ED" w14:textId="77777777" w:rsidR="001D4931" w:rsidRPr="002F33D0" w:rsidRDefault="001D4931" w:rsidP="002F33D0">
                              <w:pPr>
                                <w:spacing w:after="0" w:line="240" w:lineRule="auto"/>
                                <w:jc w:val="center"/>
                                <w:rPr>
                                  <w:rFonts w:ascii="Times New Roman" w:hAnsi="Times New Roman" w:cs="Times New Roman"/>
                                  <w:lang w:val="kk-KZ"/>
                                </w:rPr>
                              </w:pPr>
                              <w:r w:rsidRPr="002F33D0">
                                <w:rPr>
                                  <w:rFonts w:ascii="Times New Roman" w:hAnsi="Times New Roman" w:cs="Times New Roman"/>
                                </w:rPr>
                                <w:t>Внутренние факторы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7" name="Надпись 187"/>
                        <wps:cNvSpPr txBox="1"/>
                        <wps:spPr>
                          <a:xfrm>
                            <a:off x="0" y="335280"/>
                            <a:ext cx="1546860" cy="1531620"/>
                          </a:xfrm>
                          <a:prstGeom prst="rect">
                            <a:avLst/>
                          </a:prstGeom>
                          <a:solidFill>
                            <a:schemeClr val="accent4">
                              <a:lumMod val="20000"/>
                              <a:lumOff val="80000"/>
                            </a:schemeClr>
                          </a:solidFill>
                          <a:ln w="6350">
                            <a:solidFill>
                              <a:prstClr val="black"/>
                            </a:solidFill>
                          </a:ln>
                        </wps:spPr>
                        <wps:txbx>
                          <w:txbxContent>
                            <w:p w14:paraId="509848A4" w14:textId="77777777" w:rsidR="001D4931" w:rsidRPr="002F33D0" w:rsidRDefault="001D4931" w:rsidP="002F33D0">
                              <w:pPr>
                                <w:tabs>
                                  <w:tab w:val="left" w:pos="142"/>
                                  <w:tab w:val="left" w:pos="284"/>
                                </w:tabs>
                                <w:spacing w:after="0" w:line="240" w:lineRule="auto"/>
                                <w:rPr>
                                  <w:rFonts w:ascii="Times New Roman" w:hAnsi="Times New Roman" w:cs="Times New Roman"/>
                                  <w:lang w:val="kk-KZ"/>
                                </w:rPr>
                              </w:pPr>
                              <w:r w:rsidRPr="002F33D0">
                                <w:rPr>
                                  <w:rFonts w:ascii="Times New Roman" w:hAnsi="Times New Roman" w:cs="Times New Roman"/>
                                  <w:lang w:val="kk-KZ"/>
                                </w:rPr>
                                <w:t>– управленческо-инновационные ресурсы;</w:t>
                              </w:r>
                            </w:p>
                            <w:p w14:paraId="7D27A898" w14:textId="77777777" w:rsidR="001D4931" w:rsidRPr="002F33D0" w:rsidRDefault="001D4931" w:rsidP="002F33D0">
                              <w:pPr>
                                <w:spacing w:after="0" w:line="240" w:lineRule="auto"/>
                                <w:rPr>
                                  <w:rFonts w:ascii="Times New Roman" w:hAnsi="Times New Roman" w:cs="Times New Roman"/>
                                  <w:lang w:val="kk-KZ"/>
                                </w:rPr>
                              </w:pPr>
                              <w:r w:rsidRPr="002F33D0">
                                <w:rPr>
                                  <w:rFonts w:ascii="Times New Roman" w:hAnsi="Times New Roman" w:cs="Times New Roman"/>
                                  <w:lang w:val="kk-KZ"/>
                                </w:rPr>
                                <w:t>– технологическая база;</w:t>
                              </w:r>
                            </w:p>
                            <w:p w14:paraId="757BDA6F" w14:textId="77777777" w:rsidR="001D4931" w:rsidRPr="002F33D0" w:rsidRDefault="001D4931" w:rsidP="002F33D0">
                              <w:pPr>
                                <w:spacing w:after="0" w:line="240" w:lineRule="auto"/>
                                <w:rPr>
                                  <w:rFonts w:ascii="Times New Roman" w:hAnsi="Times New Roman" w:cs="Times New Roman"/>
                                  <w:lang w:val="kk-KZ"/>
                                </w:rPr>
                              </w:pPr>
                              <w:r w:rsidRPr="002F33D0">
                                <w:rPr>
                                  <w:rFonts w:ascii="Times New Roman" w:hAnsi="Times New Roman" w:cs="Times New Roman"/>
                                  <w:lang w:val="kk-KZ"/>
                                </w:rPr>
                                <w:t>– человеческий капитал;</w:t>
                              </w:r>
                            </w:p>
                            <w:p w14:paraId="2B77C10C" w14:textId="77777777" w:rsidR="001D4931" w:rsidRPr="002F33D0" w:rsidRDefault="001D4931" w:rsidP="002F33D0">
                              <w:pPr>
                                <w:spacing w:after="0" w:line="240" w:lineRule="auto"/>
                                <w:rPr>
                                  <w:rFonts w:ascii="Times New Roman" w:hAnsi="Times New Roman" w:cs="Times New Roman"/>
                                  <w:lang w:val="kk-KZ"/>
                                </w:rPr>
                              </w:pPr>
                              <w:r w:rsidRPr="002F33D0">
                                <w:rPr>
                                  <w:rFonts w:ascii="Times New Roman" w:hAnsi="Times New Roman" w:cs="Times New Roman"/>
                                  <w:lang w:val="kk-KZ"/>
                                </w:rPr>
                                <w:t>– инновационная культура.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 name="Надпись 188"/>
                        <wps:cNvSpPr txBox="1"/>
                        <wps:spPr>
                          <a:xfrm>
                            <a:off x="1828800" y="160020"/>
                            <a:ext cx="1744980" cy="335280"/>
                          </a:xfrm>
                          <a:prstGeom prst="rect">
                            <a:avLst/>
                          </a:prstGeom>
                          <a:solidFill>
                            <a:srgbClr val="FF0000">
                              <a:alpha val="73000"/>
                            </a:srgbClr>
                          </a:solidFill>
                          <a:ln w="6350">
                            <a:solidFill>
                              <a:prstClr val="black"/>
                            </a:solidFill>
                          </a:ln>
                        </wps:spPr>
                        <wps:txbx>
                          <w:txbxContent>
                            <w:p w14:paraId="2C35B26A" w14:textId="77777777" w:rsidR="001D4931" w:rsidRPr="002F33D0" w:rsidRDefault="001D4931" w:rsidP="002F33D0">
                              <w:pPr>
                                <w:spacing w:after="0" w:line="240" w:lineRule="auto"/>
                                <w:jc w:val="center"/>
                                <w:rPr>
                                  <w:rFonts w:ascii="Times New Roman" w:hAnsi="Times New Roman" w:cs="Times New Roman"/>
                                  <w:lang w:val="kk-KZ"/>
                                </w:rPr>
                              </w:pPr>
                              <w:r w:rsidRPr="002F33D0">
                                <w:rPr>
                                  <w:rFonts w:ascii="Times New Roman" w:hAnsi="Times New Roman" w:cs="Times New Roman"/>
                                </w:rPr>
                                <w:t xml:space="preserve">Цифровая адаптация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 name="Надпись 189"/>
                        <wps:cNvSpPr txBox="1"/>
                        <wps:spPr>
                          <a:xfrm>
                            <a:off x="1828800" y="495300"/>
                            <a:ext cx="1744980" cy="1211580"/>
                          </a:xfrm>
                          <a:prstGeom prst="rect">
                            <a:avLst/>
                          </a:prstGeom>
                          <a:solidFill>
                            <a:srgbClr val="FF0000">
                              <a:alpha val="12000"/>
                            </a:srgbClr>
                          </a:solidFill>
                          <a:ln w="6350">
                            <a:solidFill>
                              <a:prstClr val="black"/>
                            </a:solidFill>
                          </a:ln>
                        </wps:spPr>
                        <wps:txbx>
                          <w:txbxContent>
                            <w:p w14:paraId="230A6A2C" w14:textId="77777777" w:rsidR="001D4931" w:rsidRPr="002F33D0" w:rsidRDefault="001D4931" w:rsidP="002F33D0">
                              <w:pPr>
                                <w:spacing w:after="0" w:line="240" w:lineRule="auto"/>
                                <w:rPr>
                                  <w:rFonts w:ascii="Times New Roman" w:hAnsi="Times New Roman" w:cs="Times New Roman"/>
                                  <w:lang w:val="kk-KZ"/>
                                </w:rPr>
                              </w:pPr>
                              <w:r w:rsidRPr="002F33D0">
                                <w:rPr>
                                  <w:rFonts w:ascii="Times New Roman" w:hAnsi="Times New Roman" w:cs="Times New Roman"/>
                                  <w:lang w:val="kk-KZ"/>
                                </w:rPr>
                                <w:t>– цифровизация процессов;</w:t>
                              </w:r>
                            </w:p>
                            <w:p w14:paraId="6197CF68" w14:textId="77777777" w:rsidR="001D4931" w:rsidRPr="002F33D0" w:rsidRDefault="001D4931" w:rsidP="002F33D0">
                              <w:pPr>
                                <w:spacing w:after="0" w:line="240" w:lineRule="auto"/>
                                <w:rPr>
                                  <w:rFonts w:ascii="Times New Roman" w:hAnsi="Times New Roman" w:cs="Times New Roman"/>
                                  <w:lang w:val="kk-KZ"/>
                                </w:rPr>
                              </w:pPr>
                              <w:r w:rsidRPr="002F33D0">
                                <w:rPr>
                                  <w:rFonts w:ascii="Times New Roman" w:hAnsi="Times New Roman" w:cs="Times New Roman"/>
                                  <w:lang w:val="kk-KZ"/>
                                </w:rPr>
                                <w:t>– интеграция цифровых решений;</w:t>
                              </w:r>
                            </w:p>
                            <w:p w14:paraId="17FCB62E" w14:textId="77777777" w:rsidR="001D4931" w:rsidRPr="002F33D0" w:rsidRDefault="001D4931" w:rsidP="002F33D0">
                              <w:pPr>
                                <w:spacing w:after="0" w:line="240" w:lineRule="auto"/>
                                <w:rPr>
                                  <w:rFonts w:ascii="Times New Roman" w:hAnsi="Times New Roman" w:cs="Times New Roman"/>
                                  <w:lang w:val="kk-KZ"/>
                                </w:rPr>
                              </w:pPr>
                              <w:r w:rsidRPr="002F33D0">
                                <w:rPr>
                                  <w:rFonts w:ascii="Times New Roman" w:hAnsi="Times New Roman" w:cs="Times New Roman"/>
                                  <w:lang w:val="kk-KZ"/>
                                </w:rPr>
                                <w:t>– цифровая зрелость предприятия.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0" name="Надпись 190"/>
                        <wps:cNvSpPr txBox="1"/>
                        <wps:spPr>
                          <a:xfrm>
                            <a:off x="3855720" y="160020"/>
                            <a:ext cx="1905000" cy="335280"/>
                          </a:xfrm>
                          <a:prstGeom prst="rect">
                            <a:avLst/>
                          </a:prstGeom>
                          <a:solidFill>
                            <a:srgbClr val="7030A0">
                              <a:alpha val="54000"/>
                            </a:srgbClr>
                          </a:solidFill>
                          <a:ln w="6350">
                            <a:solidFill>
                              <a:prstClr val="black"/>
                            </a:solidFill>
                          </a:ln>
                        </wps:spPr>
                        <wps:txbx>
                          <w:txbxContent>
                            <w:p w14:paraId="54E5BDAE" w14:textId="77777777" w:rsidR="001D4931" w:rsidRPr="002F33D0" w:rsidRDefault="001D4931" w:rsidP="002F33D0">
                              <w:pPr>
                                <w:spacing w:after="0" w:line="240" w:lineRule="auto"/>
                                <w:jc w:val="center"/>
                                <w:rPr>
                                  <w:rFonts w:ascii="Times New Roman" w:hAnsi="Times New Roman" w:cs="Times New Roman"/>
                                  <w:lang w:val="kk-KZ"/>
                                </w:rPr>
                              </w:pPr>
                              <w:r w:rsidRPr="002F33D0">
                                <w:rPr>
                                  <w:rFonts w:ascii="Times New Roman" w:hAnsi="Times New Roman" w:cs="Times New Roman"/>
                                </w:rPr>
                                <w:t>Инновационный потенциал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1" name="Надпись 191"/>
                        <wps:cNvSpPr txBox="1"/>
                        <wps:spPr>
                          <a:xfrm>
                            <a:off x="3855720" y="502920"/>
                            <a:ext cx="1905000" cy="1203960"/>
                          </a:xfrm>
                          <a:prstGeom prst="rect">
                            <a:avLst/>
                          </a:prstGeom>
                          <a:solidFill>
                            <a:srgbClr val="7030A0">
                              <a:alpha val="15000"/>
                            </a:srgbClr>
                          </a:solidFill>
                          <a:ln w="6350">
                            <a:solidFill>
                              <a:prstClr val="black"/>
                            </a:solidFill>
                          </a:ln>
                        </wps:spPr>
                        <wps:txbx>
                          <w:txbxContent>
                            <w:p w14:paraId="0CAA942E" w14:textId="77777777" w:rsidR="001D4931" w:rsidRPr="002F33D0" w:rsidRDefault="001D4931" w:rsidP="002F33D0">
                              <w:pPr>
                                <w:spacing w:after="0" w:line="240" w:lineRule="auto"/>
                                <w:rPr>
                                  <w:rFonts w:ascii="Times New Roman" w:hAnsi="Times New Roman" w:cs="Times New Roman"/>
                                  <w:lang w:val="kk-KZ"/>
                                </w:rPr>
                              </w:pPr>
                              <w:r w:rsidRPr="002F33D0">
                                <w:rPr>
                                  <w:rFonts w:ascii="Times New Roman" w:hAnsi="Times New Roman" w:cs="Times New Roman"/>
                                  <w:lang w:val="kk-KZ"/>
                                </w:rPr>
                                <w:t>– способность генерировать, воспринимать и реализовывать инновации;</w:t>
                              </w:r>
                            </w:p>
                            <w:p w14:paraId="070365A2" w14:textId="77777777" w:rsidR="001D4931" w:rsidRPr="002F33D0" w:rsidRDefault="001D4931" w:rsidP="002F33D0">
                              <w:pPr>
                                <w:spacing w:after="0" w:line="240" w:lineRule="auto"/>
                                <w:rPr>
                                  <w:rFonts w:ascii="Times New Roman" w:hAnsi="Times New Roman" w:cs="Times New Roman"/>
                                  <w:lang w:val="kk-KZ"/>
                                </w:rPr>
                              </w:pPr>
                              <w:r w:rsidRPr="002F33D0">
                                <w:rPr>
                                  <w:rFonts w:ascii="Times New Roman" w:hAnsi="Times New Roman" w:cs="Times New Roman"/>
                                  <w:lang w:val="kk-KZ"/>
                                </w:rPr>
                                <w:t>– взаимодействие ресурсов и процессов;</w:t>
                              </w:r>
                            </w:p>
                            <w:p w14:paraId="285E9ED1" w14:textId="77777777" w:rsidR="001D4931" w:rsidRPr="002F33D0" w:rsidRDefault="001D4931" w:rsidP="002F33D0">
                              <w:pPr>
                                <w:spacing w:after="0" w:line="240" w:lineRule="auto"/>
                                <w:rPr>
                                  <w:rFonts w:ascii="Times New Roman" w:hAnsi="Times New Roman" w:cs="Times New Roman"/>
                                  <w:lang w:val="kk-KZ"/>
                                </w:rPr>
                              </w:pPr>
                              <w:r w:rsidRPr="002F33D0">
                                <w:rPr>
                                  <w:rFonts w:ascii="Times New Roman" w:hAnsi="Times New Roman" w:cs="Times New Roman"/>
                                  <w:lang w:val="kk-KZ"/>
                                </w:rPr>
                                <w:t>– системная инновационная готовность.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2" name="Надпись 192"/>
                        <wps:cNvSpPr txBox="1"/>
                        <wps:spPr>
                          <a:xfrm>
                            <a:off x="3116580" y="2049780"/>
                            <a:ext cx="2804160" cy="472440"/>
                          </a:xfrm>
                          <a:prstGeom prst="rect">
                            <a:avLst/>
                          </a:prstGeom>
                          <a:solidFill>
                            <a:schemeClr val="accent6">
                              <a:lumMod val="60000"/>
                              <a:lumOff val="40000"/>
                            </a:schemeClr>
                          </a:solidFill>
                          <a:ln w="6350">
                            <a:solidFill>
                              <a:prstClr val="black"/>
                            </a:solidFill>
                          </a:ln>
                        </wps:spPr>
                        <wps:txbx>
                          <w:txbxContent>
                            <w:p w14:paraId="50FF7CC9" w14:textId="77777777" w:rsidR="001D4931" w:rsidRPr="002F33D0" w:rsidRDefault="001D4931" w:rsidP="002F33D0">
                              <w:pPr>
                                <w:spacing w:after="0" w:line="240" w:lineRule="auto"/>
                                <w:jc w:val="center"/>
                                <w:rPr>
                                  <w:rFonts w:ascii="Times New Roman" w:hAnsi="Times New Roman" w:cs="Times New Roman"/>
                                  <w:lang w:val="kk-KZ"/>
                                </w:rPr>
                              </w:pPr>
                              <w:r w:rsidRPr="002F33D0">
                                <w:rPr>
                                  <w:rFonts w:ascii="Times New Roman" w:hAnsi="Times New Roman" w:cs="Times New Roman"/>
                                </w:rPr>
                                <w:t>Устойчивое развитие предпринимательских структур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3" name="Надпись 193"/>
                        <wps:cNvSpPr txBox="1"/>
                        <wps:spPr>
                          <a:xfrm>
                            <a:off x="3116580" y="2522220"/>
                            <a:ext cx="2804160" cy="1043940"/>
                          </a:xfrm>
                          <a:prstGeom prst="rect">
                            <a:avLst/>
                          </a:prstGeom>
                          <a:solidFill>
                            <a:schemeClr val="accent6">
                              <a:lumMod val="20000"/>
                              <a:lumOff val="80000"/>
                            </a:schemeClr>
                          </a:solidFill>
                          <a:ln w="6350">
                            <a:solidFill>
                              <a:prstClr val="black"/>
                            </a:solidFill>
                          </a:ln>
                        </wps:spPr>
                        <wps:txbx>
                          <w:txbxContent>
                            <w:p w14:paraId="74630215" w14:textId="77777777" w:rsidR="001D4931" w:rsidRPr="002F33D0" w:rsidRDefault="001D4931" w:rsidP="002F33D0">
                              <w:pPr>
                                <w:spacing w:after="0" w:line="240" w:lineRule="auto"/>
                                <w:rPr>
                                  <w:rFonts w:ascii="Times New Roman" w:hAnsi="Times New Roman" w:cs="Times New Roman"/>
                                  <w:lang w:val="kk-KZ"/>
                                </w:rPr>
                              </w:pPr>
                              <w:r w:rsidRPr="002F33D0">
                                <w:rPr>
                                  <w:rFonts w:ascii="Times New Roman" w:hAnsi="Times New Roman" w:cs="Times New Roman"/>
                                </w:rPr>
                                <w:t>– экономическая устойчивость</w:t>
                              </w:r>
                              <w:r w:rsidRPr="002F33D0">
                                <w:rPr>
                                  <w:rFonts w:ascii="Times New Roman" w:hAnsi="Times New Roman" w:cs="Times New Roman"/>
                                  <w:lang w:val="kk-KZ"/>
                                </w:rPr>
                                <w:t>;</w:t>
                              </w:r>
                              <w:r w:rsidRPr="002F33D0">
                                <w:rPr>
                                  <w:rFonts w:ascii="Times New Roman" w:hAnsi="Times New Roman" w:cs="Times New Roman"/>
                                </w:rPr>
                                <w:br/>
                                <w:t>– технологическая устойчивость</w:t>
                              </w:r>
                              <w:r w:rsidRPr="002F33D0">
                                <w:rPr>
                                  <w:rFonts w:ascii="Times New Roman" w:hAnsi="Times New Roman" w:cs="Times New Roman"/>
                                  <w:lang w:val="kk-KZ"/>
                                </w:rPr>
                                <w:t>;</w:t>
                              </w:r>
                              <w:r w:rsidRPr="002F33D0">
                                <w:rPr>
                                  <w:rFonts w:ascii="Times New Roman" w:hAnsi="Times New Roman" w:cs="Times New Roman"/>
                                </w:rPr>
                                <w:br/>
                                <w:t>– социальная и экологическая устойчивость</w:t>
                              </w:r>
                              <w:r w:rsidRPr="002F33D0">
                                <w:rPr>
                                  <w:rFonts w:ascii="Times New Roman" w:hAnsi="Times New Roman" w:cs="Times New Roman"/>
                                  <w:lang w:val="kk-KZ"/>
                                </w:rPr>
                                <w:t>;</w:t>
                              </w:r>
                              <w:r w:rsidRPr="002F33D0">
                                <w:rPr>
                                  <w:rFonts w:ascii="Times New Roman" w:hAnsi="Times New Roman" w:cs="Times New Roman"/>
                                </w:rPr>
                                <w:br/>
                                <w:t>– адаптивность и резилентность</w:t>
                              </w:r>
                              <w:r w:rsidRPr="002F33D0">
                                <w:rPr>
                                  <w:rFonts w:ascii="Times New Roman" w:hAnsi="Times New Roman" w:cs="Times New Roman"/>
                                  <w:lang w:val="kk-KZ"/>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 name="Надпись 194"/>
                        <wps:cNvSpPr txBox="1"/>
                        <wps:spPr>
                          <a:xfrm>
                            <a:off x="0" y="2049780"/>
                            <a:ext cx="1882140" cy="472440"/>
                          </a:xfrm>
                          <a:prstGeom prst="rect">
                            <a:avLst/>
                          </a:prstGeom>
                          <a:solidFill>
                            <a:schemeClr val="accent1">
                              <a:lumMod val="60000"/>
                              <a:lumOff val="40000"/>
                            </a:schemeClr>
                          </a:solidFill>
                          <a:ln w="6350">
                            <a:solidFill>
                              <a:prstClr val="black"/>
                            </a:solidFill>
                          </a:ln>
                        </wps:spPr>
                        <wps:txbx>
                          <w:txbxContent>
                            <w:p w14:paraId="1553E262" w14:textId="77777777" w:rsidR="001D4931" w:rsidRPr="002F33D0" w:rsidRDefault="001D4931" w:rsidP="002F33D0">
                              <w:pPr>
                                <w:spacing w:after="0" w:line="240" w:lineRule="auto"/>
                                <w:jc w:val="center"/>
                                <w:rPr>
                                  <w:rFonts w:ascii="Times New Roman" w:hAnsi="Times New Roman" w:cs="Times New Roman"/>
                                  <w:lang w:val="kk-KZ"/>
                                </w:rPr>
                              </w:pPr>
                              <w:r w:rsidRPr="002F33D0">
                                <w:rPr>
                                  <w:rFonts w:ascii="Times New Roman" w:hAnsi="Times New Roman" w:cs="Times New Roman"/>
                                </w:rPr>
                                <w:t>Институциональная среда и государственная поддержка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 name="Надпись 195"/>
                        <wps:cNvSpPr txBox="1"/>
                        <wps:spPr>
                          <a:xfrm>
                            <a:off x="7620" y="2522220"/>
                            <a:ext cx="1874520" cy="1043940"/>
                          </a:xfrm>
                          <a:prstGeom prst="rect">
                            <a:avLst/>
                          </a:prstGeom>
                          <a:solidFill>
                            <a:schemeClr val="accent1">
                              <a:lumMod val="20000"/>
                              <a:lumOff val="80000"/>
                            </a:schemeClr>
                          </a:solidFill>
                          <a:ln w="6350">
                            <a:solidFill>
                              <a:prstClr val="black"/>
                            </a:solidFill>
                          </a:ln>
                        </wps:spPr>
                        <wps:txbx>
                          <w:txbxContent>
                            <w:p w14:paraId="4E207BBA" w14:textId="77777777" w:rsidR="001D4931" w:rsidRPr="002F33D0" w:rsidRDefault="001D4931" w:rsidP="002F33D0">
                              <w:pPr>
                                <w:spacing w:after="0" w:line="240" w:lineRule="auto"/>
                                <w:rPr>
                                  <w:rFonts w:ascii="Times New Roman" w:hAnsi="Times New Roman" w:cs="Times New Roman"/>
                                  <w:lang w:val="kk-KZ"/>
                                </w:rPr>
                              </w:pPr>
                              <w:r w:rsidRPr="002F33D0">
                                <w:rPr>
                                  <w:rFonts w:ascii="Times New Roman" w:hAnsi="Times New Roman" w:cs="Times New Roman"/>
                                </w:rPr>
                                <w:t>– программы развития</w:t>
                              </w:r>
                              <w:r w:rsidRPr="002F33D0">
                                <w:rPr>
                                  <w:rFonts w:ascii="Times New Roman" w:hAnsi="Times New Roman" w:cs="Times New Roman"/>
                                  <w:lang w:val="kk-KZ"/>
                                </w:rPr>
                                <w:t>;</w:t>
                              </w:r>
                              <w:r w:rsidRPr="002F33D0">
                                <w:rPr>
                                  <w:rFonts w:ascii="Times New Roman" w:hAnsi="Times New Roman" w:cs="Times New Roman"/>
                                </w:rPr>
                                <w:br/>
                                <w:t>– нормативная среда</w:t>
                              </w:r>
                              <w:r w:rsidRPr="002F33D0">
                                <w:rPr>
                                  <w:rFonts w:ascii="Times New Roman" w:hAnsi="Times New Roman" w:cs="Times New Roman"/>
                                  <w:lang w:val="kk-KZ"/>
                                </w:rPr>
                                <w:t>;</w:t>
                              </w:r>
                              <w:r w:rsidRPr="002F33D0">
                                <w:rPr>
                                  <w:rFonts w:ascii="Times New Roman" w:hAnsi="Times New Roman" w:cs="Times New Roman"/>
                                </w:rPr>
                                <w:br/>
                                <w:t>– партнёрства и инфраструктура</w:t>
                              </w:r>
                              <w:r w:rsidRPr="002F33D0">
                                <w:rPr>
                                  <w:rFonts w:ascii="Times New Roman" w:hAnsi="Times New Roman" w:cs="Times New Roman"/>
                                  <w:lang w:val="kk-KZ"/>
                                </w:rPr>
                                <w:t>;</w:t>
                              </w:r>
                              <w:r w:rsidRPr="002F33D0">
                                <w:rPr>
                                  <w:rFonts w:ascii="Times New Roman" w:hAnsi="Times New Roman" w:cs="Times New Roman"/>
                                </w:rPr>
                                <w:br/>
                                <w:t>– доступ к финансированию</w:t>
                              </w:r>
                              <w:r w:rsidRPr="002F33D0">
                                <w:rPr>
                                  <w:rFonts w:ascii="Times New Roman" w:hAnsi="Times New Roman" w:cs="Times New Roman"/>
                                  <w:lang w:val="kk-KZ"/>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 name="Прямая со стрелкой 196"/>
                        <wps:cNvCnPr/>
                        <wps:spPr>
                          <a:xfrm>
                            <a:off x="1554480" y="320040"/>
                            <a:ext cx="27432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97" name="Прямая соединительная линия 197"/>
                        <wps:cNvCnPr/>
                        <wps:spPr>
                          <a:xfrm>
                            <a:off x="1882140" y="2316480"/>
                            <a:ext cx="655320" cy="0"/>
                          </a:xfrm>
                          <a:prstGeom prst="line">
                            <a:avLst/>
                          </a:prstGeom>
                          <a:ln>
                            <a:prstDash val="dash"/>
                            <a:headEnd type="none" w="med" len="med"/>
                            <a:tailEnd type="none" w="med" len="med"/>
                          </a:ln>
                        </wps:spPr>
                        <wps:style>
                          <a:lnRef idx="3">
                            <a:schemeClr val="accent1"/>
                          </a:lnRef>
                          <a:fillRef idx="0">
                            <a:schemeClr val="accent1"/>
                          </a:fillRef>
                          <a:effectRef idx="2">
                            <a:schemeClr val="accent1"/>
                          </a:effectRef>
                          <a:fontRef idx="minor">
                            <a:schemeClr val="tx1"/>
                          </a:fontRef>
                        </wps:style>
                        <wps:bodyPr/>
                      </wps:wsp>
                      <wps:wsp>
                        <wps:cNvPr id="198" name="Прямая со стрелкой 198"/>
                        <wps:cNvCnPr/>
                        <wps:spPr>
                          <a:xfrm>
                            <a:off x="3573780" y="327660"/>
                            <a:ext cx="27432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99" name="Прямая со стрелкой 199"/>
                        <wps:cNvCnPr/>
                        <wps:spPr>
                          <a:xfrm flipV="1">
                            <a:off x="2537460" y="1866900"/>
                            <a:ext cx="0" cy="449580"/>
                          </a:xfrm>
                          <a:prstGeom prst="straightConnector1">
                            <a:avLst/>
                          </a:prstGeom>
                          <a:ln>
                            <a:prstDash val="dash"/>
                            <a:tailEnd type="triangle"/>
                          </a:ln>
                        </wps:spPr>
                        <wps:style>
                          <a:lnRef idx="3">
                            <a:schemeClr val="accent1"/>
                          </a:lnRef>
                          <a:fillRef idx="0">
                            <a:schemeClr val="accent1"/>
                          </a:fillRef>
                          <a:effectRef idx="2">
                            <a:schemeClr val="accent1"/>
                          </a:effectRef>
                          <a:fontRef idx="minor">
                            <a:schemeClr val="tx1"/>
                          </a:fontRef>
                        </wps:style>
                        <wps:bodyPr/>
                      </wps:wsp>
                      <wps:wsp>
                        <wps:cNvPr id="200" name="Прямая со стрелкой 200"/>
                        <wps:cNvCnPr/>
                        <wps:spPr>
                          <a:xfrm>
                            <a:off x="4732020" y="1706880"/>
                            <a:ext cx="0" cy="3429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wgp>
                  </a:graphicData>
                </a:graphic>
              </wp:anchor>
            </w:drawing>
          </mc:Choice>
          <mc:Fallback>
            <w:pict>
              <v:group w14:anchorId="5DA478F5" id="Группа 184" o:spid="_x0000_s1072" style="position:absolute;left:0;text-align:left;margin-left:1.95pt;margin-top:2.4pt;width:466.2pt;height:280.8pt;z-index:251658240;mso-position-horizontal-relative:text;mso-position-vertical-relative:text" coordsize="59207,35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LThAcAACQ2AAAOAAAAZHJzL2Uyb0RvYy54bWzsW1uP00YUfq/U/2D5vcR3xxG7aLuwqBIF&#10;VGh5nvUlsbA97nh2N9snoK9IPPS56l9AKpUotPQvOP+o58zYk8smbBLYXQhZpGCP53rm+845c3x8&#10;/cYwz7TjmFUpLXZ085qha3ER0igt+jv6jw8PvunqWsVJEZGMFvGOfhpX+o3dr7+6flL2YosOaBbF&#10;TINOiqp3Uu7oA87LXqdThYM4J9U1WsYFPEwoywmHW9bvRIycQO951rEMw+ucUBaVjIZxVUHpTflQ&#10;3xX9J0kc8ntJUsVcy3Z0mBsXv0z8HuJvZ/c66fUZKQdp2EyDrDGLnKQFDKq6ukk40Y5YeqarPA0Z&#10;rWjCr4U079AkScNYrAFWYxozq7nN6FEp1tLvnfRLJSYQ7Yyc1u42vHt8n2lpBHvXdXStIDlsUv3b&#10;6Mno1/o/+PdSw3KQ0knZ70Hl26x8UN5nTUFf3uHChwnL8X9YkjYU8j1V8o2HXAuh0A0sw3dgG0J4&#10;ZrueZ3rNDoQD2KYz7cLBrXNadtqBOzg/NZ2TEtBUjQVWfZjAHgxIGYt9qFAGSmCuEtgfILAX9T/1&#10;OxDbn/W7+u3oef1v/bp+A+JzpfhEUyW7qleBGOcIzvQC00MZgYhM14IrAdFWhI5lBabRiBD6Nj0p&#10;QiUI0itZxW/HNNfwYkdnwAEBTXJ8p+LQGVRtq+D4BT1Is0wMkhXaCYxq+WIAAnRMMsJhu/ISAFIV&#10;fV0jWR94HnImuqxolkbYHDsSnI33M6YdE2AbCcO44CZOH0acqonD3yTVQFaM4EouEuBeRGImg5hE&#10;t4pI46cl4LEA1aHj1PI40rUshhnglajJSZotUxPmkBUwFYSGFL244qdZjJPPih/iBHggoCtXw/qH&#10;uBipLIByIPRWZYjOoAFWTGD5K7ZtmmDrWOioFdurRmJ8WnDVPk8L2mwNatDxbkSP251IZP1WFFIA&#10;KItDGp0CtBmVSrIqw4MUNuoOqfh9wkArggBA0/N78JNkFLaDNle6NqDsl3nlWB+4B09h/0DLAop+&#10;PiIMdjP7rgBWBqaDWOfixnF9C27Y5JPDySfFUb5PAVom2JQyFJdYn2ftZcJo/ggMwh6OCo9IEcLY&#10;Eq/NzT6XGwomJYz39kQ1UMUl4XeKB2WInaNUEaIPh48IKxsacWDgXdpqAtKbYZOsiy0LunfEaZIK&#10;qo3l2sgbtBLq0ktRT55ST7/XL+tXoM1fj56OnoNK8pA7OAvQZqiSND78lgL0BUawfIFyApGe1eqm&#10;63hd0EJSq9uu1RU6CzjS2oRW3SypkaZ0xVyt4og9yo7y72kklYhnwJ/UCFCMxkQoIactRhXUMuKs&#10;QpKKz7Nd46xaw8krpXaYkfAxDoP9jZWf0Acto4ReRyHy4eFQmFbLbuW9wRwDOyHp9gUxzF/IML/d&#10;8bUYZisWgYVoXKApmpmubXqgLCUSL5Fn4HPP41m3Lb5anjWe6kbbsi+RZ3CIbE4ms5asuybPzK7V&#10;BdBKNxuMh+TSBNt8xwnAkF2QUWt8S2GjDg4EedB3IFk5INJy+XZDNGSUrD5rddBrRa/44uyWOrps&#10;7dZGeYbBQj4FH4FPTuACeLGjBXwyLdN0P66XeD6hTDRdjcG8MkIpx3tLqE0iVACGYr6BgifrHbXs&#10;riuPwxgHmmegAsNFQF+CgfIN29iTJ6MJA+Xi2eqq+aTc7C2fNopPEOFZwCcVoljxYDXJJ9ewIBI9&#10;Y6Am+QS2wg4+NLA6ER9QLlzj280llCn43MQWrsrjU/70llAbRShrIaGsdQ2UaXroxGFE0DKcwJcO&#10;3djlgziggy94hIVyfAsjvRccr/A+s7ig8ra3bNsottkL2aYiwauar0m2uRb8zdivKbaZhmMHV0G3&#10;Tzo8aAuRYWR+S7eNopuzkG4qILwi3d5j1sxu1zLxpSUmMVyOWZOvJD+b11228tG3PNsono3zXWbC&#10;8IEKFK/IMx9fYgkPcp5NM7u+42IFpNol2bSzXPu0bZpy37dc2yiujZM32tyyl6MX2uhp/Q5+Rs9G&#10;T+q/6rf1G8g1+1szAxVXBv7tF01+3sI0DtN1Hac5utkAb+kpTpzcfAeKJe3OObNVnJG0P+D7tCgg&#10;0YwyyZ+Z7BhMR8O3AZiBRXrTKVucpaToZ3FzNlwyScuWiRptSoeMq4yTnEQ6F441NztrUWaUzOQS&#10;ry2m07Ks94+2Rj4WHy6Zj4UnZnRZLzFxKBinNcxiD0D3CtIaIbVx9AwBKNIcEZiARVn8AtCoorLL&#10;obF1qDCQAGkNiExY9RiOnusuC8cshUxBbPteAGJKz7z8w6vMOpwL6OkcyhVAPd1wcb7hXGBPN940&#10;cI9zCWbBPU+xqnjoUlC2Xd/GOBh6NLblN7m5YyRbW8X6RSvW8Xv3ZbCnooOLsaclWVr+1CatNrn3&#10;lmv7DgZe0Wvuel4w+zK+Me2Q4XLuW/h17Psi9Xphdn9aYW3V5CrfmLQZzehjAM6abxvAKVQxlfOh&#10;irXBYjddnO9/Oj7Y8+bgZ/qGB5lY0xa/AajtWA12IQlqQZLjOgC9MCBuvAMqPrOBT5FEKlrz2RR+&#10;6zR5LxzW8cddu/8DAAD//wMAUEsDBBQABgAIAAAAIQAPPJYR3gAAAAcBAAAPAAAAZHJzL2Rvd25y&#10;ZXYueG1sTM5BS8NAEAXgu+B/WEbwZjcxbbAxm1KKeiqCrVB6m2anSWh2N2S3SfrvHU96HN7jzZev&#10;JtOKgXrfOKsgnkUgyJZON7ZS8L1/f3oB4QNaja2zpOBGHlbF/V2OmXaj/aJhFyrBI9ZnqKAOocuk&#10;9GVNBv3MdWQ5O7veYOCzr6TuceRx08rnKEqlwcbyhxo72tRUXnZXo+BjxHGdxG/D9nLe3I77xedh&#10;G5NSjw/T+hVEoCn8leGXz3Qo2HRyV6u9aBUkSy4qmLOf02WSJiBOChZpOgdZ5PK/v/gBAAD//wMA&#10;UEsBAi0AFAAGAAgAAAAhALaDOJL+AAAA4QEAABMAAAAAAAAAAAAAAAAAAAAAAFtDb250ZW50X1R5&#10;cGVzXS54bWxQSwECLQAUAAYACAAAACEAOP0h/9YAAACUAQAACwAAAAAAAAAAAAAAAAAvAQAAX3Jl&#10;bHMvLnJlbHNQSwECLQAUAAYACAAAACEAZG/y04QHAAAkNgAADgAAAAAAAAAAAAAAAAAuAgAAZHJz&#10;L2Uyb0RvYy54bWxQSwECLQAUAAYACAAAACEADzyWEd4AAAAHAQAADwAAAAAAAAAAAAAAAADeCQAA&#10;ZHJzL2Rvd25yZXYueG1sUEsFBgAAAAAEAAQA8wAAAOkKAAAAAA==&#10;">
                <v:rect id="Прямоугольник 185" o:spid="_x0000_s1073" style="position:absolute;left:16916;top:152;width:42291;height:18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zsAxAAAANwAAAAPAAAAZHJzL2Rvd25yZXYueG1sRE/basJA&#10;EH0v+A/LCH2rm5ZaQswm1IpUEApeQPs2ZKdJSHY2Zrca/94tFHybw7lOmg+mFWfqXW1ZwfMkAkFc&#10;WF1zqWC/Wz7FIJxH1thaJgVXcpBno4cUE20vvKHz1pcihLBLUEHlfZdI6YqKDLqJ7YgD92N7gz7A&#10;vpS6x0sIN618iaI3abDm0FBhRx8VFc321yh4nS+upcWvT55/N7v1enryh+NJqcfx8D4D4Wnwd/G/&#10;e6XD/HgKf8+EC2R2AwAA//8DAFBLAQItABQABgAIAAAAIQDb4fbL7gAAAIUBAAATAAAAAAAAAAAA&#10;AAAAAAAAAABbQ29udGVudF9UeXBlc10ueG1sUEsBAi0AFAAGAAgAAAAhAFr0LFu/AAAAFQEAAAsA&#10;AAAAAAAAAAAAAAAAHwEAAF9yZWxzLy5yZWxzUEsBAi0AFAAGAAgAAAAhAJu7OwDEAAAA3AAAAA8A&#10;AAAAAAAAAAAAAAAABwIAAGRycy9kb3ducmV2LnhtbFBLBQYAAAAAAwADALcAAAD4AgAAAAA=&#10;" filled="f" strokecolor="#5b9bd5 [3204]" strokeweight="1pt">
                  <v:stroke dashstyle="dash" joinstyle="round"/>
                </v:rect>
                <v:shape id="Надпись 186" o:spid="_x0000_s1074" type="#_x0000_t202" style="position:absolute;width:15468;height:3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9YwwwAAANwAAAAPAAAAZHJzL2Rvd25yZXYueG1sRE/basJA&#10;EH0v+A/LCL7pxguppK4iiqj0oZj2A6bZMQlmZ0N2jdGvdwtC3+ZwrrNYdaYSLTWutKxgPIpAEGdW&#10;l5wr+PneDecgnEfWWFkmBXdysFr23haYaHvjE7Wpz0UIYZeggsL7OpHSZQUZdCNbEwfubBuDPsAm&#10;l7rBWwg3lZxEUSwNlhwaCqxpU1B2Sa9GwbGd1H779an3szSaxub0/jhkv0oN+t36A4Snzv+LX+6D&#10;DvPnMfw9Ey6QyycAAAD//wMAUEsBAi0AFAAGAAgAAAAhANvh9svuAAAAhQEAABMAAAAAAAAAAAAA&#10;AAAAAAAAAFtDb250ZW50X1R5cGVzXS54bWxQSwECLQAUAAYACAAAACEAWvQsW78AAAAVAQAACwAA&#10;AAAAAAAAAAAAAAAfAQAAX3JlbHMvLnJlbHNQSwECLQAUAAYACAAAACEA0yPWMMMAAADcAAAADwAA&#10;AAAAAAAAAAAAAAAHAgAAZHJzL2Rvd25yZXYueG1sUEsFBgAAAAADAAMAtwAAAPcCAAAAAA==&#10;" fillcolor="#ffd966 [1943]" strokeweight=".5pt">
                  <v:textbox>
                    <w:txbxContent>
                      <w:p w14:paraId="191187ED" w14:textId="77777777" w:rsidR="001D4931" w:rsidRPr="002F33D0" w:rsidRDefault="001D4931" w:rsidP="002F33D0">
                        <w:pPr>
                          <w:spacing w:after="0" w:line="240" w:lineRule="auto"/>
                          <w:jc w:val="center"/>
                          <w:rPr>
                            <w:rFonts w:ascii="Times New Roman" w:hAnsi="Times New Roman" w:cs="Times New Roman"/>
                            <w:lang w:val="kk-KZ"/>
                          </w:rPr>
                        </w:pPr>
                        <w:r w:rsidRPr="002F33D0">
                          <w:rPr>
                            <w:rFonts w:ascii="Times New Roman" w:hAnsi="Times New Roman" w:cs="Times New Roman"/>
                          </w:rPr>
                          <w:t>Внутренние факторы</w:t>
                        </w:r>
                      </w:p>
                    </w:txbxContent>
                  </v:textbox>
                </v:shape>
                <v:shape id="Надпись 187" o:spid="_x0000_s1075" type="#_x0000_t202" style="position:absolute;top:3352;width:15468;height:15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CUowwAAANwAAAAPAAAAZHJzL2Rvd25yZXYueG1sRE9NawIx&#10;EL0L/ocwghepWT20sjVK0Qo9FERXPA+bcbPdZLJsUt321zdCwds83ucs172z4kpdqD0rmE0zEMSl&#10;1zVXCk7F7mkBIkRkjdYzKfihAOvVcLDEXPsbH+h6jJVIIRxyVGBibHMpQ2nIYZj6ljhxF985jAl2&#10;ldQd3lK4s3KeZc/SYc2pwWBLG0Nlc/x2CopmZ/bb92LSH+xvY89mW31evpQaj/q3VxCR+vgQ/7s/&#10;dJq/eIH7M+kCufoDAAD//wMAUEsBAi0AFAAGAAgAAAAhANvh9svuAAAAhQEAABMAAAAAAAAAAAAA&#10;AAAAAAAAAFtDb250ZW50X1R5cGVzXS54bWxQSwECLQAUAAYACAAAACEAWvQsW78AAAAVAQAACwAA&#10;AAAAAAAAAAAAAAAfAQAAX3JlbHMvLnJlbHNQSwECLQAUAAYACAAAACEAQtQlKMMAAADcAAAADwAA&#10;AAAAAAAAAAAAAAAHAgAAZHJzL2Rvd25yZXYueG1sUEsFBgAAAAADAAMAtwAAAPcCAAAAAA==&#10;" fillcolor="#fff2cc [663]" strokeweight=".5pt">
                  <v:textbox>
                    <w:txbxContent>
                      <w:p w14:paraId="509848A4" w14:textId="77777777" w:rsidR="001D4931" w:rsidRPr="002F33D0" w:rsidRDefault="001D4931" w:rsidP="002F33D0">
                        <w:pPr>
                          <w:tabs>
                            <w:tab w:val="left" w:pos="142"/>
                            <w:tab w:val="left" w:pos="284"/>
                          </w:tabs>
                          <w:spacing w:after="0" w:line="240" w:lineRule="auto"/>
                          <w:rPr>
                            <w:rFonts w:ascii="Times New Roman" w:hAnsi="Times New Roman" w:cs="Times New Roman"/>
                            <w:lang w:val="kk-KZ"/>
                          </w:rPr>
                        </w:pPr>
                        <w:r w:rsidRPr="002F33D0">
                          <w:rPr>
                            <w:rFonts w:ascii="Times New Roman" w:hAnsi="Times New Roman" w:cs="Times New Roman"/>
                            <w:lang w:val="kk-KZ"/>
                          </w:rPr>
                          <w:t>– управленческо-инновационные ресурсы;</w:t>
                        </w:r>
                      </w:p>
                      <w:p w14:paraId="7D27A898" w14:textId="77777777" w:rsidR="001D4931" w:rsidRPr="002F33D0" w:rsidRDefault="001D4931" w:rsidP="002F33D0">
                        <w:pPr>
                          <w:spacing w:after="0" w:line="240" w:lineRule="auto"/>
                          <w:rPr>
                            <w:rFonts w:ascii="Times New Roman" w:hAnsi="Times New Roman" w:cs="Times New Roman"/>
                            <w:lang w:val="kk-KZ"/>
                          </w:rPr>
                        </w:pPr>
                        <w:r w:rsidRPr="002F33D0">
                          <w:rPr>
                            <w:rFonts w:ascii="Times New Roman" w:hAnsi="Times New Roman" w:cs="Times New Roman"/>
                            <w:lang w:val="kk-KZ"/>
                          </w:rPr>
                          <w:t>– технологическая база;</w:t>
                        </w:r>
                      </w:p>
                      <w:p w14:paraId="757BDA6F" w14:textId="77777777" w:rsidR="001D4931" w:rsidRPr="002F33D0" w:rsidRDefault="001D4931" w:rsidP="002F33D0">
                        <w:pPr>
                          <w:spacing w:after="0" w:line="240" w:lineRule="auto"/>
                          <w:rPr>
                            <w:rFonts w:ascii="Times New Roman" w:hAnsi="Times New Roman" w:cs="Times New Roman"/>
                            <w:lang w:val="kk-KZ"/>
                          </w:rPr>
                        </w:pPr>
                        <w:r w:rsidRPr="002F33D0">
                          <w:rPr>
                            <w:rFonts w:ascii="Times New Roman" w:hAnsi="Times New Roman" w:cs="Times New Roman"/>
                            <w:lang w:val="kk-KZ"/>
                          </w:rPr>
                          <w:t>– человеческий капитал;</w:t>
                        </w:r>
                      </w:p>
                      <w:p w14:paraId="2B77C10C" w14:textId="77777777" w:rsidR="001D4931" w:rsidRPr="002F33D0" w:rsidRDefault="001D4931" w:rsidP="002F33D0">
                        <w:pPr>
                          <w:spacing w:after="0" w:line="240" w:lineRule="auto"/>
                          <w:rPr>
                            <w:rFonts w:ascii="Times New Roman" w:hAnsi="Times New Roman" w:cs="Times New Roman"/>
                            <w:lang w:val="kk-KZ"/>
                          </w:rPr>
                        </w:pPr>
                        <w:r w:rsidRPr="002F33D0">
                          <w:rPr>
                            <w:rFonts w:ascii="Times New Roman" w:hAnsi="Times New Roman" w:cs="Times New Roman"/>
                            <w:lang w:val="kk-KZ"/>
                          </w:rPr>
                          <w:t>– инновационная культура.</w:t>
                        </w:r>
                      </w:p>
                    </w:txbxContent>
                  </v:textbox>
                </v:shape>
                <v:shape id="Надпись 188" o:spid="_x0000_s1076" type="#_x0000_t202" style="position:absolute;left:18288;top:1600;width:17449;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xnCxgAAANwAAAAPAAAAZHJzL2Rvd25yZXYueG1sRI9BT8Mw&#10;DIXvSPsPkSdxQVu6HdAoy6YJaRInEAUNjl5jmm6NU5rQhX+PD0jcbL3n9z6vt9l3aqQhtoENLOYF&#10;KOI62JYbA2+v+9kKVEzIFrvAZOCHImw3k6s1ljZc+IXGKjVKQjiWaMCl1Jdax9qRxzgPPbFon2Hw&#10;mGQdGm0HvEi47/SyKG61x5alwWFPD47qc/XtDdxU+f1jcdx/FUs3nnJ3PjzdPR+MuZ7m3T2oRDn9&#10;m/+uH63gr4RWnpEJ9OYXAAD//wMAUEsBAi0AFAAGAAgAAAAhANvh9svuAAAAhQEAABMAAAAAAAAA&#10;AAAAAAAAAAAAAFtDb250ZW50X1R5cGVzXS54bWxQSwECLQAUAAYACAAAACEAWvQsW78AAAAVAQAA&#10;CwAAAAAAAAAAAAAAAAAfAQAAX3JlbHMvLnJlbHNQSwECLQAUAAYACAAAACEAu6MZwsYAAADcAAAA&#10;DwAAAAAAAAAAAAAAAAAHAgAAZHJzL2Rvd25yZXYueG1sUEsFBgAAAAADAAMAtwAAAPoCAAAAAA==&#10;" fillcolor="red" strokeweight=".5pt">
                  <v:fill opacity="47802f"/>
                  <v:textbox>
                    <w:txbxContent>
                      <w:p w14:paraId="2C35B26A" w14:textId="77777777" w:rsidR="001D4931" w:rsidRPr="002F33D0" w:rsidRDefault="001D4931" w:rsidP="002F33D0">
                        <w:pPr>
                          <w:spacing w:after="0" w:line="240" w:lineRule="auto"/>
                          <w:jc w:val="center"/>
                          <w:rPr>
                            <w:rFonts w:ascii="Times New Roman" w:hAnsi="Times New Roman" w:cs="Times New Roman"/>
                            <w:lang w:val="kk-KZ"/>
                          </w:rPr>
                        </w:pPr>
                        <w:r w:rsidRPr="002F33D0">
                          <w:rPr>
                            <w:rFonts w:ascii="Times New Roman" w:hAnsi="Times New Roman" w:cs="Times New Roman"/>
                          </w:rPr>
                          <w:t xml:space="preserve">Цифровая адаптация </w:t>
                        </w:r>
                      </w:p>
                    </w:txbxContent>
                  </v:textbox>
                </v:shape>
                <v:shape id="Надпись 189" o:spid="_x0000_s1077" type="#_x0000_t202" style="position:absolute;left:18288;top:4953;width:17449;height:1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1LLwgAAANwAAAAPAAAAZHJzL2Rvd25yZXYueG1sRE9La8JA&#10;EL4L/Q/LFHqRurEQsamrlEKkevMBXqfZMQnNzqbZUdN/7wqCt/n4njNb9K5RZ+pC7dnAeJSAIi68&#10;rbk0sN/lr1NQQZAtNp7JwD8FWMyfBjPMrL/whs5bKVUM4ZChgUqkzbQORUUOw8i3xJE7+s6hRNiV&#10;2nZ4ieGu0W9JMtEOa44NFbb0VVHxuz05A/l6Ve8nkh7S8d9S8uMPNSkOjXl57j8/QAn18hDf3d82&#10;zp++w+2ZeIGeXwEAAP//AwBQSwECLQAUAAYACAAAACEA2+H2y+4AAACFAQAAEwAAAAAAAAAAAAAA&#10;AAAAAAAAW0NvbnRlbnRfVHlwZXNdLnhtbFBLAQItABQABgAIAAAAIQBa9CxbvwAAABUBAAALAAAA&#10;AAAAAAAAAAAAAB8BAABfcmVscy8ucmVsc1BLAQItABQABgAIAAAAIQCp91LLwgAAANwAAAAPAAAA&#10;AAAAAAAAAAAAAAcCAABkcnMvZG93bnJldi54bWxQSwUGAAAAAAMAAwC3AAAA9gIAAAAA&#10;" fillcolor="red" strokeweight=".5pt">
                  <v:fill opacity="7967f"/>
                  <v:textbox>
                    <w:txbxContent>
                      <w:p w14:paraId="230A6A2C" w14:textId="77777777" w:rsidR="001D4931" w:rsidRPr="002F33D0" w:rsidRDefault="001D4931" w:rsidP="002F33D0">
                        <w:pPr>
                          <w:spacing w:after="0" w:line="240" w:lineRule="auto"/>
                          <w:rPr>
                            <w:rFonts w:ascii="Times New Roman" w:hAnsi="Times New Roman" w:cs="Times New Roman"/>
                            <w:lang w:val="kk-KZ"/>
                          </w:rPr>
                        </w:pPr>
                        <w:r w:rsidRPr="002F33D0">
                          <w:rPr>
                            <w:rFonts w:ascii="Times New Roman" w:hAnsi="Times New Roman" w:cs="Times New Roman"/>
                            <w:lang w:val="kk-KZ"/>
                          </w:rPr>
                          <w:t>– цифровизация процессов;</w:t>
                        </w:r>
                      </w:p>
                      <w:p w14:paraId="6197CF68" w14:textId="77777777" w:rsidR="001D4931" w:rsidRPr="002F33D0" w:rsidRDefault="001D4931" w:rsidP="002F33D0">
                        <w:pPr>
                          <w:spacing w:after="0" w:line="240" w:lineRule="auto"/>
                          <w:rPr>
                            <w:rFonts w:ascii="Times New Roman" w:hAnsi="Times New Roman" w:cs="Times New Roman"/>
                            <w:lang w:val="kk-KZ"/>
                          </w:rPr>
                        </w:pPr>
                        <w:r w:rsidRPr="002F33D0">
                          <w:rPr>
                            <w:rFonts w:ascii="Times New Roman" w:hAnsi="Times New Roman" w:cs="Times New Roman"/>
                            <w:lang w:val="kk-KZ"/>
                          </w:rPr>
                          <w:t>– интеграция цифровых решений;</w:t>
                        </w:r>
                      </w:p>
                      <w:p w14:paraId="17FCB62E" w14:textId="77777777" w:rsidR="001D4931" w:rsidRPr="002F33D0" w:rsidRDefault="001D4931" w:rsidP="002F33D0">
                        <w:pPr>
                          <w:spacing w:after="0" w:line="240" w:lineRule="auto"/>
                          <w:rPr>
                            <w:rFonts w:ascii="Times New Roman" w:hAnsi="Times New Roman" w:cs="Times New Roman"/>
                            <w:lang w:val="kk-KZ"/>
                          </w:rPr>
                        </w:pPr>
                        <w:r w:rsidRPr="002F33D0">
                          <w:rPr>
                            <w:rFonts w:ascii="Times New Roman" w:hAnsi="Times New Roman" w:cs="Times New Roman"/>
                            <w:lang w:val="kk-KZ"/>
                          </w:rPr>
                          <w:t>– цифровая зрелость предприятия.</w:t>
                        </w:r>
                      </w:p>
                    </w:txbxContent>
                  </v:textbox>
                </v:shape>
                <v:shape id="Надпись 190" o:spid="_x0000_s1078" type="#_x0000_t202" style="position:absolute;left:38557;top:1600;width:19050;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R3xgAAANwAAAAPAAAAZHJzL2Rvd25yZXYueG1sRI9BT8Mw&#10;DIXvk/YfIk/ixlI4VNAtqxDSBuIE3UDjZjWmrWictgldx6/HB6TdbL3n9z6v88m1aqQhNJ4N3CwT&#10;UMSltw1XBg777fUdqBCRLbaeycCZAuSb+WyNmfUnfqOxiJWSEA4ZGqhj7DKtQ1mTw7D0HbFoX35w&#10;GGUdKm0HPEm4a/VtkqTaYcPSUGNHjzWV38WPM7A7FvHcv/w2ac/9+5P77D9ebWrM1WJ6WIGKNMWL&#10;+f/62Qr+veDLMzKB3vwBAAD//wMAUEsBAi0AFAAGAAgAAAAhANvh9svuAAAAhQEAABMAAAAAAAAA&#10;AAAAAAAAAAAAAFtDb250ZW50X1R5cGVzXS54bWxQSwECLQAUAAYACAAAACEAWvQsW78AAAAVAQAA&#10;CwAAAAAAAAAAAAAAAAAfAQAAX3JlbHMvLnJlbHNQSwECLQAUAAYACAAAACEAvj1Ud8YAAADcAAAA&#10;DwAAAAAAAAAAAAAAAAAHAgAAZHJzL2Rvd25yZXYueG1sUEsFBgAAAAADAAMAtwAAAPoCAAAAAA==&#10;" fillcolor="#7030a0" strokeweight=".5pt">
                  <v:fill opacity="35466f"/>
                  <v:textbox>
                    <w:txbxContent>
                      <w:p w14:paraId="54E5BDAE" w14:textId="77777777" w:rsidR="001D4931" w:rsidRPr="002F33D0" w:rsidRDefault="001D4931" w:rsidP="002F33D0">
                        <w:pPr>
                          <w:spacing w:after="0" w:line="240" w:lineRule="auto"/>
                          <w:jc w:val="center"/>
                          <w:rPr>
                            <w:rFonts w:ascii="Times New Roman" w:hAnsi="Times New Roman" w:cs="Times New Roman"/>
                            <w:lang w:val="kk-KZ"/>
                          </w:rPr>
                        </w:pPr>
                        <w:r w:rsidRPr="002F33D0">
                          <w:rPr>
                            <w:rFonts w:ascii="Times New Roman" w:hAnsi="Times New Roman" w:cs="Times New Roman"/>
                          </w:rPr>
                          <w:t>Инновационный потенциал</w:t>
                        </w:r>
                      </w:p>
                    </w:txbxContent>
                  </v:textbox>
                </v:shape>
                <v:shape id="Надпись 191" o:spid="_x0000_s1079" type="#_x0000_t202" style="position:absolute;left:38557;top:5029;width:19050;height:12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Bd5xAAAANwAAAAPAAAAZHJzL2Rvd25yZXYueG1sRE9NawIx&#10;EL0L/Q9hCl6kZvVg261RpCgIeqjbVjwOm3F3MZksm6irv94Igrd5vM8ZT1trxIkaXzlWMOgnIIhz&#10;pysuFPz9Lt4+QPiArNE4JgUX8jCdvHTGmGp35g2dslCIGMI+RQVlCHUqpc9Lsuj7riaO3N41FkOE&#10;TSF1g+cYbo0cJslIWqw4NpRY03dJ+SE7WgVZzxzMfJ3t/rfvq8388nOd6f1Vqe5rO/sCEagNT/HD&#10;vdRx/ucA7s/EC+TkBgAA//8DAFBLAQItABQABgAIAAAAIQDb4fbL7gAAAIUBAAATAAAAAAAAAAAA&#10;AAAAAAAAAABbQ29udGVudF9UeXBlc10ueG1sUEsBAi0AFAAGAAgAAAAhAFr0LFu/AAAAFQEAAAsA&#10;AAAAAAAAAAAAAAAAHwEAAF9yZWxzLy5yZWxzUEsBAi0AFAAGAAgAAAAhAFfIF3nEAAAA3AAAAA8A&#10;AAAAAAAAAAAAAAAABwIAAGRycy9kb3ducmV2LnhtbFBLBQYAAAAAAwADALcAAAD4AgAAAAA=&#10;" fillcolor="#7030a0" strokeweight=".5pt">
                  <v:fill opacity="9766f"/>
                  <v:textbox>
                    <w:txbxContent>
                      <w:p w14:paraId="0CAA942E" w14:textId="77777777" w:rsidR="001D4931" w:rsidRPr="002F33D0" w:rsidRDefault="001D4931" w:rsidP="002F33D0">
                        <w:pPr>
                          <w:spacing w:after="0" w:line="240" w:lineRule="auto"/>
                          <w:rPr>
                            <w:rFonts w:ascii="Times New Roman" w:hAnsi="Times New Roman" w:cs="Times New Roman"/>
                            <w:lang w:val="kk-KZ"/>
                          </w:rPr>
                        </w:pPr>
                        <w:r w:rsidRPr="002F33D0">
                          <w:rPr>
                            <w:rFonts w:ascii="Times New Roman" w:hAnsi="Times New Roman" w:cs="Times New Roman"/>
                            <w:lang w:val="kk-KZ"/>
                          </w:rPr>
                          <w:t>– способность генерировать, воспринимать и реализовывать инновации;</w:t>
                        </w:r>
                      </w:p>
                      <w:p w14:paraId="070365A2" w14:textId="77777777" w:rsidR="001D4931" w:rsidRPr="002F33D0" w:rsidRDefault="001D4931" w:rsidP="002F33D0">
                        <w:pPr>
                          <w:spacing w:after="0" w:line="240" w:lineRule="auto"/>
                          <w:rPr>
                            <w:rFonts w:ascii="Times New Roman" w:hAnsi="Times New Roman" w:cs="Times New Roman"/>
                            <w:lang w:val="kk-KZ"/>
                          </w:rPr>
                        </w:pPr>
                        <w:r w:rsidRPr="002F33D0">
                          <w:rPr>
                            <w:rFonts w:ascii="Times New Roman" w:hAnsi="Times New Roman" w:cs="Times New Roman"/>
                            <w:lang w:val="kk-KZ"/>
                          </w:rPr>
                          <w:t>– взаимодействие ресурсов и процессов;</w:t>
                        </w:r>
                      </w:p>
                      <w:p w14:paraId="285E9ED1" w14:textId="77777777" w:rsidR="001D4931" w:rsidRPr="002F33D0" w:rsidRDefault="001D4931" w:rsidP="002F33D0">
                        <w:pPr>
                          <w:spacing w:after="0" w:line="240" w:lineRule="auto"/>
                          <w:rPr>
                            <w:rFonts w:ascii="Times New Roman" w:hAnsi="Times New Roman" w:cs="Times New Roman"/>
                            <w:lang w:val="kk-KZ"/>
                          </w:rPr>
                        </w:pPr>
                        <w:r w:rsidRPr="002F33D0">
                          <w:rPr>
                            <w:rFonts w:ascii="Times New Roman" w:hAnsi="Times New Roman" w:cs="Times New Roman"/>
                            <w:lang w:val="kk-KZ"/>
                          </w:rPr>
                          <w:t>– системная инновационная готовность.</w:t>
                        </w:r>
                      </w:p>
                    </w:txbxContent>
                  </v:textbox>
                </v:shape>
                <v:shape id="Надпись 192" o:spid="_x0000_s1080" type="#_x0000_t202" style="position:absolute;left:31165;top:20497;width:28042;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jMZwgAAANwAAAAPAAAAZHJzL2Rvd25yZXYueG1sRE9La8JA&#10;EL4X+h+WKfSmG4OIjW5EhdLepCqh3obs5KHZ2bC7Nem/7xYKvc3H95z1ZjSduJPzrWUFs2kCgri0&#10;uuVawfn0OlmC8AFZY2eZFHyTh03++LDGTNuBP+h+DLWIIewzVNCE0GdS+rIhg35qe+LIVdYZDBG6&#10;WmqHQww3nUyTZCENthwbGuxp31B5O34ZBXM333Wf1dViO74VfBhS9pdCqeencbsCEWgM/+I/97uO&#10;819S+H0mXiDzHwAAAP//AwBQSwECLQAUAAYACAAAACEA2+H2y+4AAACFAQAAEwAAAAAAAAAAAAAA&#10;AAAAAAAAW0NvbnRlbnRfVHlwZXNdLnhtbFBLAQItABQABgAIAAAAIQBa9CxbvwAAABUBAAALAAAA&#10;AAAAAAAAAAAAAB8BAABfcmVscy8ucmVsc1BLAQItABQABgAIAAAAIQDbfjMZwgAAANwAAAAPAAAA&#10;AAAAAAAAAAAAAAcCAABkcnMvZG93bnJldi54bWxQSwUGAAAAAAMAAwC3AAAA9gIAAAAA&#10;" fillcolor="#a8d08d [1945]" strokeweight=".5pt">
                  <v:textbox>
                    <w:txbxContent>
                      <w:p w14:paraId="50FF7CC9" w14:textId="77777777" w:rsidR="001D4931" w:rsidRPr="002F33D0" w:rsidRDefault="001D4931" w:rsidP="002F33D0">
                        <w:pPr>
                          <w:spacing w:after="0" w:line="240" w:lineRule="auto"/>
                          <w:jc w:val="center"/>
                          <w:rPr>
                            <w:rFonts w:ascii="Times New Roman" w:hAnsi="Times New Roman" w:cs="Times New Roman"/>
                            <w:lang w:val="kk-KZ"/>
                          </w:rPr>
                        </w:pPr>
                        <w:r w:rsidRPr="002F33D0">
                          <w:rPr>
                            <w:rFonts w:ascii="Times New Roman" w:hAnsi="Times New Roman" w:cs="Times New Roman"/>
                          </w:rPr>
                          <w:t>Устойчивое развитие предпринимательских структур</w:t>
                        </w:r>
                      </w:p>
                    </w:txbxContent>
                  </v:textbox>
                </v:shape>
                <v:shape id="Надпись 193" o:spid="_x0000_s1081" type="#_x0000_t202" style="position:absolute;left:31165;top:25222;width:28042;height:10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3MRxAAAANwAAAAPAAAAZHJzL2Rvd25yZXYueG1sRE/NasJA&#10;EL4LvsMyQi9SN1ZoY+oqKg204KWpDzBmp0kwOxt2tyb26bsFwdt8fL+z2gymFRdyvrGsYD5LQBCX&#10;VjdcKTh+5Y8pCB+QNbaWScGVPGzW49EKM217/qRLESoRQ9hnqKAOocuk9GVNBv3MdsSR+7bOYIjQ&#10;VVI77GO4aeVTkjxLgw3Hhho72tdUnosfoyBPf6cN7ouPJD+fXvrd4A5v85NSD5Nh+woi0BDu4pv7&#10;Xcf5ywX8PxMvkOs/AAAA//8DAFBLAQItABQABgAIAAAAIQDb4fbL7gAAAIUBAAATAAAAAAAAAAAA&#10;AAAAAAAAAABbQ29udGVudF9UeXBlc10ueG1sUEsBAi0AFAAGAAgAAAAhAFr0LFu/AAAAFQEAAAsA&#10;AAAAAAAAAAAAAAAAHwEAAF9yZWxzLy5yZWxzUEsBAi0AFAAGAAgAAAAhAEp3cxHEAAAA3AAAAA8A&#10;AAAAAAAAAAAAAAAABwIAAGRycy9kb3ducmV2LnhtbFBLBQYAAAAAAwADALcAAAD4AgAAAAA=&#10;" fillcolor="#e2efd9 [665]" strokeweight=".5pt">
                  <v:textbox>
                    <w:txbxContent>
                      <w:p w14:paraId="74630215" w14:textId="77777777" w:rsidR="001D4931" w:rsidRPr="002F33D0" w:rsidRDefault="001D4931" w:rsidP="002F33D0">
                        <w:pPr>
                          <w:spacing w:after="0" w:line="240" w:lineRule="auto"/>
                          <w:rPr>
                            <w:rFonts w:ascii="Times New Roman" w:hAnsi="Times New Roman" w:cs="Times New Roman"/>
                            <w:lang w:val="kk-KZ"/>
                          </w:rPr>
                        </w:pPr>
                        <w:r w:rsidRPr="002F33D0">
                          <w:rPr>
                            <w:rFonts w:ascii="Times New Roman" w:hAnsi="Times New Roman" w:cs="Times New Roman"/>
                          </w:rPr>
                          <w:t>– экономическая устойчивость</w:t>
                        </w:r>
                        <w:r w:rsidRPr="002F33D0">
                          <w:rPr>
                            <w:rFonts w:ascii="Times New Roman" w:hAnsi="Times New Roman" w:cs="Times New Roman"/>
                            <w:lang w:val="kk-KZ"/>
                          </w:rPr>
                          <w:t>;</w:t>
                        </w:r>
                        <w:r w:rsidRPr="002F33D0">
                          <w:rPr>
                            <w:rFonts w:ascii="Times New Roman" w:hAnsi="Times New Roman" w:cs="Times New Roman"/>
                          </w:rPr>
                          <w:br/>
                          <w:t>– технологическая устойчивость</w:t>
                        </w:r>
                        <w:r w:rsidRPr="002F33D0">
                          <w:rPr>
                            <w:rFonts w:ascii="Times New Roman" w:hAnsi="Times New Roman" w:cs="Times New Roman"/>
                            <w:lang w:val="kk-KZ"/>
                          </w:rPr>
                          <w:t>;</w:t>
                        </w:r>
                        <w:r w:rsidRPr="002F33D0">
                          <w:rPr>
                            <w:rFonts w:ascii="Times New Roman" w:hAnsi="Times New Roman" w:cs="Times New Roman"/>
                          </w:rPr>
                          <w:br/>
                          <w:t>– социальная и экологическая устойчивость</w:t>
                        </w:r>
                        <w:r w:rsidRPr="002F33D0">
                          <w:rPr>
                            <w:rFonts w:ascii="Times New Roman" w:hAnsi="Times New Roman" w:cs="Times New Roman"/>
                            <w:lang w:val="kk-KZ"/>
                          </w:rPr>
                          <w:t>;</w:t>
                        </w:r>
                        <w:r w:rsidRPr="002F33D0">
                          <w:rPr>
                            <w:rFonts w:ascii="Times New Roman" w:hAnsi="Times New Roman" w:cs="Times New Roman"/>
                          </w:rPr>
                          <w:br/>
                          <w:t>– адаптивность и резилентность</w:t>
                        </w:r>
                        <w:r w:rsidRPr="002F33D0">
                          <w:rPr>
                            <w:rFonts w:ascii="Times New Roman" w:hAnsi="Times New Roman" w:cs="Times New Roman"/>
                            <w:lang w:val="kk-KZ"/>
                          </w:rPr>
                          <w:t>.</w:t>
                        </w:r>
                      </w:p>
                    </w:txbxContent>
                  </v:textbox>
                </v:shape>
                <v:shape id="Надпись 194" o:spid="_x0000_s1082" type="#_x0000_t202" style="position:absolute;top:20497;width:18821;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6iowwAAANwAAAAPAAAAZHJzL2Rvd25yZXYueG1sRE9Li8Iw&#10;EL4L+x/CLHjTdEXUVqOIsCJ4WLY+wNvQjG21mZQmav33mwXB23x8z5ktWlOJOzWutKzgqx+BIM6s&#10;LjlXsN999yYgnEfWWFkmBU9ysJh/dGaYaPvgX7qnPhchhF2CCgrv60RKlxVk0PVtTRy4s20M+gCb&#10;XOoGHyHcVHIQRSNpsOTQUGBNq4Kya3ozCpb5T7pt4/XpODodqngwWcnL+KlU97NdTkF4av1b/HJv&#10;dJgfD+H/mXCBnP8BAAD//wMAUEsBAi0AFAAGAAgAAAAhANvh9svuAAAAhQEAABMAAAAAAAAAAAAA&#10;AAAAAAAAAFtDb250ZW50X1R5cGVzXS54bWxQSwECLQAUAAYACAAAACEAWvQsW78AAAAVAQAACwAA&#10;AAAAAAAAAAAAAAAfAQAAX3JlbHMvLnJlbHNQSwECLQAUAAYACAAAACEAy4OoqMMAAADcAAAADwAA&#10;AAAAAAAAAAAAAAAHAgAAZHJzL2Rvd25yZXYueG1sUEsFBgAAAAADAAMAtwAAAPcCAAAAAA==&#10;" fillcolor="#9cc2e5 [1940]" strokeweight=".5pt">
                  <v:textbox>
                    <w:txbxContent>
                      <w:p w14:paraId="1553E262" w14:textId="77777777" w:rsidR="001D4931" w:rsidRPr="002F33D0" w:rsidRDefault="001D4931" w:rsidP="002F33D0">
                        <w:pPr>
                          <w:spacing w:after="0" w:line="240" w:lineRule="auto"/>
                          <w:jc w:val="center"/>
                          <w:rPr>
                            <w:rFonts w:ascii="Times New Roman" w:hAnsi="Times New Roman" w:cs="Times New Roman"/>
                            <w:lang w:val="kk-KZ"/>
                          </w:rPr>
                        </w:pPr>
                        <w:r w:rsidRPr="002F33D0">
                          <w:rPr>
                            <w:rFonts w:ascii="Times New Roman" w:hAnsi="Times New Roman" w:cs="Times New Roman"/>
                          </w:rPr>
                          <w:t>Институциональная среда и государственная поддержка</w:t>
                        </w:r>
                      </w:p>
                    </w:txbxContent>
                  </v:textbox>
                </v:shape>
                <v:shape id="Надпись 195" o:spid="_x0000_s1083" type="#_x0000_t202" style="position:absolute;left:76;top:25222;width:18745;height:10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VDzwQAAANwAAAAPAAAAZHJzL2Rvd25yZXYueG1sRE9Ni8Iw&#10;EL0v+B/CCN7WVEXRahQVFxY8WRf2OjRjW2wmJYm17q/fCIK3ebzPWW06U4uWnK8sKxgNExDEudUV&#10;Fwp+zl+fcxA+IGusLZOCB3nYrHsfK0y1vfOJ2iwUIoawT1FBGUKTSunzkgz6oW2II3exzmCI0BVS&#10;O7zHcFPLcZLMpMGKY0OJDe1Lyq/ZzSg4ZvLvcD7aWVOb+a8bnSbtbs9KDfrddgkiUBfe4pf7W8f5&#10;iyk8n4kXyPU/AAAA//8DAFBLAQItABQABgAIAAAAIQDb4fbL7gAAAIUBAAATAAAAAAAAAAAAAAAA&#10;AAAAAABbQ29udGVudF9UeXBlc10ueG1sUEsBAi0AFAAGAAgAAAAhAFr0LFu/AAAAFQEAAAsAAAAA&#10;AAAAAAAAAAAAHwEAAF9yZWxzLy5yZWxzUEsBAi0AFAAGAAgAAAAhANtBUPPBAAAA3AAAAA8AAAAA&#10;AAAAAAAAAAAABwIAAGRycy9kb3ducmV2LnhtbFBLBQYAAAAAAwADALcAAAD1AgAAAAA=&#10;" fillcolor="#deeaf6 [660]" strokeweight=".5pt">
                  <v:textbox>
                    <w:txbxContent>
                      <w:p w14:paraId="4E207BBA" w14:textId="77777777" w:rsidR="001D4931" w:rsidRPr="002F33D0" w:rsidRDefault="001D4931" w:rsidP="002F33D0">
                        <w:pPr>
                          <w:spacing w:after="0" w:line="240" w:lineRule="auto"/>
                          <w:rPr>
                            <w:rFonts w:ascii="Times New Roman" w:hAnsi="Times New Roman" w:cs="Times New Roman"/>
                            <w:lang w:val="kk-KZ"/>
                          </w:rPr>
                        </w:pPr>
                        <w:r w:rsidRPr="002F33D0">
                          <w:rPr>
                            <w:rFonts w:ascii="Times New Roman" w:hAnsi="Times New Roman" w:cs="Times New Roman"/>
                          </w:rPr>
                          <w:t>– программы развития</w:t>
                        </w:r>
                        <w:r w:rsidRPr="002F33D0">
                          <w:rPr>
                            <w:rFonts w:ascii="Times New Roman" w:hAnsi="Times New Roman" w:cs="Times New Roman"/>
                            <w:lang w:val="kk-KZ"/>
                          </w:rPr>
                          <w:t>;</w:t>
                        </w:r>
                        <w:r w:rsidRPr="002F33D0">
                          <w:rPr>
                            <w:rFonts w:ascii="Times New Roman" w:hAnsi="Times New Roman" w:cs="Times New Roman"/>
                          </w:rPr>
                          <w:br/>
                          <w:t>– нормативная среда</w:t>
                        </w:r>
                        <w:r w:rsidRPr="002F33D0">
                          <w:rPr>
                            <w:rFonts w:ascii="Times New Roman" w:hAnsi="Times New Roman" w:cs="Times New Roman"/>
                            <w:lang w:val="kk-KZ"/>
                          </w:rPr>
                          <w:t>;</w:t>
                        </w:r>
                        <w:r w:rsidRPr="002F33D0">
                          <w:rPr>
                            <w:rFonts w:ascii="Times New Roman" w:hAnsi="Times New Roman" w:cs="Times New Roman"/>
                          </w:rPr>
                          <w:br/>
                          <w:t>– партнёрства и инфраструктура</w:t>
                        </w:r>
                        <w:r w:rsidRPr="002F33D0">
                          <w:rPr>
                            <w:rFonts w:ascii="Times New Roman" w:hAnsi="Times New Roman" w:cs="Times New Roman"/>
                            <w:lang w:val="kk-KZ"/>
                          </w:rPr>
                          <w:t>;</w:t>
                        </w:r>
                        <w:r w:rsidRPr="002F33D0">
                          <w:rPr>
                            <w:rFonts w:ascii="Times New Roman" w:hAnsi="Times New Roman" w:cs="Times New Roman"/>
                          </w:rPr>
                          <w:br/>
                          <w:t>– доступ к финансированию</w:t>
                        </w:r>
                        <w:r w:rsidRPr="002F33D0">
                          <w:rPr>
                            <w:rFonts w:ascii="Times New Roman" w:hAnsi="Times New Roman" w:cs="Times New Roman"/>
                            <w:lang w:val="kk-KZ"/>
                          </w:rPr>
                          <w:t>.</w:t>
                        </w:r>
                      </w:p>
                    </w:txbxContent>
                  </v:textbox>
                </v:shape>
                <v:shape id="Прямая со стрелкой 196" o:spid="_x0000_s1084" type="#_x0000_t32" style="position:absolute;left:15544;top:3200;width:27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ql4wgAAANwAAAAPAAAAZHJzL2Rvd25yZXYueG1sRE9Li8Iw&#10;EL4L/ocwgjdNFZS1GkUU8cEefOHucWjGttpMShO1++83Cwve5uN7zmRWm0I8qXK5ZQW9bgSCOLE6&#10;51TB+bTqfIBwHlljYZkU/JCD2bTZmGCs7YsP9Dz6VIQQdjEqyLwvYyldkpFB17UlceCutjLoA6xS&#10;qSt8hXBTyH4UDaXBnENDhiUtMkrux4dR8Pm9X192g2XOX4m+b4rDbXvlpVLtVj0fg/BU+7f4373R&#10;Yf5oCH/PhAvk9BcAAP//AwBQSwECLQAUAAYACAAAACEA2+H2y+4AAACFAQAAEwAAAAAAAAAAAAAA&#10;AAAAAAAAW0NvbnRlbnRfVHlwZXNdLnhtbFBLAQItABQABgAIAAAAIQBa9CxbvwAAABUBAAALAAAA&#10;AAAAAAAAAAAAAB8BAABfcmVscy8ucmVsc1BLAQItABQABgAIAAAAIQBlPql4wgAAANwAAAAPAAAA&#10;AAAAAAAAAAAAAAcCAABkcnMvZG93bnJldi54bWxQSwUGAAAAAAMAAwC3AAAA9gIAAAAA&#10;" strokecolor="black [3200]" strokeweight="1.5pt">
                  <v:stroke endarrow="block" joinstyle="miter"/>
                </v:shape>
                <v:line id="Прямая соединительная линия 197" o:spid="_x0000_s1085" style="position:absolute;visibility:visible;mso-wrap-style:square" from="18821,23164" to="25374,23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o/wgAAANwAAAAPAAAAZHJzL2Rvd25yZXYueG1sRE9LawIx&#10;EL4X/A9hBC+lZuvB2q1RrCAUD4KPS2/DZtxd3UzWJK7pvzdCwdt8fM+ZzqNpREfO15YVvA8zEMSF&#10;1TWXCg771dsEhA/IGhvLpOCPPMxnvZcp5treeEvdLpQihbDPUUEVQptL6YuKDPqhbYkTd7TOYEjQ&#10;lVI7vKVw08hRlo2lwZpTQ4UtLSsqzrurUfC7dRuO3+vXYnxpI04u+tStglKDflx8gQgUw1P87/7R&#10;af7nBzyeSRfI2R0AAP//AwBQSwECLQAUAAYACAAAACEA2+H2y+4AAACFAQAAEwAAAAAAAAAAAAAA&#10;AAAAAAAAW0NvbnRlbnRfVHlwZXNdLnhtbFBLAQItABQABgAIAAAAIQBa9CxbvwAAABUBAAALAAAA&#10;AAAAAAAAAAAAAB8BAABfcmVscy8ucmVsc1BLAQItABQABgAIAAAAIQBndZo/wgAAANwAAAAPAAAA&#10;AAAAAAAAAAAAAAcCAABkcnMvZG93bnJldi54bWxQSwUGAAAAAAMAAwC3AAAA9gIAAAAA&#10;" strokecolor="#5b9bd5 [3204]" strokeweight="1.5pt">
                  <v:stroke dashstyle="dash" joinstyle="miter"/>
                </v:line>
                <v:shape id="Прямая со стрелкой 198" o:spid="_x0000_s1086" type="#_x0000_t32" style="position:absolute;left:35737;top:3276;width:27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ZiRxgAAANwAAAAPAAAAZHJzL2Rvd25yZXYueG1sRI9Ba8JA&#10;EIXvhf6HZQre6qYFS42uUipFKx40iu1xyI5JanY2ZFeN/945FLzN8N6898142rlanakNlWcDL/0E&#10;FHHubcWFgd326/kdVIjIFmvPZOBKAaaTx4cxptZfeEPnLBZKQjikaKCMsUm1DnlJDkPfN8SiHXzr&#10;MMraFtq2eJFwV+vXJHnTDiuWhhIb+iwpP2YnZ2D1u57vl4NZxT+5PS7qzd/3gWfG9J66jxGoSF28&#10;m/+vF1bwh0Irz8gEenIDAAD//wMAUEsBAi0AFAAGAAgAAAAhANvh9svuAAAAhQEAABMAAAAAAAAA&#10;AAAAAAAAAAAAAFtDb250ZW50X1R5cGVzXS54bWxQSwECLQAUAAYACAAAACEAWvQsW78AAAAVAQAA&#10;CwAAAAAAAAAAAAAAAAAfAQAAX3JlbHMvLnJlbHNQSwECLQAUAAYACAAAACEAe+2YkcYAAADcAAAA&#10;DwAAAAAAAAAAAAAAAAAHAgAAZHJzL2Rvd25yZXYueG1sUEsFBgAAAAADAAMAtwAAAPoCAAAAAA==&#10;" strokecolor="black [3200]" strokeweight="1.5pt">
                  <v:stroke endarrow="block" joinstyle="miter"/>
                </v:shape>
                <v:shape id="Прямая со стрелкой 199" o:spid="_x0000_s1087" type="#_x0000_t32" style="position:absolute;left:25374;top:18669;width:0;height:44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MbPwwAAANwAAAAPAAAAZHJzL2Rvd25yZXYueG1sRE9Na4NA&#10;EL0X+h+WKeTWrA3SJjarSEmTnAoxhVwHd6KiOyvuVs2/7wYKvc3jfc42m00nRhpcY1nByzICQVxa&#10;3XCl4Pv8+bwG4Tyyxs4yKbiRgyx9fNhiou3EJxoLX4kQwi5BBbX3fSKlK2sy6Ja2Jw7c1Q4GfYBD&#10;JfWAUwg3nVxF0as02HBoqLGnj5rKtvgxCvZx/nZtD8Vln1/G3eFUtfgVt0otnub8HYSn2f+L/9xH&#10;HeZvNnB/Jlwg018AAAD//wMAUEsBAi0AFAAGAAgAAAAhANvh9svuAAAAhQEAABMAAAAAAAAAAAAA&#10;AAAAAAAAAFtDb250ZW50X1R5cGVzXS54bWxQSwECLQAUAAYACAAAACEAWvQsW78AAAAVAQAACwAA&#10;AAAAAAAAAAAAAAAfAQAAX3JlbHMvLnJlbHNQSwECLQAUAAYACAAAACEA9uTGz8MAAADcAAAADwAA&#10;AAAAAAAAAAAAAAAHAgAAZHJzL2Rvd25yZXYueG1sUEsFBgAAAAADAAMAtwAAAPcCAAAAAA==&#10;" strokecolor="#5b9bd5 [3204]" strokeweight="1.5pt">
                  <v:stroke dashstyle="dash" endarrow="block" joinstyle="miter"/>
                </v:shape>
                <v:shape id="Прямая со стрелкой 200" o:spid="_x0000_s1088" type="#_x0000_t32" style="position:absolute;left:47320;top:17068;width:0;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GBsxAAAANwAAAAPAAAAZHJzL2Rvd25yZXYueG1sRI9Pi8Iw&#10;FMTvwn6H8ARvmioo0jWKrCz+wYN2F/X4aJ5t1+alNFHrtzeCsMdhZn7DTGaNKcWNaldYVtDvRSCI&#10;U6sLzhT8/nx3xyCcR9ZYWiYFD3Iwm360Jhhre+c93RKfiQBhF6OC3PsqltKlORl0PVsRB+9sa4M+&#10;yDqTusZ7gJtSDqJoJA0WHBZyrOgrp/SSXI2C7Wm3PGyGi4KPqb6syv3f+swLpTrtZv4JwlPj/8Pv&#10;9korCER4nQlHQE6fAAAA//8DAFBLAQItABQABgAIAAAAIQDb4fbL7gAAAIUBAAATAAAAAAAAAAAA&#10;AAAAAAAAAABbQ29udGVudF9UeXBlc10ueG1sUEsBAi0AFAAGAAgAAAAhAFr0LFu/AAAAFQEAAAsA&#10;AAAAAAAAAAAAAAAAHwEAAF9yZWxzLy5yZWxzUEsBAi0AFAAGAAgAAAAhALa0YGzEAAAA3AAAAA8A&#10;AAAAAAAAAAAAAAAABwIAAGRycy9kb3ducmV2LnhtbFBLBQYAAAAAAwADALcAAAD4AgAAAAA=&#10;" strokecolor="black [3200]" strokeweight="1.5pt">
                  <v:stroke endarrow="block" joinstyle="miter"/>
                </v:shape>
                <w10:wrap type="topAndBottom"/>
              </v:group>
            </w:pict>
          </mc:Fallback>
        </mc:AlternateContent>
      </w:r>
    </w:p>
    <w:p w14:paraId="12D79898" w14:textId="4BC74FE6" w:rsidR="002F33D0" w:rsidRPr="002F33D0" w:rsidRDefault="004B60DD" w:rsidP="002F33D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FD618C">
        <w:rPr>
          <w:rFonts w:ascii="Times New Roman" w:hAnsi="Times New Roman" w:cs="Times New Roman"/>
          <w:sz w:val="28"/>
          <w:szCs w:val="28"/>
          <w:lang w:val="kk-KZ"/>
        </w:rPr>
        <w:t>5</w:t>
      </w:r>
      <w:r w:rsidR="002F33D0" w:rsidRPr="002F33D0">
        <w:rPr>
          <w:rFonts w:ascii="Times New Roman" w:hAnsi="Times New Roman" w:cs="Times New Roman"/>
          <w:sz w:val="28"/>
          <w:szCs w:val="28"/>
        </w:rPr>
        <w:t xml:space="preserve"> – Модель проектирования инновационного потенциала предпринимательских структур как механизма обеспечения </w:t>
      </w:r>
      <w:r w:rsidR="002F33D0" w:rsidRPr="002F33D0">
        <w:rPr>
          <w:rFonts w:ascii="Times New Roman" w:hAnsi="Times New Roman" w:cs="Times New Roman"/>
          <w:sz w:val="28"/>
          <w:szCs w:val="28"/>
          <w:lang w:val="kk-KZ"/>
        </w:rPr>
        <w:t xml:space="preserve">их </w:t>
      </w:r>
      <w:r w:rsidR="002F33D0" w:rsidRPr="002F33D0">
        <w:rPr>
          <w:rFonts w:ascii="Times New Roman" w:hAnsi="Times New Roman" w:cs="Times New Roman"/>
          <w:sz w:val="28"/>
          <w:szCs w:val="28"/>
        </w:rPr>
        <w:t>устойчивого развития</w:t>
      </w:r>
    </w:p>
    <w:p w14:paraId="7405B7A3" w14:textId="77777777" w:rsidR="002F33D0" w:rsidRPr="002F33D0" w:rsidRDefault="002F33D0" w:rsidP="002F33D0">
      <w:pPr>
        <w:spacing w:after="0" w:line="240" w:lineRule="auto"/>
        <w:jc w:val="both"/>
        <w:rPr>
          <w:rFonts w:ascii="Times New Roman" w:hAnsi="Times New Roman" w:cs="Times New Roman"/>
          <w:sz w:val="28"/>
          <w:szCs w:val="28"/>
        </w:rPr>
      </w:pPr>
    </w:p>
    <w:p w14:paraId="1A62DFCE" w14:textId="37B83576" w:rsidR="002F33D0" w:rsidRPr="002F33D0" w:rsidRDefault="002F33D0" w:rsidP="00FD618C">
      <w:pPr>
        <w:spacing w:after="0" w:line="240" w:lineRule="auto"/>
        <w:ind w:firstLine="567"/>
        <w:jc w:val="both"/>
        <w:rPr>
          <w:rFonts w:ascii="Times New Roman" w:hAnsi="Times New Roman" w:cs="Times New Roman"/>
          <w:sz w:val="24"/>
          <w:szCs w:val="28"/>
        </w:rPr>
      </w:pPr>
      <w:r w:rsidRPr="002F33D0">
        <w:rPr>
          <w:rFonts w:ascii="Times New Roman" w:hAnsi="Times New Roman" w:cs="Times New Roman"/>
          <w:sz w:val="24"/>
          <w:szCs w:val="28"/>
        </w:rPr>
        <w:t xml:space="preserve">Примечание – </w:t>
      </w:r>
      <w:r w:rsidR="000F3C80">
        <w:rPr>
          <w:rFonts w:ascii="Times New Roman" w:hAnsi="Times New Roman" w:cs="Times New Roman"/>
          <w:sz w:val="24"/>
          <w:szCs w:val="28"/>
          <w:lang w:val="kk-KZ"/>
        </w:rPr>
        <w:t>С</w:t>
      </w:r>
      <w:r w:rsidRPr="002F33D0">
        <w:rPr>
          <w:rFonts w:ascii="Times New Roman" w:hAnsi="Times New Roman" w:cs="Times New Roman"/>
          <w:sz w:val="24"/>
          <w:szCs w:val="28"/>
        </w:rPr>
        <w:t xml:space="preserve">оставлено автором на основе обобщения теоретических положений и результатов эмпирического анализа </w:t>
      </w:r>
    </w:p>
    <w:p w14:paraId="5E30916A" w14:textId="77777777" w:rsidR="002F33D0" w:rsidRPr="002F33D0" w:rsidRDefault="002F33D0" w:rsidP="002F33D0">
      <w:pPr>
        <w:spacing w:after="0" w:line="240" w:lineRule="auto"/>
        <w:jc w:val="both"/>
        <w:rPr>
          <w:rFonts w:ascii="Times New Roman" w:hAnsi="Times New Roman" w:cs="Times New Roman"/>
          <w:sz w:val="28"/>
          <w:szCs w:val="28"/>
        </w:rPr>
      </w:pPr>
    </w:p>
    <w:p w14:paraId="3898565F" w14:textId="776ED7BD"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rPr>
        <w:t>Представленная модель основана на интеграции внутренних ресурсов, цифровой адаптации и институциональной среды в единую систему, направленную на достижение устойчивого развития. В ее структуру включено четыре взаимосвязанных функциональных блока</w:t>
      </w:r>
      <w:r w:rsidRPr="002F33D0">
        <w:rPr>
          <w:rFonts w:ascii="Times New Roman" w:hAnsi="Times New Roman" w:cs="Times New Roman"/>
          <w:sz w:val="28"/>
          <w:szCs w:val="28"/>
          <w:lang w:val="kk-KZ"/>
        </w:rPr>
        <w:t>:</w:t>
      </w:r>
    </w:p>
    <w:p w14:paraId="47365B9E" w14:textId="77777777" w:rsidR="002F33D0" w:rsidRPr="002F33D0" w:rsidRDefault="002F33D0" w:rsidP="007F5E68">
      <w:pPr>
        <w:pStyle w:val="a3"/>
        <w:numPr>
          <w:ilvl w:val="0"/>
          <w:numId w:val="22"/>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Внутренние факторы. Формируют ядро инновационного потенциала и включают управленческо-инновационные ресурсы, технологическую базу, человеческий капитал и компетенции, а также инновационную культуру.</w:t>
      </w:r>
    </w:p>
    <w:p w14:paraId="0B65A5D3" w14:textId="77777777" w:rsidR="002F33D0" w:rsidRPr="002F33D0" w:rsidRDefault="002F33D0" w:rsidP="007F5E68">
      <w:pPr>
        <w:pStyle w:val="a3"/>
        <w:numPr>
          <w:ilvl w:val="0"/>
          <w:numId w:val="22"/>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lastRenderedPageBreak/>
        <w:t>Институциональная среда и государственная поддержка. Определяет внешние рамочные условия реализации потенциала, включая программы развития, нормативную среду, инфраструктуру партнёрств и доступ к финансированию. Эмпирический анализ доказал, что институциональные условия задают границы реализации внутренних возможностей.</w:t>
      </w:r>
    </w:p>
    <w:p w14:paraId="559758EE" w14:textId="77777777" w:rsidR="002F33D0" w:rsidRPr="002F33D0" w:rsidRDefault="002F33D0" w:rsidP="007F5E68">
      <w:pPr>
        <w:pStyle w:val="a3"/>
        <w:numPr>
          <w:ilvl w:val="0"/>
          <w:numId w:val="22"/>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Цифровая адаптация. Выступает сквозным фактором и медиатором, связывающим внутренние драйверы с инновационным потенциалом, а также компенсирующим дефицит ресурсов, особенно в малом и среднем бизнесе. Основные элементы включают цифровизацию процессов, интеграцию цифровых решений и уровень цифровой зрелости предприятия.</w:t>
      </w:r>
    </w:p>
    <w:p w14:paraId="2A3B9507" w14:textId="77777777" w:rsidR="002F33D0" w:rsidRPr="002F33D0" w:rsidRDefault="002F33D0" w:rsidP="007F5E68">
      <w:pPr>
        <w:pStyle w:val="a3"/>
        <w:numPr>
          <w:ilvl w:val="0"/>
          <w:numId w:val="22"/>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Инновационный потенциал. Представляет собой промежуточный результат функционирования системы, определяемый системной инновационной готовностью и взаимодействием ресурсов и процессов.</w:t>
      </w:r>
    </w:p>
    <w:p w14:paraId="4AD0FCF7" w14:textId="77777777"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Конечным стратегическим результатом является устойчивое развитие предпринимательских структур, достигаемое через экономическую, технологическую, социальную и экологическую устойчивость, а также через адаптивность и резилентность, формируемые в том числе благодаря компетенциям устойчивого мышления.</w:t>
      </w:r>
    </w:p>
    <w:p w14:paraId="4E857E40" w14:textId="77777777"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Интеграция внутренних ресурсов, цифровой адаптации и институциональной среды в рамках представленной модели формирует основу для выделения пяти стратегических приоритетов проектирования инновационного потенциала предпринимательских структур. На основании проведённого анализа можно выделить следующие приоритеты:</w:t>
      </w:r>
    </w:p>
    <w:p w14:paraId="72493404" w14:textId="77777777"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I. Формирование структурной устойчивости и долгосрочной конкурентоспособности;</w:t>
      </w:r>
    </w:p>
    <w:p w14:paraId="7D5D6454" w14:textId="77777777"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II. Обеспечение адаптивной устойчивости и цифровой зрелости;</w:t>
      </w:r>
    </w:p>
    <w:p w14:paraId="02DED37F" w14:textId="77777777"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III. Институционализация человеческого капитала как основы социально-экологической устойчивости;</w:t>
      </w:r>
    </w:p>
    <w:p w14:paraId="39644EAF" w14:textId="77777777"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IV. Снижение институциональных барьеров для обеспечения инклюзивного роста;</w:t>
      </w:r>
    </w:p>
    <w:p w14:paraId="582B551C" w14:textId="77777777"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V. Укрепление региональной и национальной экосистемной устойчивости.</w:t>
      </w:r>
    </w:p>
    <w:p w14:paraId="116CF33C" w14:textId="77777777" w:rsidR="002F33D0" w:rsidRPr="002F33D0" w:rsidRDefault="002F33D0" w:rsidP="002F33D0">
      <w:pPr>
        <w:tabs>
          <w:tab w:val="left" w:pos="851"/>
        </w:tabs>
        <w:spacing w:after="0" w:line="240" w:lineRule="auto"/>
        <w:ind w:firstLine="567"/>
        <w:jc w:val="both"/>
        <w:rPr>
          <w:rFonts w:ascii="Times New Roman" w:hAnsi="Times New Roman" w:cs="Times New Roman"/>
          <w:b/>
          <w:sz w:val="28"/>
          <w:szCs w:val="28"/>
        </w:rPr>
      </w:pPr>
      <w:r w:rsidRPr="002F33D0">
        <w:rPr>
          <w:rFonts w:ascii="Times New Roman" w:hAnsi="Times New Roman" w:cs="Times New Roman"/>
          <w:b/>
          <w:sz w:val="28"/>
          <w:szCs w:val="28"/>
        </w:rPr>
        <w:t>Приоритет I. Формирование структурной устойчивости и долгосрочной конкурентоспособности</w:t>
      </w:r>
    </w:p>
    <w:p w14:paraId="1BBBF308" w14:textId="21635137" w:rsidR="002F33D0" w:rsidRPr="002F33D0" w:rsidRDefault="009B04F6" w:rsidP="002F33D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Проделанное структурное моделирование (</w:t>
      </w:r>
      <w:r w:rsidRPr="002F33D0">
        <w:rPr>
          <w:rFonts w:ascii="Times New Roman" w:hAnsi="Times New Roman" w:cs="Times New Roman"/>
          <w:sz w:val="28"/>
          <w:szCs w:val="28"/>
        </w:rPr>
        <w:t>SEM</w:t>
      </w:r>
      <w:r>
        <w:rPr>
          <w:rFonts w:ascii="Times New Roman" w:hAnsi="Times New Roman" w:cs="Times New Roman"/>
          <w:sz w:val="28"/>
          <w:szCs w:val="28"/>
          <w:lang w:val="kk-KZ"/>
        </w:rPr>
        <w:t>)</w:t>
      </w:r>
      <w:r w:rsidR="002F33D0" w:rsidRPr="002F33D0">
        <w:rPr>
          <w:rFonts w:ascii="Times New Roman" w:hAnsi="Times New Roman" w:cs="Times New Roman"/>
          <w:sz w:val="28"/>
          <w:szCs w:val="28"/>
        </w:rPr>
        <w:t xml:space="preserve"> подтвердил</w:t>
      </w:r>
      <w:r>
        <w:rPr>
          <w:rFonts w:ascii="Times New Roman" w:hAnsi="Times New Roman" w:cs="Times New Roman"/>
          <w:sz w:val="28"/>
          <w:szCs w:val="28"/>
          <w:lang w:val="kk-KZ"/>
        </w:rPr>
        <w:t xml:space="preserve">о </w:t>
      </w:r>
      <w:r w:rsidRPr="002F33D0">
        <w:rPr>
          <w:rFonts w:ascii="Times New Roman" w:hAnsi="Times New Roman" w:cs="Times New Roman"/>
          <w:sz w:val="28"/>
          <w:szCs w:val="28"/>
        </w:rPr>
        <w:t>(глава 2)</w:t>
      </w:r>
      <w:r w:rsidR="002F33D0" w:rsidRPr="002F33D0">
        <w:rPr>
          <w:rFonts w:ascii="Times New Roman" w:hAnsi="Times New Roman" w:cs="Times New Roman"/>
          <w:sz w:val="28"/>
          <w:szCs w:val="28"/>
        </w:rPr>
        <w:t>, что наиболее значимым драйвером инновационного потенциала выступает управленческо-инновационный ресурс, отражающий способность предприятия стратегически организовывать и направлять инновационные процессы. Технологическая база усиливает данное влияние, обеспечивая материально-производственную и цифровую основу создания и внедрения инноваций. Совокупное воздействие этих факторов характеризуется устойчиво высокими значениями стандартизированных коэффициентов β (0,53</w:t>
      </w:r>
      <w:r w:rsidR="00E27253">
        <w:rPr>
          <w:rFonts w:ascii="Times New Roman" w:hAnsi="Times New Roman" w:cs="Times New Roman"/>
          <w:sz w:val="28"/>
          <w:szCs w:val="28"/>
          <w:lang w:val="kk-KZ"/>
        </w:rPr>
        <w:t>-</w:t>
      </w:r>
      <w:r w:rsidR="002F33D0" w:rsidRPr="002F33D0">
        <w:rPr>
          <w:rFonts w:ascii="Times New Roman" w:hAnsi="Times New Roman" w:cs="Times New Roman"/>
          <w:sz w:val="28"/>
          <w:szCs w:val="28"/>
        </w:rPr>
        <w:t>0,56) во всех размерных группах предприятий.</w:t>
      </w:r>
    </w:p>
    <w:p w14:paraId="14673028" w14:textId="451B2505"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lastRenderedPageBreak/>
        <w:t>Как показали резуль</w:t>
      </w:r>
      <w:r w:rsidR="009B04F6">
        <w:rPr>
          <w:rFonts w:ascii="Times New Roman" w:hAnsi="Times New Roman" w:cs="Times New Roman"/>
          <w:sz w:val="28"/>
          <w:szCs w:val="28"/>
        </w:rPr>
        <w:t>таты структурного моделирования</w:t>
      </w:r>
      <w:r w:rsidRPr="002F33D0">
        <w:rPr>
          <w:rFonts w:ascii="Times New Roman" w:hAnsi="Times New Roman" w:cs="Times New Roman"/>
          <w:sz w:val="28"/>
          <w:szCs w:val="28"/>
        </w:rPr>
        <w:t xml:space="preserve">, для всех групп предприятий характерна схожая структура влияния ресурсных факторов, однако интенсивность этого воздействия различается. У крупных предприятий наибольший вклад в формирование инновационного потенциала вносят управленческо-инновационные ресурсы (β = 0,561), тогда как у малых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технологическая база (β = 0,531), что отражает их зависимость от уровня технической оснащённости. Средние предприятия демонстрируют сбалансированное распределение факторов, занимая промежуточное положение между двумя крайними группами.</w:t>
      </w:r>
    </w:p>
    <w:p w14:paraId="55AF357D" w14:textId="2FC0AC2E"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Таким образом, развитие управленческих и технологических ресурсов, обладающих наибольшей силой влияния в рамках SEM-модели, формирует основу экономической устойчивости предпринимательских структур. Управленческая зрелость обеспечивает стабильность стратегических решений, а технологическая модернизация снижает операционные и рыночные риски, повышая способность предприятий к долгосрочному развитию и адаптации в условиях цифровизации</w:t>
      </w:r>
      <w:r w:rsidR="007C12CB">
        <w:rPr>
          <w:rFonts w:ascii="Times New Roman" w:hAnsi="Times New Roman" w:cs="Times New Roman"/>
          <w:sz w:val="28"/>
          <w:szCs w:val="28"/>
        </w:rPr>
        <w:t xml:space="preserve"> </w:t>
      </w:r>
      <w:r w:rsidR="007C12CB">
        <w:rPr>
          <w:rFonts w:ascii="Times New Roman" w:hAnsi="Times New Roman" w:cs="Times New Roman"/>
          <w:sz w:val="28"/>
          <w:szCs w:val="28"/>
        </w:rPr>
        <w:fldChar w:fldCharType="begin"/>
      </w:r>
      <w:r w:rsidR="00AE44BA">
        <w:rPr>
          <w:rFonts w:ascii="Times New Roman" w:hAnsi="Times New Roman" w:cs="Times New Roman"/>
          <w:sz w:val="28"/>
          <w:szCs w:val="28"/>
        </w:rPr>
        <w:instrText xml:space="preserve"> ADDIN ZOTERO_ITEM CSL_CITATION {"citationID":"ams3of4ji8","properties":{"formattedCitation":"[217\\uc0\\u8211{}220]","plainCitation":"[217–220]","noteIndex":0},"citationItems":[{"id":296,"uris":["http://zotero.org/users/16887523/items/5TNMU26F"],"itemData":{"id":296,"type":"article-journal","abstract":"Digital transformation in operations management has become an urgent need for companies to improve efficiency, productivity, and competitiveness in the face of an increasingly complex and competitive business environment. Digital technologies such as the Internet of Things (IoT), artificial intelligence (AI), robotics, and big data provide opportunities for companies to optimize various aspects of operations. This article aims to explore how digital transformation can be applied in operations management to support these goals. The research method used is a literature review, where various previous studies and industry reports are analyzed to identify the benefits, challenges, and impacts of digital technology implementation on business operations. The results show that the implementation of digital technology enables companies to speed up workflows, reduce costs, improve process accuracy, and prepare the foundation for continuous innovation. In the discussion, it is also explained that although there are challenges in terms of investment costs, training, and data security, companies that successfully overcome these barriers will gain a significant competitive advantage. The implications of these findings are the importance of continued investment in technology and human capital development, as well as the adoption of sustainability strategies to support long-term growth.","container-title":"Maneggio","DOI":"10.62872/89zxt284","ISSN":"3032-7652","issue":"5","journalAbbreviation":"Jurnal Nawala","license":"https://creativecommons.org/licenses/by-sa/4.0","page":"77-84","source":"DOI.org (Crossref)","title":"Digital Transformation in Operations Management: Leveraging Technology to Improve Business Efficiency","title-short":"Digital Transformation in Operations Management","URL":"https://nawalaeducation.com/index.php/MJ/article/view/774","volume":"1","author":[{"family":"Nazara","given":"Desman Serius"},{"family":"Sutrisno","given":"Agung"},{"literal":"Nersiwad"},{"family":"Muslimin","given":"Mohammad"}],"accessed":{"date-parts":[["2025",11,30]]},"issued":{"date-parts":[["2024",10,31]]}}},{"id":297,"uris":["http://zotero.org/users/16887523/items/SNQXMXCV"],"itemData":{"id":297,"type":"article-journal","container-title":"Humanities and Social Sciences Communications","DOI":"10.1057/s41599-025-04628-y","ISSN":"2662-9992","issue":"1","journalAbbreviation":"Humanit Soc Sci Commun","language":"en","page":"317","source":"DOI.org (Crossref)","title":"The risk effects of corporate digitalization: exacerbate or mitigate?","title-short":"The risk effects of corporate digitalization","URL":"https://www.nature.com/articles/s41599-025-04628-y","volume":"12","author":[{"family":"Jiang","given":"Kangqi"},{"family":"Chen","given":"Lulu"},{"family":"Li","given":"Jiayun"},{"family":"Du","given":"Xinyi"}],"accessed":{"date-parts":[["2025",11,30]]},"issued":{"date-parts":[["2025",3,5]]}}},{"id":299,"uris":["http://zotero.org/users/16887523/items/S496GQP3"],"itemData":{"id":299,"type":"article-journal","abstract":"In the rapidly evolving global business landscape, servitization and digitalization have emerged as key strategies for enhancing firm competitiveness and performance. This study examines their impact, along with the moderating role of government support, in the Indonesian shipping industry. Drawing on the resource-based view (RBV), servitization and digitalization are conceptualized as internal drivers of performance, while Resource Dependence Theory (RDT) positions government support as an external factor that reduces environmental uncertainty and strengthens these relationships. Using data from 345 shipping companies, analyzed through Partial Least Squares Structural Equation Modeling (PLS-SEM), the results show that both servitization and digitalization positively affect competitiveness and performance. Furthermore, government support significantly enhances these effects by providing resources such as infrastructure and financial incentives, facilitating the adoption of digital strategies and service-based models. Beyond firm outcomes, these transformations align with broader sustainability objectives by improving resource efficiency, reducing waste and delays, and potentially lowering the environmental footprint of logistics activities. This study advances theoretical understanding by demonstrating the central role of external resources—particularly government support—in enabling successful digital and service transformations. For policymakers, the findings emphasize the need for targeted incentives and infrastructure to accelerate industry-specific innovation and sustainability goals. For practitioners, they highlight the importance of aligning strategic initiatives with government policies to maximize the benefits of servitization and digitalization.","container-title":"Sustainability","DOI":"10.3390/su17198756","ISSN":"2071-1050","issue":"19","journalAbbreviation":"Sustainability","language":"en","page":"8756","source":"DOI.org (Crossref)","title":"Exploring the Impact of Servitization and Digitalization on Firm Competitiveness and Performance: The Moderating Role of Government Support","title-short":"Exploring the Impact of Servitization and Digitalization on Firm Competitiveness and Performance","URL":"https://www.mdpi.com/2071-1050/17/19/8756","volume":"17","author":[{"family":"Ginting","given":"Hendri"},{"family":"Utami","given":"Hamidah Nayati"},{"family":"Riyadi","given":"Riyadi"},{"family":"Hutahayan","given":"Benny"}],"accessed":{"date-parts":[["2025",11,30]]},"issued":{"date-parts":[["2025",9,29]]}}},{"id":300,"uris":["http://zotero.org/users/16887523/items/BDHGPQE4"],"itemData":{"id":300,"type":"article-journal","container-title":"International Journal of Information Management","DOI":"10.1016/j.ijinfomgt.2021.102466","ISSN":"02684012","journalAbbreviation":"International Journal of Information Management","language":"en","page":"102466","source":"DOI.org (Crossref)","title":"Digital transformation in business and management research: An overview of the current status quo","title-short":"Digital transformation in business and management research","URL":"https://linkinghub.elsevier.com/retrieve/pii/S0268401221001596","volume":"63","author":[{"family":"Kraus","given":"Sascha"},{"family":"Durst","given":"Susanne"},{"family":"Ferreira","given":"João J."},{"family":"Veiga","given":"Pedro"},{"family":"Kailer","given":"Norbert"},{"family":"Weinmann","given":"Alexandra"}],"accessed":{"date-parts":[["2025",11,30]]},"issued":{"date-parts":[["2022",4]]}}}],"schema":"https://github.com/citation-style-language/schema/raw/master/csl-citation.json"} </w:instrText>
      </w:r>
      <w:r w:rsidR="007C12CB">
        <w:rPr>
          <w:rFonts w:ascii="Times New Roman" w:hAnsi="Times New Roman" w:cs="Times New Roman"/>
          <w:sz w:val="28"/>
          <w:szCs w:val="28"/>
        </w:rPr>
        <w:fldChar w:fldCharType="separate"/>
      </w:r>
      <w:r w:rsidR="00AE44BA" w:rsidRPr="00AE44BA">
        <w:rPr>
          <w:rFonts w:ascii="Times New Roman" w:hAnsi="Times New Roman" w:cs="Times New Roman"/>
          <w:sz w:val="28"/>
          <w:szCs w:val="24"/>
        </w:rPr>
        <w:t>[217–220]</w:t>
      </w:r>
      <w:r w:rsidR="007C12CB">
        <w:rPr>
          <w:rFonts w:ascii="Times New Roman" w:hAnsi="Times New Roman" w:cs="Times New Roman"/>
          <w:sz w:val="28"/>
          <w:szCs w:val="28"/>
        </w:rPr>
        <w:fldChar w:fldCharType="end"/>
      </w:r>
      <w:r w:rsidRPr="002F33D0">
        <w:rPr>
          <w:rFonts w:ascii="Times New Roman" w:hAnsi="Times New Roman" w:cs="Times New Roman"/>
          <w:sz w:val="28"/>
          <w:szCs w:val="28"/>
        </w:rPr>
        <w:t>. Первый приоритет отражает не только усиление инновационного потенциала, но и укрепление структурной устойчивости бизнеса.</w:t>
      </w:r>
    </w:p>
    <w:p w14:paraId="3DA3D6C6" w14:textId="77777777" w:rsidR="002F33D0" w:rsidRPr="002F33D0" w:rsidRDefault="002F33D0" w:rsidP="002F33D0">
      <w:pPr>
        <w:spacing w:after="0" w:line="240" w:lineRule="auto"/>
        <w:ind w:firstLine="567"/>
        <w:jc w:val="both"/>
        <w:rPr>
          <w:rFonts w:ascii="Times New Roman" w:hAnsi="Times New Roman" w:cs="Times New Roman"/>
          <w:b/>
          <w:sz w:val="28"/>
          <w:szCs w:val="28"/>
        </w:rPr>
      </w:pPr>
      <w:r w:rsidRPr="002F33D0">
        <w:rPr>
          <w:rFonts w:ascii="Times New Roman" w:hAnsi="Times New Roman" w:cs="Times New Roman"/>
          <w:b/>
          <w:sz w:val="28"/>
          <w:szCs w:val="28"/>
        </w:rPr>
        <w:t>Приоритет II. Обеспечение адаптивной устойчивости и цифровой зрелости</w:t>
      </w:r>
    </w:p>
    <w:p w14:paraId="51734604" w14:textId="44746236"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Анализ структурной модели показал, что цифровизация выполняет роль связующего звена между внутренними драйверами развития и инновационным потенциалом. Включение в модель медиатора </w:t>
      </w:r>
      <w:r w:rsidR="009B04F6">
        <w:rPr>
          <w:rFonts w:ascii="Times New Roman" w:hAnsi="Times New Roman" w:cs="Times New Roman"/>
          <w:sz w:val="28"/>
          <w:szCs w:val="28"/>
          <w:lang w:val="kk-KZ"/>
        </w:rPr>
        <w:t xml:space="preserve">индекса цифровой зрелости </w:t>
      </w:r>
      <w:r w:rsidRPr="002F33D0">
        <w:rPr>
          <w:rFonts w:ascii="Times New Roman" w:hAnsi="Times New Roman" w:cs="Times New Roman"/>
          <w:sz w:val="28"/>
          <w:szCs w:val="28"/>
        </w:rPr>
        <w:t xml:space="preserve">позволило выявить как прямые, так и косвенные эффекты цифровой адаптации. Наиболее выраженное влияние фиксируется в группе малых предприятий, где цифровая адаптация оказывает статистически значимый эффект на инновационный потенциал (β = 0,203, </w:t>
      </w:r>
      <w:r w:rsidR="007C0834" w:rsidRPr="002F33D0">
        <w:rPr>
          <w:rFonts w:ascii="Times New Roman" w:hAnsi="Times New Roman" w:cs="Times New Roman"/>
          <w:sz w:val="28"/>
          <w:szCs w:val="28"/>
        </w:rPr>
        <w:t>p &lt;</w:t>
      </w:r>
      <w:r w:rsidR="009B04F6" w:rsidRPr="002F33D0">
        <w:rPr>
          <w:rFonts w:ascii="Times New Roman" w:hAnsi="Times New Roman" w:cs="Times New Roman"/>
          <w:sz w:val="28"/>
          <w:szCs w:val="28"/>
        </w:rPr>
        <w:t>0</w:t>
      </w:r>
      <w:r w:rsidRPr="002F33D0">
        <w:rPr>
          <w:rFonts w:ascii="Times New Roman" w:hAnsi="Times New Roman" w:cs="Times New Roman"/>
          <w:sz w:val="28"/>
          <w:szCs w:val="28"/>
        </w:rPr>
        <w:t>,05), тогда как для крупных и средних организаций медиаторный эффект проявляется слабее.</w:t>
      </w:r>
    </w:p>
    <w:p w14:paraId="4E51EA5C" w14:textId="30440FCE" w:rsidR="002F33D0" w:rsidRPr="002F33D0" w:rsidRDefault="007C0834"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Ц</w:t>
      </w:r>
      <w:r w:rsidR="002F33D0" w:rsidRPr="002F33D0">
        <w:rPr>
          <w:rFonts w:ascii="Times New Roman" w:hAnsi="Times New Roman" w:cs="Times New Roman"/>
          <w:sz w:val="28"/>
          <w:szCs w:val="28"/>
        </w:rPr>
        <w:t>ифровизация усиливает воздействие внутренних драйверов на инновационный потенциал, особенно в малом бизнесе, где цифровая среда частично компенсирует дефицит ресурсов, организационных возможностей и компетенций. Это подтверждает, что цифровая адаптация становится критически важным условием повышения инновационной активности предприятий с ограниченной ресурсной базой.</w:t>
      </w:r>
    </w:p>
    <w:p w14:paraId="37989C45" w14:textId="19C4BC99"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Таким образом, медиаторная роль цифровой адаптации, выявленная во всех размерных группах предприятий, свидетельствует о том, что цифровизация является ключевым фактором адаптивной устойчивости. Для малых предприятий цифровая среда выступает компенсатором ресурсных ограничений; для средних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механизмом повышения гибкости и скорости внутренних процессов; для крупных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инструментом поддержания эффективности и оптимизации масштабируемых систем. Включение цифровой адаптации в приоритеты проектирования обеспечивает повышение резилентности предпринимательских структур, то есть их способности </w:t>
      </w:r>
      <w:r w:rsidRPr="002F33D0">
        <w:rPr>
          <w:rFonts w:ascii="Times New Roman" w:hAnsi="Times New Roman" w:cs="Times New Roman"/>
          <w:sz w:val="28"/>
          <w:szCs w:val="28"/>
        </w:rPr>
        <w:lastRenderedPageBreak/>
        <w:t>сохранять стабильность и функциональность в условиях внешних технологических и рыночных изменений.</w:t>
      </w:r>
    </w:p>
    <w:p w14:paraId="74AFDC87" w14:textId="77777777" w:rsidR="002F33D0" w:rsidRPr="002F33D0" w:rsidRDefault="002F33D0" w:rsidP="002F33D0">
      <w:pPr>
        <w:spacing w:after="0" w:line="240" w:lineRule="auto"/>
        <w:ind w:firstLine="567"/>
        <w:jc w:val="both"/>
        <w:rPr>
          <w:rFonts w:ascii="Times New Roman" w:hAnsi="Times New Roman" w:cs="Times New Roman"/>
          <w:b/>
          <w:sz w:val="28"/>
          <w:szCs w:val="28"/>
        </w:rPr>
      </w:pPr>
      <w:r w:rsidRPr="002F33D0">
        <w:rPr>
          <w:rFonts w:ascii="Times New Roman" w:hAnsi="Times New Roman" w:cs="Times New Roman"/>
          <w:b/>
          <w:sz w:val="28"/>
          <w:szCs w:val="28"/>
        </w:rPr>
        <w:t>Приоритет III. Институционализация человеческого капитала как основы социально-экологической устойчивости</w:t>
      </w:r>
    </w:p>
    <w:p w14:paraId="19AC229A" w14:textId="77777777"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Регрессионные модели по размерам предприятий выявили устойчивую зависимость инновационного потенциала от уровня развития soft- и hard-компетенций работников. Во всех трёх моделях индивидуальные компетенции продемонстрировали статистически значимое влияние, тогда как HR-практики не проявили существенного эффекта. Это свидетельствует о недостаточной институционализации управления человеческим капиталом и доминировании индивидуальных навыков над формализованными кадровыми механизмами.</w:t>
      </w:r>
    </w:p>
    <w:p w14:paraId="7BB835A6" w14:textId="226D3A21"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Анализ, проведённый во второй главе, подтвердил, что человеческий капитал является ключевым внутренним источником инновационного развития. Однако для обеспечения его системного влияния требуется переход от разрозненных индивидуальных компетенций к институционализированной системе</w:t>
      </w:r>
      <w:r w:rsidR="007C0834">
        <w:rPr>
          <w:rFonts w:ascii="Times New Roman" w:hAnsi="Times New Roman" w:cs="Times New Roman"/>
          <w:sz w:val="28"/>
          <w:szCs w:val="28"/>
        </w:rPr>
        <w:t xml:space="preserve"> </w:t>
      </w:r>
      <w:r w:rsidR="007C0834">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{"citationID":"avtspgkhq4","properties":{"formattedCitation":"[221]","plainCitation":"[221]","noteIndex":0},"citationItems":[{"id":284,"uris":["http://zotero.org/users/16887523/items/L2W8QRHX"],"itemData":{"id":284,"type":"article-journal","container-title":"Finance Research Letters","DOI":"10.1016/j.frl.2024.105628","ISSN":"15446123","journalAbbreviation":"Finance Research Letters","language":"en","page":"105628","source":"DOI.org (Crossref)","title":"Human capital upgrading and enterprise innovation efficiency","URL":"https://linkinghub.elsevier.com/retrieve/pii/S1544612324006585","volume":"65","author":[{"family":"Cui","given":"Zhuqing"},{"family":"Diwu","given":"Simin"}],"accessed":{"date-parts":[["2025",11,29]]},"issued":{"date-parts":[["2024",7]]}}}],"schema":"https://github.com/citation-style-language/schema/raw/master/csl-citation.json"} </w:instrText>
      </w:r>
      <w:r w:rsidR="007C0834">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[221]</w:t>
      </w:r>
      <w:r w:rsidR="007C0834">
        <w:rPr>
          <w:rFonts w:ascii="Times New Roman" w:hAnsi="Times New Roman" w:cs="Times New Roman"/>
          <w:sz w:val="28"/>
          <w:szCs w:val="28"/>
          <w:lang w:val="kk-KZ"/>
        </w:rPr>
        <w:fldChar w:fldCharType="end"/>
      </w:r>
      <w:r w:rsidRPr="002F33D0">
        <w:rPr>
          <w:rFonts w:ascii="Times New Roman" w:hAnsi="Times New Roman" w:cs="Times New Roman"/>
          <w:sz w:val="28"/>
          <w:szCs w:val="28"/>
        </w:rPr>
        <w:t>, основанной на формализованных практиках оценки, обучения, развития и мотивации персонала. Только в этом случае человеческий капитал превращается из набора индивидуальных качеств в коллективную организационную способность</w:t>
      </w:r>
      <w:r w:rsidR="009B04F6">
        <w:rPr>
          <w:rFonts w:ascii="Times New Roman" w:hAnsi="Times New Roman" w:cs="Times New Roman"/>
          <w:sz w:val="28"/>
          <w:szCs w:val="28"/>
          <w:lang w:val="kk-KZ"/>
        </w:rPr>
        <w:t xml:space="preserve"> </w:t>
      </w:r>
      <w:r w:rsidR="009B04F6">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{"citationID":"a1s34gq1279","properties":{"formattedCitation":"[222]","plainCitation":"[222]","noteIndex":0},"citationItems":[{"id":285,"uris":["http://zotero.org/users/16887523/items/4ECXI8ZR"],"itemData":{"id":285,"type":"article-journal","abstract":"The research examines the mediating role of dynamic capabilities in the effect of human capital on innovation capability. The research was conducted with white-collar employees in a logistics company based in Istanbul. A simple random sampling technique was used to determine the sample. The research sample is 238 employees working in the same company for at least three years. Mediation models were used to analyse the data. The data analysis determined that employee capital significantly increases the company's dynamic and innovation capabilities. In addition, the company's dynamic capabilities mediate in forming the innovation capability of employee capital. The hypotheses created within the scope of the research were supported. Human capital companies' dynamic capabilities effectively form the company's dynamic capabilities and subsequently obtain innovation capabilities. The research contributes to the literature by associating employee capital, innovation capability, and dynamic capabilities in the logistics sector.","container-title":"Karamanoğlu Mehmetbey Üniversitesi Sosyal Ve Ekonomik Araştırmalar Dergisi","DOI":"10.18493/kmusekad.1463662","ISSN":"2147-7833","issue":"47","page":"961-977","source":"DOI.org (Crossref)","title":"LINKING HUMAN CAPITAL TO INNOVATION CAPABILITY: A DYNAMIC CAPABILITIES PERSPECTIVE","title-short":"LINKING HUMAN CAPITAL TO INNOVATION CAPABILITY","URL":"http://dergipark.org.tr/en/doi/10.18493/kmusekad.1463662","volume":"26","author":[{"family":"Tatlı","given":"Hasan Sadık"}],"accessed":{"date-parts":[["2025",11,29]]},"issued":{"date-parts":[["2024",12,31]]}}}],"schema":"https://github.com/citation-style-language/schema/raw/master/csl-citation.json"} </w:instrText>
      </w:r>
      <w:r w:rsidR="009B04F6">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[222]</w:t>
      </w:r>
      <w:r w:rsidR="009B04F6">
        <w:rPr>
          <w:rFonts w:ascii="Times New Roman" w:hAnsi="Times New Roman" w:cs="Times New Roman"/>
          <w:sz w:val="28"/>
          <w:szCs w:val="28"/>
          <w:lang w:val="kk-KZ"/>
        </w:rPr>
        <w:fldChar w:fldCharType="end"/>
      </w:r>
      <w:r w:rsidRPr="002F33D0">
        <w:rPr>
          <w:rFonts w:ascii="Times New Roman" w:hAnsi="Times New Roman" w:cs="Times New Roman"/>
          <w:sz w:val="28"/>
          <w:szCs w:val="28"/>
        </w:rPr>
        <w:t>.</w:t>
      </w:r>
    </w:p>
    <w:p w14:paraId="64EF1AFC" w14:textId="77777777"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Особое значение имеет компетенция «устойчивое мышление», влияние которой доказано регрессионными моделями (β = 0,287 для крупных и β = 0,182 для малых предприятий). Это указывает на прямую связь кадрового блока с задачами устойчивого развития. Формирование системы компетенций, включающей ориентацию на экологическую безопасность, социальную ответственность и технологическую этичность, расширяет рамки проектирования инновационного потенциала и делает человеческий капитал базовым элементом социально-экологической устойчивости предпринимательских структур.</w:t>
      </w:r>
    </w:p>
    <w:p w14:paraId="43EB3526" w14:textId="77777777"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Таким образом, институционализация человеческого капитала становится самостоятельным направлением проектирования инновационного потенциала, обеспечивающим трансформацию индивидуальных компетенций в устойчивые организационные способности, необходимые для долгосрочного развития предприятий в условиях цифровой трансформации.</w:t>
      </w:r>
    </w:p>
    <w:p w14:paraId="3162D975" w14:textId="42F936EC"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Перечисленные внутренние приоритеты проектирования отражают комплексное воздействие управленческих, технологических, цифровых и кадровых факторов на формирование инновационного потенциала. Однако эффективность их реализации определяется характером внешней институциональной среды</w:t>
      </w:r>
      <w:r w:rsidR="004A35E7">
        <w:rPr>
          <w:rFonts w:ascii="Times New Roman" w:hAnsi="Times New Roman" w:cs="Times New Roman"/>
          <w:sz w:val="28"/>
          <w:szCs w:val="28"/>
          <w:lang w:val="kk-KZ"/>
        </w:rPr>
        <w:t xml:space="preserve"> </w:t>
      </w:r>
      <w:r w:rsidR="004A35E7">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{"citationID":"ae3l6lghh6","properties":{"formattedCitation":"[223]","plainCitation":"[223]","noteIndex":0},"citationItems":[{"id":288,"uris":["http://zotero.org/users/16887523/items/YS4GIHLN"],"itemData":{"id":288,"type":"article-journal","container-title":"Quality &amp; Quantity","DOI":"10.1007/s11135-022-01381-1","ISSN":"0033-5177, 1573-7845","issue":"1","journalAbbreviation":"Qual Quant","language":"en","page":"615-643","source":"DOI.org (Crossref)","title":"Regional institutional quality and firm-level innovation: a case of selected south asian economies","title-short":"Regional institutional quality and firm-level innovation","URL":"https://link.springer.com/10.1007/s11135-022-01381-1","volume":"57","author":[{"family":"Younas","given":"Muhammad Zeeshan"}],"accessed":{"date-parts":[["2025",11,29]]},"issued":{"date-parts":[["2023",2]]}}}],"schema":"https://github.com/citation-style-language/schema/raw/master/csl-citation.json"} </w:instrText>
      </w:r>
      <w:r w:rsidR="004A35E7">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[223]</w:t>
      </w:r>
      <w:r w:rsidR="004A35E7">
        <w:rPr>
          <w:rFonts w:ascii="Times New Roman" w:hAnsi="Times New Roman" w:cs="Times New Roman"/>
          <w:sz w:val="28"/>
          <w:szCs w:val="28"/>
          <w:lang w:val="kk-KZ"/>
        </w:rPr>
        <w:fldChar w:fldCharType="end"/>
      </w:r>
      <w:r w:rsidRPr="002F33D0">
        <w:rPr>
          <w:rFonts w:ascii="Times New Roman" w:hAnsi="Times New Roman" w:cs="Times New Roman"/>
          <w:sz w:val="28"/>
          <w:szCs w:val="28"/>
        </w:rPr>
        <w:t>. Государственная поддержка, уровень нормативной предсказуемости, инфраструктура инноваций и барьеры доступа формируют условия, в которых внутренний потенциал либо реализуется, либо блокируется. Поэтому следующие два приоритета относятся к институциональному уровню проектирования</w:t>
      </w:r>
      <w:r w:rsidR="004A35E7">
        <w:rPr>
          <w:rFonts w:ascii="Times New Roman" w:hAnsi="Times New Roman" w:cs="Times New Roman"/>
          <w:sz w:val="28"/>
          <w:szCs w:val="28"/>
          <w:lang w:val="kk-KZ"/>
        </w:rPr>
        <w:t xml:space="preserve"> </w:t>
      </w:r>
      <w:r w:rsidR="004A35E7">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{"citationID":"aikas47hu4","properties":{"formattedCitation":"[223]","plainCitation":"[223]","noteIndex":0},"citationItems":[{"id":288,"uris":["http://zotero.org/users/16887523/items/YS4GIHLN"],"itemData":{"id":288,"type":"article-journal","container-title":"Quality &amp; Quantity","DOI":"10.1007/s11135-022-01381-1","ISSN":"0033-5177, 1573-7845","issue":"1","journalAbbreviation":"Qual Quant","language":"en","page":"615-643","source":"DOI.org (Crossref)","title":"Regional institutional quality and firm-level innovation: a case of selected south asian economies","title-short":"Regional institutional quality and firm-level innovation","URL":"https://link.springer.com/10.1007/s11135-022-01381-1","volume":"57","author":[{"family":"Younas","given":"Muhammad Zeeshan"}],"accessed":{"date-parts":[["2025",11,29]]},"issued":{"date-parts":[["2023",2]]}}}],"schema":"https://github.com/citation-style-language/schema/raw/master/csl-citation.json"} </w:instrText>
      </w:r>
      <w:r w:rsidR="004A35E7">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[223]</w:t>
      </w:r>
      <w:r w:rsidR="004A35E7">
        <w:rPr>
          <w:rFonts w:ascii="Times New Roman" w:hAnsi="Times New Roman" w:cs="Times New Roman"/>
          <w:sz w:val="28"/>
          <w:szCs w:val="28"/>
          <w:lang w:val="kk-KZ"/>
        </w:rPr>
        <w:fldChar w:fldCharType="end"/>
      </w:r>
      <w:r w:rsidRPr="002F33D0">
        <w:rPr>
          <w:rFonts w:ascii="Times New Roman" w:hAnsi="Times New Roman" w:cs="Times New Roman"/>
          <w:sz w:val="28"/>
          <w:szCs w:val="28"/>
        </w:rPr>
        <w:t>.</w:t>
      </w:r>
    </w:p>
    <w:p w14:paraId="383D3180" w14:textId="77777777" w:rsidR="002F33D0" w:rsidRPr="002F33D0" w:rsidRDefault="002F33D0" w:rsidP="002F33D0">
      <w:pPr>
        <w:spacing w:after="0" w:line="240" w:lineRule="auto"/>
        <w:ind w:firstLine="567"/>
        <w:jc w:val="both"/>
        <w:rPr>
          <w:rFonts w:ascii="Times New Roman" w:hAnsi="Times New Roman" w:cs="Times New Roman"/>
          <w:b/>
          <w:sz w:val="28"/>
          <w:szCs w:val="28"/>
        </w:rPr>
      </w:pPr>
      <w:r w:rsidRPr="002F33D0">
        <w:rPr>
          <w:rFonts w:ascii="Times New Roman" w:hAnsi="Times New Roman" w:cs="Times New Roman"/>
          <w:b/>
          <w:sz w:val="28"/>
          <w:szCs w:val="28"/>
        </w:rPr>
        <w:t>Приоритет IV. Снижение институциональных барьеров для обеспечения инклюзивного роста</w:t>
      </w:r>
    </w:p>
    <w:p w14:paraId="1EA0C6BB" w14:textId="6F795C56" w:rsidR="002F33D0" w:rsidRPr="002F33D0" w:rsidRDefault="002F33D0" w:rsidP="002F33D0">
      <w:pPr>
        <w:tabs>
          <w:tab w:val="left" w:pos="812"/>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lastRenderedPageBreak/>
        <w:t>Эмпирические результаты анализа подтвердили наличие существенных различий в доступе к программам государственной поддержки между крупными, средними и малыми предприятиями. Доля вовлечённ</w:t>
      </w:r>
      <w:r w:rsidR="004A35E7">
        <w:rPr>
          <w:rFonts w:ascii="Times New Roman" w:hAnsi="Times New Roman" w:cs="Times New Roman"/>
          <w:sz w:val="28"/>
          <w:szCs w:val="28"/>
        </w:rPr>
        <w:t>ых компаний составила лишь 24,2</w:t>
      </w:r>
      <w:r w:rsidRPr="002F33D0">
        <w:rPr>
          <w:rFonts w:ascii="Times New Roman" w:hAnsi="Times New Roman" w:cs="Times New Roman"/>
          <w:sz w:val="28"/>
          <w:szCs w:val="28"/>
        </w:rPr>
        <w:t>% от общей выборки, при этом наблюдается статистически значимая зависимость: чем меньше предприятие, тем ниже вероятность участия в программах стимулирования инноваций.</w:t>
      </w:r>
    </w:p>
    <w:p w14:paraId="18F4B580" w14:textId="6952CC47" w:rsidR="002F33D0" w:rsidRPr="002F33D0" w:rsidRDefault="002F33D0" w:rsidP="002F33D0">
      <w:pPr>
        <w:tabs>
          <w:tab w:val="left" w:pos="812"/>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Логистическая модель показала, что размер предприятия является единственным значимым предиктором вероятности участия в государственной поддержке (Exp(B) = 0,363; p = 0,004), тогда как индекс информированности и мотивации не продемонстрировали статистически значимого влияния. Наибольшую вовлечённость обеспечивают крупные предприятия благодаря развитым административным структурам и специализированным подразделениям. Малые предприятия, напротив, сталкиваются с институциональными барьерами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низкой информированностью, высокими трансакционными издержками и сложностью процедур.</w:t>
      </w:r>
    </w:p>
    <w:p w14:paraId="7EE3A080" w14:textId="22624AAF" w:rsidR="002F33D0" w:rsidRPr="002F33D0" w:rsidRDefault="002F33D0" w:rsidP="002F33D0">
      <w:pPr>
        <w:tabs>
          <w:tab w:val="left" w:pos="812"/>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Полученные результаты позволяют заключить, что институциональное неравенство ограничивает доступ малого и среднего бизнеса к ресурсам развития и снижает их инновационную активность. Поэтому ключевой задачей проектирования является снижение административных и нормативных барьеров, обеспечивающих инклюзивность инновационной политики</w:t>
      </w:r>
      <w:r w:rsidR="007C0834">
        <w:rPr>
          <w:rFonts w:ascii="Times New Roman" w:hAnsi="Times New Roman" w:cs="Times New Roman"/>
          <w:sz w:val="28"/>
          <w:szCs w:val="28"/>
        </w:rPr>
        <w:t xml:space="preserve"> </w:t>
      </w:r>
      <w:r w:rsidR="007C0834">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{"citationID":"au655dsjjm","properties":{"formattedCitation":"[224,225]","plainCitation":"[224,225]","noteIndex":0},"citationItems":[{"id":289,"uris":["http://zotero.org/users/16887523/items/7BTHDFHJ"],"itemData":{"id":289,"type":"article-journal","abstract":"This paper aims to show the role of institutional factors in the growth of Small and Medium Enterprises (SMEs). SMEs are a vital segment of the world economy that contributes to employment growth and economic growth. According to research, prosperous SMEs frequently make strategic use of both formal and informal institutions, operating in compliance with the law and utilizing social networks and local expertise. Designing policies that promote the expansion of SMEs sustainably and increase their economic resilience requires an understanding of the influence of formal and informal institutions. The growth of SMEs of 86 firms for a total of 11 years was taken as a dependent variable. While formal (Tax Rate, Tax Administration, Doing Business, Customs Barriers) and informal (Corruption, Political Instability, and Judicial Obstacles) were taken as independent variables. The total number of observations is 946. As an econometric model, it is a panel data linear regression model. In conclusion, the statistically significant variables are; tax rate, tax administration, customs barriers, and corruption, while the variables that were not significant. Tax Rate, Tax Administration, and Corruption have positive impact on SME firm growth, while Custom Barriers have negative impact on SME firm growth.","container-title":"Multidisciplinary Science Journal","DOI":"10.31893/multiscience.2025249","ISSN":"2675-1240, 2675-1240","issue":"5","journalAbbreviation":"Multidiscip. Sci. J.","page":"2025249","source":"DOI.org (Crossref)","title":"The role of institutional factors on SME firm growth","URL":"https://malque.pub/ojs/index.php/msj/article/view/5828","volume":"7","author":[{"family":"Lushaku-Elshani","given":"Fëllënza"}],"accessed":{"date-parts":[["2025",11,29]]},"issued":{"date-parts":[["2024",11,2]]}}},{"id":290,"uris":["http://zotero.org/users/16887523/items/QLY2GDN9"],"itemData":{"id":290,"type":"article-journal","abstract":"The external institutional environment is the foundation for the survival and development of enterprises. Enterprises can only obtain legitimate and heterogeneous resources through continuous strategic reform and institutional innovation to match their internal strategies with the external environment. The paper selected the manufacturing enterprises that implemented service-oriented transformation strategies in China from 2016–2019 as a sample based on the realistic background of frequent institutional changes and overlapping market changes during China’s economic transformation. The impact of different aspects of the institutional environment on service-oriented transformation and the moderating role of technological innovation capacity were examined empirically. The results showed that (1) improved government governance greatly facilitates the service-oriented transformation of manufacturing enterprises, which was more pronounced within the industry. The regulated development of the market facilitated service-oriented transformation within the industry in the short term, while the impact on cross-border transformation lagged. The improvement of the legalized business environment was conducive to the transformation of enterprises and promoted intra-industry transformation significantly more than cross-industry transformation. (2) Technological innovation capability strengthened the influence of institutional environment on intra-industry transformation, but had no significant impact on the relationship between institutional environment and cross-border transformation. (3) The moderating effect of technological innovation capability was markedly heterogeneous in terms of property rights and regional heterogeneity. The findings of this study provide an important reference for policy makers to break through the current institutional barriers to transformation and upgrading of the manufacturing industry, and to reshape and optimize the institutional environment for the integration and development of the secondary and tertiary industries.","container-title":"PLOS ONE","DOI":"10.1371/journal.pone.0281403","ISSN":"1932-6203","issue":"2","journalAbbreviation":"PLoS ONE","language":"en","page":"e0281403","source":"DOI.org (Crossref)","title":"Institutional environment, technological innovation capability and service-oriented transformation","URL":"https://dx.plos.org/10.1371/journal.pone.0281403","volume":"18","author":[{"family":"Su","given":"Xin"},{"family":"Mou","given":"Chunlan"},{"family":"Zhou","given":"Shengshi"}],"editor":[{"family":"Cheng","given":"Jing"}],"accessed":{"date-parts":[["2025",11,29]]},"issued":{"date-parts":[["2023",2,7]]}}}],"schema":"https://github.com/citation-style-language/schema/raw/master/csl-citation.json"} </w:instrText>
      </w:r>
      <w:r w:rsidR="007C0834">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[224,225]</w:t>
      </w:r>
      <w:r w:rsidR="007C0834">
        <w:rPr>
          <w:rFonts w:ascii="Times New Roman" w:hAnsi="Times New Roman" w:cs="Times New Roman"/>
          <w:sz w:val="28"/>
          <w:szCs w:val="28"/>
          <w:lang w:val="kk-KZ"/>
        </w:rPr>
        <w:fldChar w:fldCharType="end"/>
      </w:r>
      <w:r w:rsidRPr="002F33D0">
        <w:rPr>
          <w:rFonts w:ascii="Times New Roman" w:hAnsi="Times New Roman" w:cs="Times New Roman"/>
          <w:sz w:val="28"/>
          <w:szCs w:val="28"/>
        </w:rPr>
        <w:t>.</w:t>
      </w:r>
    </w:p>
    <w:p w14:paraId="7D9146C2" w14:textId="77777777" w:rsidR="002F33D0" w:rsidRPr="002F33D0" w:rsidRDefault="002F33D0" w:rsidP="002F33D0">
      <w:pPr>
        <w:tabs>
          <w:tab w:val="left" w:pos="812"/>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В качестве приоритетных направлений предлагается:</w:t>
      </w:r>
    </w:p>
    <w:p w14:paraId="49546ED8" w14:textId="77777777" w:rsidR="002F33D0" w:rsidRPr="002F33D0" w:rsidRDefault="002F33D0" w:rsidP="007F5E68">
      <w:pPr>
        <w:pStyle w:val="a3"/>
        <w:numPr>
          <w:ilvl w:val="0"/>
          <w:numId w:val="23"/>
        </w:numPr>
        <w:tabs>
          <w:tab w:val="left" w:pos="812"/>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упрощение процедур участия в программах поддержки и снижение требований к отчётности для МСП;</w:t>
      </w:r>
    </w:p>
    <w:p w14:paraId="472D43BD" w14:textId="77777777" w:rsidR="002F33D0" w:rsidRPr="002F33D0" w:rsidRDefault="002F33D0" w:rsidP="007F5E68">
      <w:pPr>
        <w:pStyle w:val="a3"/>
        <w:numPr>
          <w:ilvl w:val="0"/>
          <w:numId w:val="23"/>
        </w:numPr>
        <w:tabs>
          <w:tab w:val="left" w:pos="812"/>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цифровизация государственных сервисов и внедрение формата «единого окна» для подачи и мониторинга заявок;</w:t>
      </w:r>
    </w:p>
    <w:p w14:paraId="2E8C7963" w14:textId="77777777" w:rsidR="002F33D0" w:rsidRPr="002F33D0" w:rsidRDefault="002F33D0" w:rsidP="007F5E68">
      <w:pPr>
        <w:pStyle w:val="a3"/>
        <w:numPr>
          <w:ilvl w:val="0"/>
          <w:numId w:val="23"/>
        </w:numPr>
        <w:tabs>
          <w:tab w:val="left" w:pos="812"/>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введение пропорциональных механизмов оценки заявителей, учитывающих масштаб предприятия и уровень цифровой зрелости;</w:t>
      </w:r>
    </w:p>
    <w:p w14:paraId="5E1988A1" w14:textId="77777777" w:rsidR="002F33D0" w:rsidRPr="002F33D0" w:rsidRDefault="002F33D0" w:rsidP="007F5E68">
      <w:pPr>
        <w:pStyle w:val="a3"/>
        <w:numPr>
          <w:ilvl w:val="0"/>
          <w:numId w:val="23"/>
        </w:numPr>
        <w:tabs>
          <w:tab w:val="left" w:pos="812"/>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создание консультационно-информационной инфраструктуры поддержки малых предприятий.</w:t>
      </w:r>
    </w:p>
    <w:p w14:paraId="149B7523" w14:textId="77777777" w:rsidR="002F33D0" w:rsidRPr="002F33D0" w:rsidRDefault="002F33D0" w:rsidP="002F33D0">
      <w:pPr>
        <w:tabs>
          <w:tab w:val="left" w:pos="812"/>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Реализация этих мер позволит повысить институциональную инклюзивность инновационной политики и снизить барьеры для участия малых структур в процессах проектирования и внедрения инноваций.</w:t>
      </w:r>
    </w:p>
    <w:p w14:paraId="2AE981BA" w14:textId="77777777" w:rsidR="002F33D0" w:rsidRPr="002F33D0" w:rsidRDefault="002F33D0" w:rsidP="002F33D0">
      <w:pPr>
        <w:spacing w:after="0" w:line="240" w:lineRule="auto"/>
        <w:ind w:firstLine="567"/>
        <w:jc w:val="both"/>
        <w:rPr>
          <w:rFonts w:ascii="Times New Roman" w:hAnsi="Times New Roman" w:cs="Times New Roman"/>
          <w:b/>
          <w:sz w:val="28"/>
          <w:szCs w:val="28"/>
        </w:rPr>
      </w:pPr>
      <w:r w:rsidRPr="002F33D0">
        <w:rPr>
          <w:rFonts w:ascii="Times New Roman" w:hAnsi="Times New Roman" w:cs="Times New Roman"/>
          <w:b/>
          <w:sz w:val="28"/>
          <w:szCs w:val="28"/>
        </w:rPr>
        <w:t>Приоритет V. Укрепление региональной и национальной экосистемной устойчивости</w:t>
      </w:r>
    </w:p>
    <w:p w14:paraId="5B229762" w14:textId="5A5FDFB4"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Анализ мотивационных факторов участия выявил, что ключевыми стимулами оста</w:t>
      </w:r>
      <w:r w:rsidR="007C12CB">
        <w:rPr>
          <w:rFonts w:ascii="Times New Roman" w:hAnsi="Times New Roman" w:cs="Times New Roman"/>
          <w:sz w:val="28"/>
          <w:szCs w:val="28"/>
        </w:rPr>
        <w:t>ются финансовая поддержка (21,0%), налоговые льготы (19,2</w:t>
      </w:r>
      <w:r w:rsidRPr="002F33D0">
        <w:rPr>
          <w:rFonts w:ascii="Times New Roman" w:hAnsi="Times New Roman" w:cs="Times New Roman"/>
          <w:sz w:val="28"/>
          <w:szCs w:val="28"/>
        </w:rPr>
        <w:t>%) и упрощение процедур (1</w:t>
      </w:r>
      <w:r w:rsidR="007C12CB">
        <w:rPr>
          <w:rFonts w:ascii="Times New Roman" w:hAnsi="Times New Roman" w:cs="Times New Roman"/>
          <w:sz w:val="28"/>
          <w:szCs w:val="28"/>
        </w:rPr>
        <w:t>5,2</w:t>
      </w:r>
      <w:r w:rsidRPr="002F33D0">
        <w:rPr>
          <w:rFonts w:ascii="Times New Roman" w:hAnsi="Times New Roman" w:cs="Times New Roman"/>
          <w:sz w:val="28"/>
          <w:szCs w:val="28"/>
        </w:rPr>
        <w:t xml:space="preserve">%). Для малых предприятий особую значимость приобретают образовательные возможности </w:t>
      </w:r>
      <w:r w:rsidR="007C12CB">
        <w:rPr>
          <w:rFonts w:ascii="Times New Roman" w:hAnsi="Times New Roman" w:cs="Times New Roman"/>
          <w:sz w:val="28"/>
          <w:szCs w:val="28"/>
        </w:rPr>
        <w:t>и международные стажировки (6,2</w:t>
      </w:r>
      <w:r w:rsidRPr="002F33D0">
        <w:rPr>
          <w:rFonts w:ascii="Times New Roman" w:hAnsi="Times New Roman" w:cs="Times New Roman"/>
          <w:sz w:val="28"/>
          <w:szCs w:val="28"/>
        </w:rPr>
        <w:t xml:space="preserve">%), что отражает потребность в доступе к компетенциям и сетевым ресурсам. Эти различия свидетельствуют о необходимости формирования дифференцированной системы институциональной </w:t>
      </w:r>
      <w:r w:rsidRPr="002F33D0">
        <w:rPr>
          <w:rFonts w:ascii="Times New Roman" w:hAnsi="Times New Roman" w:cs="Times New Roman"/>
          <w:sz w:val="28"/>
          <w:szCs w:val="28"/>
        </w:rPr>
        <w:lastRenderedPageBreak/>
        <w:t>поддержки, учитывающей масштабы бизнеса и стадию его инновационного развития.</w:t>
      </w:r>
    </w:p>
    <w:p w14:paraId="59166A22" w14:textId="77777777" w:rsidR="002F33D0" w:rsidRPr="007C12CB" w:rsidRDefault="002F33D0" w:rsidP="007C12CB">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Таким образом, пятый приоритет связан с укреплением национальной и региональной инновационной экосистемы через повышение адресности государственной и региональной поддержки. Он предполагает формирование многоуровневой системы мер, ориентированной на специфические </w:t>
      </w:r>
      <w:r w:rsidRPr="007C12CB">
        <w:rPr>
          <w:rFonts w:ascii="Times New Roman" w:hAnsi="Times New Roman" w:cs="Times New Roman"/>
          <w:sz w:val="28"/>
          <w:szCs w:val="28"/>
        </w:rPr>
        <w:t>потребности различных групп предприятий:</w:t>
      </w:r>
    </w:p>
    <w:p w14:paraId="4BF28AE5" w14:textId="2B30F822" w:rsidR="002F33D0" w:rsidRPr="007C12CB" w:rsidRDefault="002F33D0" w:rsidP="007C12CB">
      <w:pPr>
        <w:pStyle w:val="a3"/>
        <w:numPr>
          <w:ilvl w:val="0"/>
          <w:numId w:val="35"/>
        </w:numPr>
        <w:tabs>
          <w:tab w:val="left" w:pos="851"/>
        </w:tabs>
        <w:spacing w:after="0" w:line="240" w:lineRule="auto"/>
        <w:ind w:left="0" w:firstLine="567"/>
        <w:jc w:val="both"/>
        <w:rPr>
          <w:rFonts w:ascii="Times New Roman" w:hAnsi="Times New Roman" w:cs="Times New Roman"/>
          <w:sz w:val="28"/>
          <w:szCs w:val="28"/>
        </w:rPr>
      </w:pPr>
      <w:r w:rsidRPr="007C12CB">
        <w:rPr>
          <w:rFonts w:ascii="Times New Roman" w:hAnsi="Times New Roman" w:cs="Times New Roman"/>
          <w:sz w:val="28"/>
          <w:szCs w:val="28"/>
        </w:rPr>
        <w:t xml:space="preserve">для малых </w:t>
      </w:r>
      <w:r w:rsidR="009D20AE" w:rsidRPr="007C12CB">
        <w:rPr>
          <w:rFonts w:ascii="Times New Roman" w:hAnsi="Times New Roman" w:cs="Times New Roman"/>
          <w:sz w:val="28"/>
          <w:szCs w:val="28"/>
        </w:rPr>
        <w:t>–</w:t>
      </w:r>
      <w:r w:rsidRPr="007C12CB">
        <w:rPr>
          <w:rFonts w:ascii="Times New Roman" w:hAnsi="Times New Roman" w:cs="Times New Roman"/>
          <w:sz w:val="28"/>
          <w:szCs w:val="28"/>
        </w:rPr>
        <w:t xml:space="preserve"> образовательные программы, консультационная поддержка, доступ к цифровым платформам и стажировкам;</w:t>
      </w:r>
    </w:p>
    <w:p w14:paraId="32C7464A" w14:textId="7DE2F40E" w:rsidR="002F33D0" w:rsidRPr="007C12CB" w:rsidRDefault="002F33D0" w:rsidP="007C12CB">
      <w:pPr>
        <w:pStyle w:val="a3"/>
        <w:numPr>
          <w:ilvl w:val="0"/>
          <w:numId w:val="35"/>
        </w:numPr>
        <w:tabs>
          <w:tab w:val="left" w:pos="851"/>
        </w:tabs>
        <w:spacing w:after="0" w:line="240" w:lineRule="auto"/>
        <w:ind w:left="0" w:firstLine="567"/>
        <w:jc w:val="both"/>
        <w:rPr>
          <w:rFonts w:ascii="Times New Roman" w:hAnsi="Times New Roman" w:cs="Times New Roman"/>
          <w:sz w:val="28"/>
          <w:szCs w:val="28"/>
        </w:rPr>
      </w:pPr>
      <w:r w:rsidRPr="007C12CB">
        <w:rPr>
          <w:rFonts w:ascii="Times New Roman" w:hAnsi="Times New Roman" w:cs="Times New Roman"/>
          <w:sz w:val="28"/>
          <w:szCs w:val="28"/>
        </w:rPr>
        <w:t xml:space="preserve">для средних </w:t>
      </w:r>
      <w:r w:rsidR="009D20AE" w:rsidRPr="007C12CB">
        <w:rPr>
          <w:rFonts w:ascii="Times New Roman" w:hAnsi="Times New Roman" w:cs="Times New Roman"/>
          <w:sz w:val="28"/>
          <w:szCs w:val="28"/>
        </w:rPr>
        <w:t>–</w:t>
      </w:r>
      <w:r w:rsidRPr="007C12CB">
        <w:rPr>
          <w:rFonts w:ascii="Times New Roman" w:hAnsi="Times New Roman" w:cs="Times New Roman"/>
          <w:sz w:val="28"/>
          <w:szCs w:val="28"/>
        </w:rPr>
        <w:t xml:space="preserve"> инструменты софинансирования НИОКР и программ цифровизации;</w:t>
      </w:r>
    </w:p>
    <w:p w14:paraId="21E04938" w14:textId="7116AEA9" w:rsidR="002F33D0" w:rsidRPr="007C12CB" w:rsidRDefault="002F33D0" w:rsidP="007C12CB">
      <w:pPr>
        <w:pStyle w:val="a3"/>
        <w:numPr>
          <w:ilvl w:val="0"/>
          <w:numId w:val="35"/>
        </w:numPr>
        <w:tabs>
          <w:tab w:val="left" w:pos="851"/>
        </w:tabs>
        <w:spacing w:after="0" w:line="240" w:lineRule="auto"/>
        <w:ind w:left="0" w:firstLine="567"/>
        <w:jc w:val="both"/>
        <w:rPr>
          <w:rFonts w:ascii="Times New Roman" w:hAnsi="Times New Roman" w:cs="Times New Roman"/>
          <w:sz w:val="28"/>
          <w:szCs w:val="28"/>
        </w:rPr>
      </w:pPr>
      <w:r w:rsidRPr="007C12CB">
        <w:rPr>
          <w:rFonts w:ascii="Times New Roman" w:hAnsi="Times New Roman" w:cs="Times New Roman"/>
          <w:sz w:val="28"/>
          <w:szCs w:val="28"/>
        </w:rPr>
        <w:t xml:space="preserve">для крупных </w:t>
      </w:r>
      <w:r w:rsidR="009D20AE" w:rsidRPr="007C12CB">
        <w:rPr>
          <w:rFonts w:ascii="Times New Roman" w:hAnsi="Times New Roman" w:cs="Times New Roman"/>
          <w:sz w:val="28"/>
          <w:szCs w:val="28"/>
        </w:rPr>
        <w:t>–</w:t>
      </w:r>
      <w:r w:rsidRPr="007C12CB">
        <w:rPr>
          <w:rFonts w:ascii="Times New Roman" w:hAnsi="Times New Roman" w:cs="Times New Roman"/>
          <w:sz w:val="28"/>
          <w:szCs w:val="28"/>
        </w:rPr>
        <w:t xml:space="preserve"> стимулы для трансфера технологий и интеграции с региональной инновационной инфраструктурой.</w:t>
      </w:r>
    </w:p>
    <w:p w14:paraId="1525EB19" w14:textId="3C100ED4" w:rsidR="002452F3" w:rsidRPr="002F33D0" w:rsidRDefault="002452F3" w:rsidP="007C12CB">
      <w:pPr>
        <w:tabs>
          <w:tab w:val="left" w:pos="851"/>
        </w:tabs>
        <w:spacing w:after="0" w:line="240" w:lineRule="auto"/>
        <w:ind w:firstLine="567"/>
        <w:jc w:val="both"/>
        <w:rPr>
          <w:rFonts w:ascii="Times New Roman" w:hAnsi="Times New Roman" w:cs="Times New Roman"/>
          <w:sz w:val="28"/>
          <w:szCs w:val="28"/>
        </w:rPr>
      </w:pPr>
      <w:r w:rsidRPr="002452F3">
        <w:rPr>
          <w:rFonts w:ascii="Times New Roman" w:hAnsi="Times New Roman" w:cs="Times New Roman"/>
          <w:sz w:val="28"/>
          <w:szCs w:val="28"/>
        </w:rPr>
        <w:t>Логика трансформации модели проектирования инновационного потенциала в систему управленческих приоритетов представлена в виде карты приоритетов (</w:t>
      </w:r>
      <w:r>
        <w:rPr>
          <w:rFonts w:ascii="Times New Roman" w:hAnsi="Times New Roman" w:cs="Times New Roman"/>
          <w:sz w:val="28"/>
          <w:szCs w:val="28"/>
          <w:lang w:val="kk-KZ"/>
        </w:rPr>
        <w:t>Р</w:t>
      </w:r>
      <w:r w:rsidRPr="002452F3">
        <w:rPr>
          <w:rFonts w:ascii="Times New Roman" w:hAnsi="Times New Roman" w:cs="Times New Roman"/>
          <w:sz w:val="28"/>
          <w:szCs w:val="28"/>
        </w:rPr>
        <w:t xml:space="preserve">исунок </w:t>
      </w:r>
      <w:r w:rsidR="00FD618C">
        <w:rPr>
          <w:rFonts w:ascii="Times New Roman" w:hAnsi="Times New Roman" w:cs="Times New Roman"/>
          <w:sz w:val="28"/>
          <w:szCs w:val="28"/>
          <w:lang w:val="kk-KZ"/>
        </w:rPr>
        <w:t>6</w:t>
      </w:r>
      <w:r w:rsidRPr="002452F3">
        <w:rPr>
          <w:rFonts w:ascii="Times New Roman" w:hAnsi="Times New Roman" w:cs="Times New Roman"/>
          <w:sz w:val="28"/>
          <w:szCs w:val="28"/>
        </w:rPr>
        <w:t>), отражающей взаимосвязь внутренних и институциональных направлений проектирования с целями устойчивого развития.</w:t>
      </w:r>
    </w:p>
    <w:p w14:paraId="5DF0A0F8" w14:textId="77777777" w:rsidR="0049240F" w:rsidRDefault="0049240F" w:rsidP="002F33D0">
      <w:pPr>
        <w:spacing w:after="0" w:line="240" w:lineRule="auto"/>
        <w:ind w:firstLine="567"/>
        <w:jc w:val="both"/>
        <w:rPr>
          <w:rFonts w:ascii="Times New Roman" w:hAnsi="Times New Roman" w:cs="Times New Roman"/>
          <w:sz w:val="28"/>
          <w:szCs w:val="28"/>
        </w:rPr>
      </w:pPr>
    </w:p>
    <w:p w14:paraId="6224CE7F" w14:textId="6984D5A1" w:rsidR="0049240F" w:rsidRDefault="0049240F" w:rsidP="002F33D0">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804801E" wp14:editId="2749D48E">
            <wp:extent cx="5486400" cy="3200400"/>
            <wp:effectExtent l="0" t="0" r="19050" b="19050"/>
            <wp:docPr id="151" name="Схема 1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7DB6A62C" w14:textId="6D845B06" w:rsidR="0049240F" w:rsidRDefault="002452F3" w:rsidP="002F33D0">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14:anchorId="09A4DED5" wp14:editId="15DA0194">
                <wp:simplePos x="0" y="0"/>
                <wp:positionH relativeFrom="column">
                  <wp:posOffset>383752</wp:posOffset>
                </wp:positionH>
                <wp:positionV relativeFrom="paragraph">
                  <wp:posOffset>86360</wp:posOffset>
                </wp:positionV>
                <wp:extent cx="5443855" cy="304800"/>
                <wp:effectExtent l="0" t="0" r="23495" b="19050"/>
                <wp:wrapNone/>
                <wp:docPr id="152" name="Надпись 152"/>
                <wp:cNvGraphicFramePr/>
                <a:graphic xmlns:a="http://schemas.openxmlformats.org/drawingml/2006/main">
                  <a:graphicData uri="http://schemas.microsoft.com/office/word/2010/wordprocessingShape">
                    <wps:wsp>
                      <wps:cNvSpPr txBox="1"/>
                      <wps:spPr>
                        <a:xfrm>
                          <a:off x="0" y="0"/>
                          <a:ext cx="5443855" cy="304800"/>
                        </a:xfrm>
                        <a:prstGeom prst="roundRect">
                          <a:avLst/>
                        </a:prstGeom>
                        <a:solidFill>
                          <a:schemeClr val="accent6">
                            <a:lumMod val="40000"/>
                            <a:lumOff val="60000"/>
                          </a:schemeClr>
                        </a:solidFill>
                        <a:ln w="6350">
                          <a:solidFill>
                            <a:schemeClr val="accent1">
                              <a:lumMod val="40000"/>
                              <a:lumOff val="60000"/>
                            </a:schemeClr>
                          </a:solidFill>
                        </a:ln>
                      </wps:spPr>
                      <wps:txbx>
                        <w:txbxContent>
                          <w:p w14:paraId="23ECBAE7" w14:textId="33797074" w:rsidR="001D4931" w:rsidRPr="002452F3" w:rsidRDefault="001D4931" w:rsidP="002452F3">
                            <w:pPr>
                              <w:jc w:val="center"/>
                              <w:rPr>
                                <w:rFonts w:ascii="Times New Roman" w:hAnsi="Times New Roman" w:cs="Times New Roman"/>
                                <w:sz w:val="28"/>
                                <w:lang w:val="kk-KZ"/>
                              </w:rPr>
                            </w:pPr>
                            <w:r w:rsidRPr="002452F3">
                              <w:rPr>
                                <w:rFonts w:ascii="Times New Roman" w:hAnsi="Times New Roman" w:cs="Times New Roman"/>
                                <w:sz w:val="28"/>
                                <w:lang w:val="kk-KZ"/>
                              </w:rPr>
                              <w:t>Устойчивое развитие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oundrect w14:anchorId="09A4DED5" id="Надпись 152" o:spid="_x0000_s1089" style="position:absolute;left:0;text-align:left;margin-left:30.2pt;margin-top:6.8pt;width:428.65pt;height:24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D5ViQIAADYFAAAOAAAAZHJzL2Uyb0RvYy54bWysVE1uEzEU3iNxB8t7OpNkEkLUSRVSFSGV&#10;tqJFXTseTzKS7WdsJzNlx54rcAcWLNhxhfRGPHsyaVpYoc7C8/z+f77n45NGSbIR1lWgc9o7SikR&#10;mkNR6WVOP92cvRpT4jzTBZOgRU7vhKMn05cvjmszEX1YgSyEJehEu0ltcrry3kySxPGVUMwdgREa&#10;hSVYxTxe7TIpLKvRu5JJP01HSQ22MBa4cA65p62QTqP/shTcX5alE57InGJuPp42notwJtNjNlla&#10;ZlYV36XB/iMLxSqNQfeuTplnZG2rv1ypiltwUPojDiqBsqy4iDVgNb30STXXK2ZErAWb48y+Te75&#10;3PKLzZUlVYGzG/Yp0UzhkLbftz+2P7e/t7/uv95/I0GCfaqNm6D6tUED37yFBm06vkNmKL8prQp/&#10;LIygHDt+t++yaDzhyBxm2WA8HFLCUTZIs3Eax5A8WBvr/DsBigQipxbWuviIo4wdZptz5zEd1O/0&#10;QkQHsirOKinjJcBHzKUlG4aDZ5wL7UfRXK7VByhafpbi10IA2QiUlj3q2BgiAjF4igEfBZGa1Dkd&#10;DYZpdPxItjc7TKD3rAlgclJjVmEsbfsD5ZtFE8c5GHSzWUBxhyOz0ILfGX5WYV/PmfNXzCLacUq4&#10;wf4Sj1IC1gQ7ipIV2C//4gd9BCFKKalxe3LqPq+ZFZTI9xrh+aaXZWHd4iUbvu7jxR5KFocSvVZz&#10;wDn18K0wPJJB38uOLC2oW1z0WYiKIqY5xs6p78i5b3caHwouZrOohAtmmD/X14YH1wEXATA3zS2z&#10;Zgctj6C8gG7P2OQJuFrdYKlhtvZQVhF5odFtV3f9x+WM+Ng9JGH7D+9R6+G5m/4BAAD//wMAUEsD&#10;BBQABgAIAAAAIQB3jmVQ3QAAAAgBAAAPAAAAZHJzL2Rvd25yZXYueG1sTI/BTsMwDIbvSLxDZCRu&#10;LO2YOihNp2mIE+LAGNK4ZY1pqyZO1aRreXvMiR3t79fvz8VmdlaccQitJwXpIgGBVHnTUq3g8PFy&#10;9wAiRE1GW0+o4AcDbMrrq0Lnxk/0jud9rAWXUMi1gibGPpcyVA06HRa+R2L27QenI49DLc2gJy53&#10;Vi6TJJNOt8QXGt3jrsGq249OwXE8LJ/tqzvutpSat1X32U1fVqnbm3n7BCLiHP/D8KfP6lCy08mP&#10;ZIKwCrJkxUne32cgmD+m6zWIE4M0A1kW8vKB8hcAAP//AwBQSwECLQAUAAYACAAAACEAtoM4kv4A&#10;AADhAQAAEwAAAAAAAAAAAAAAAAAAAAAAW0NvbnRlbnRfVHlwZXNdLnhtbFBLAQItABQABgAIAAAA&#10;IQA4/SH/1gAAAJQBAAALAAAAAAAAAAAAAAAAAC8BAABfcmVscy8ucmVsc1BLAQItABQABgAIAAAA&#10;IQBCwD5ViQIAADYFAAAOAAAAAAAAAAAAAAAAAC4CAABkcnMvZTJvRG9jLnhtbFBLAQItABQABgAI&#10;AAAAIQB3jmVQ3QAAAAgBAAAPAAAAAAAAAAAAAAAAAOMEAABkcnMvZG93bnJldi54bWxQSwUGAAAA&#10;AAQABADzAAAA7QUAAAAA&#10;" fillcolor="#c5e0b3 [1305]" strokecolor="#bdd6ee [1300]" strokeweight=".5pt">
                <v:textbox>
                  <w:txbxContent>
                    <w:p w14:paraId="23ECBAE7" w14:textId="33797074" w:rsidR="001D4931" w:rsidRPr="002452F3" w:rsidRDefault="001D4931" w:rsidP="002452F3">
                      <w:pPr>
                        <w:jc w:val="center"/>
                        <w:rPr>
                          <w:rFonts w:ascii="Times New Roman" w:hAnsi="Times New Roman" w:cs="Times New Roman"/>
                          <w:sz w:val="28"/>
                          <w:lang w:val="kk-KZ"/>
                        </w:rPr>
                      </w:pPr>
                      <w:r w:rsidRPr="002452F3">
                        <w:rPr>
                          <w:rFonts w:ascii="Times New Roman" w:hAnsi="Times New Roman" w:cs="Times New Roman"/>
                          <w:sz w:val="28"/>
                          <w:lang w:val="kk-KZ"/>
                        </w:rPr>
                        <w:t>Устойчивое развитие</w:t>
                      </w:r>
                    </w:p>
                  </w:txbxContent>
                </v:textbox>
              </v:roundrect>
            </w:pict>
          </mc:Fallback>
        </mc:AlternateContent>
      </w:r>
    </w:p>
    <w:p w14:paraId="11BB50F4" w14:textId="77777777" w:rsidR="002452F3" w:rsidRDefault="002452F3" w:rsidP="0049240F">
      <w:pPr>
        <w:spacing w:after="0" w:line="240" w:lineRule="auto"/>
        <w:jc w:val="center"/>
        <w:rPr>
          <w:rFonts w:ascii="Times New Roman" w:hAnsi="Times New Roman" w:cs="Times New Roman"/>
          <w:sz w:val="28"/>
          <w:szCs w:val="28"/>
        </w:rPr>
      </w:pPr>
    </w:p>
    <w:p w14:paraId="388649B9" w14:textId="77777777" w:rsidR="002452F3" w:rsidRDefault="002452F3" w:rsidP="0049240F">
      <w:pPr>
        <w:spacing w:after="0" w:line="240" w:lineRule="auto"/>
        <w:jc w:val="center"/>
        <w:rPr>
          <w:rFonts w:ascii="Times New Roman" w:hAnsi="Times New Roman" w:cs="Times New Roman"/>
          <w:sz w:val="28"/>
          <w:szCs w:val="28"/>
        </w:rPr>
      </w:pPr>
    </w:p>
    <w:p w14:paraId="7FEE1112" w14:textId="2D6B3588" w:rsidR="0049240F" w:rsidRDefault="0049240F" w:rsidP="0049240F">
      <w:pPr>
        <w:spacing w:after="0" w:line="240" w:lineRule="auto"/>
        <w:jc w:val="center"/>
        <w:rPr>
          <w:rFonts w:ascii="Times New Roman" w:hAnsi="Times New Roman" w:cs="Times New Roman"/>
          <w:sz w:val="28"/>
          <w:szCs w:val="28"/>
        </w:rPr>
      </w:pPr>
      <w:r w:rsidRPr="0049240F">
        <w:rPr>
          <w:rFonts w:ascii="Times New Roman" w:hAnsi="Times New Roman" w:cs="Times New Roman"/>
          <w:sz w:val="28"/>
          <w:szCs w:val="28"/>
        </w:rPr>
        <w:t xml:space="preserve">Рисунок </w:t>
      </w:r>
      <w:r w:rsidR="00FD618C">
        <w:rPr>
          <w:rFonts w:ascii="Times New Roman" w:hAnsi="Times New Roman" w:cs="Times New Roman"/>
          <w:sz w:val="28"/>
          <w:szCs w:val="28"/>
          <w:lang w:val="kk-KZ"/>
        </w:rPr>
        <w:t>6</w:t>
      </w:r>
      <w:r w:rsidRPr="0049240F">
        <w:rPr>
          <w:rFonts w:ascii="Times New Roman" w:hAnsi="Times New Roman" w:cs="Times New Roman"/>
          <w:sz w:val="28"/>
          <w:szCs w:val="28"/>
        </w:rPr>
        <w:t xml:space="preserve"> – Карта приоритетов проектирования инновационного потенциала в логике устойчивого развития</w:t>
      </w:r>
    </w:p>
    <w:p w14:paraId="5E4DEAD2" w14:textId="77777777" w:rsidR="00FD618C" w:rsidRDefault="00FD618C" w:rsidP="0049240F">
      <w:pPr>
        <w:spacing w:after="0" w:line="240" w:lineRule="auto"/>
        <w:jc w:val="both"/>
        <w:rPr>
          <w:rFonts w:ascii="Times New Roman" w:hAnsi="Times New Roman" w:cs="Times New Roman"/>
          <w:sz w:val="24"/>
          <w:szCs w:val="28"/>
          <w:lang w:val="kk-KZ"/>
        </w:rPr>
      </w:pPr>
    </w:p>
    <w:p w14:paraId="67431A6D" w14:textId="4E1F6EAA" w:rsidR="0049240F" w:rsidRPr="00FD618C" w:rsidRDefault="000F3C80" w:rsidP="00FD618C">
      <w:pPr>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lang w:val="kk-KZ"/>
        </w:rPr>
        <w:t>Примечание – С</w:t>
      </w:r>
      <w:r w:rsidR="0049240F" w:rsidRPr="00FD618C">
        <w:rPr>
          <w:rFonts w:ascii="Times New Roman" w:hAnsi="Times New Roman" w:cs="Times New Roman"/>
          <w:sz w:val="24"/>
          <w:szCs w:val="28"/>
          <w:lang w:val="kk-KZ"/>
        </w:rPr>
        <w:t xml:space="preserve">оставлено автором </w:t>
      </w:r>
      <w:r w:rsidR="0049240F" w:rsidRPr="00FD618C">
        <w:rPr>
          <w:rFonts w:ascii="Times New Roman" w:hAnsi="Times New Roman" w:cs="Times New Roman"/>
          <w:sz w:val="24"/>
          <w:szCs w:val="28"/>
        </w:rPr>
        <w:t xml:space="preserve">на основе модели </w:t>
      </w:r>
      <w:r w:rsidR="00E27253">
        <w:rPr>
          <w:rFonts w:ascii="Times New Roman" w:hAnsi="Times New Roman" w:cs="Times New Roman"/>
          <w:sz w:val="24"/>
          <w:szCs w:val="28"/>
          <w:lang w:val="kk-KZ"/>
        </w:rPr>
        <w:t>р</w:t>
      </w:r>
      <w:r w:rsidR="0049240F" w:rsidRPr="00FD618C">
        <w:rPr>
          <w:rFonts w:ascii="Times New Roman" w:hAnsi="Times New Roman" w:cs="Times New Roman"/>
          <w:sz w:val="24"/>
          <w:szCs w:val="28"/>
        </w:rPr>
        <w:t>ис</w:t>
      </w:r>
      <w:r w:rsidR="0049240F" w:rsidRPr="00FD618C">
        <w:rPr>
          <w:rFonts w:ascii="Times New Roman" w:hAnsi="Times New Roman" w:cs="Times New Roman"/>
          <w:sz w:val="24"/>
          <w:szCs w:val="28"/>
          <w:lang w:val="kk-KZ"/>
        </w:rPr>
        <w:t>унка</w:t>
      </w:r>
      <w:r w:rsidR="0049240F" w:rsidRPr="00FD618C">
        <w:rPr>
          <w:rFonts w:ascii="Times New Roman" w:hAnsi="Times New Roman" w:cs="Times New Roman"/>
          <w:sz w:val="24"/>
          <w:szCs w:val="28"/>
        </w:rPr>
        <w:t xml:space="preserve"> 3 и матрицы </w:t>
      </w:r>
      <w:r w:rsidR="00E27253">
        <w:rPr>
          <w:rFonts w:ascii="Times New Roman" w:hAnsi="Times New Roman" w:cs="Times New Roman"/>
          <w:sz w:val="24"/>
          <w:szCs w:val="28"/>
          <w:lang w:val="kk-KZ"/>
        </w:rPr>
        <w:t>т</w:t>
      </w:r>
      <w:r w:rsidR="0049240F" w:rsidRPr="00FD618C">
        <w:rPr>
          <w:rFonts w:ascii="Times New Roman" w:hAnsi="Times New Roman" w:cs="Times New Roman"/>
          <w:sz w:val="24"/>
          <w:szCs w:val="28"/>
        </w:rPr>
        <w:t>абл</w:t>
      </w:r>
      <w:r w:rsidR="0049240F" w:rsidRPr="00FD618C">
        <w:rPr>
          <w:rFonts w:ascii="Times New Roman" w:hAnsi="Times New Roman" w:cs="Times New Roman"/>
          <w:sz w:val="24"/>
          <w:szCs w:val="28"/>
          <w:lang w:val="kk-KZ"/>
        </w:rPr>
        <w:t>ицы</w:t>
      </w:r>
      <w:r w:rsidR="0049240F" w:rsidRPr="00FD618C">
        <w:rPr>
          <w:rFonts w:ascii="Times New Roman" w:hAnsi="Times New Roman" w:cs="Times New Roman"/>
          <w:sz w:val="24"/>
          <w:szCs w:val="28"/>
        </w:rPr>
        <w:t xml:space="preserve"> 29</w:t>
      </w:r>
    </w:p>
    <w:p w14:paraId="7F872E33" w14:textId="77777777" w:rsidR="0049240F" w:rsidRDefault="0049240F" w:rsidP="002F33D0">
      <w:pPr>
        <w:spacing w:after="0" w:line="240" w:lineRule="auto"/>
        <w:ind w:firstLine="567"/>
        <w:jc w:val="both"/>
        <w:rPr>
          <w:rFonts w:ascii="Times New Roman" w:hAnsi="Times New Roman" w:cs="Times New Roman"/>
          <w:sz w:val="28"/>
          <w:szCs w:val="28"/>
        </w:rPr>
      </w:pPr>
    </w:p>
    <w:p w14:paraId="3D03CA82" w14:textId="7FB265DB" w:rsid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lastRenderedPageBreak/>
        <w:t xml:space="preserve">Выявленные приоритеты демонстрируют, что инновационный потенциал функционирует как многослойная система, в которой внутренние ресурсы, цифровые механизмы и институциональная среда взаимодействуют по-разному в зависимости от масштаба предприятия. </w:t>
      </w:r>
    </w:p>
    <w:p w14:paraId="79FA82E8" w14:textId="2988DB77" w:rsidR="002452F3" w:rsidRPr="002F33D0" w:rsidRDefault="002452F3"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Дифференциация мер поддержки по размеру и уровню цифровой зрелости предприятий</w:t>
      </w:r>
      <w:r>
        <w:rPr>
          <w:rFonts w:ascii="Times New Roman" w:hAnsi="Times New Roman" w:cs="Times New Roman"/>
          <w:sz w:val="28"/>
          <w:szCs w:val="28"/>
        </w:rPr>
        <w:t xml:space="preserve"> </w:t>
      </w:r>
      <w:r>
        <w:rPr>
          <w:rFonts w:ascii="Times New Roman" w:hAnsi="Times New Roman" w:cs="Times New Roman"/>
          <w:sz w:val="28"/>
          <w:szCs w:val="28"/>
        </w:rPr>
        <w:fldChar w:fldCharType="begin"/>
      </w:r>
      <w:r w:rsidR="00AE44BA">
        <w:rPr>
          <w:rFonts w:ascii="Times New Roman" w:hAnsi="Times New Roman" w:cs="Times New Roman"/>
          <w:sz w:val="28"/>
          <w:szCs w:val="28"/>
        </w:rPr>
        <w:instrText xml:space="preserve"> ADDIN ZOTERO_ITEM CSL_CITATION {"citationID":"audeajjih3","properties":{"formattedCitation":"[226]","plainCitation":"[226]","noteIndex":0},"citationItems":[{"id":292,"uris":["http://zotero.org/users/16887523/items/XJ94IUBA"],"itemData":{"id":292,"type":"book","collection-title":"OECD Studies on SMEs and Entrepreneurship","DOI":"10.1787/bdb9256a-en","ISBN":"978-92-64-36760-9","language":"en","publisher":"OECD Publishing","source":"DOI.org (Crossref)","title":"The Digital Transformation of SMEs","URL":"https://www.oecd.org/en/publications/the-digital-transformation-of-smes_bdb9256a-en.html","author":[{"literal":"OECD"}],"accessed":{"date-parts":[["2025",11,30]]},"issued":{"date-parts":[["2021",2,3]]}}}],"schema":"https://github.com/citation-style-language/schema/raw/master/csl-citation.json"} </w:instrText>
      </w:r>
      <w:r>
        <w:rPr>
          <w:rFonts w:ascii="Times New Roman" w:hAnsi="Times New Roman" w:cs="Times New Roman"/>
          <w:sz w:val="28"/>
          <w:szCs w:val="28"/>
        </w:rPr>
        <w:fldChar w:fldCharType="separate"/>
      </w:r>
      <w:r w:rsidR="00AE44BA" w:rsidRPr="00AE44BA">
        <w:rPr>
          <w:rFonts w:ascii="Times New Roman" w:hAnsi="Times New Roman" w:cs="Times New Roman"/>
          <w:sz w:val="28"/>
        </w:rPr>
        <w:t>[226]</w:t>
      </w:r>
      <w:r>
        <w:rPr>
          <w:rFonts w:ascii="Times New Roman" w:hAnsi="Times New Roman" w:cs="Times New Roman"/>
          <w:sz w:val="28"/>
          <w:szCs w:val="28"/>
        </w:rPr>
        <w:fldChar w:fldCharType="end"/>
      </w:r>
      <w:r w:rsidRPr="002F33D0">
        <w:rPr>
          <w:rFonts w:ascii="Times New Roman" w:hAnsi="Times New Roman" w:cs="Times New Roman"/>
          <w:sz w:val="28"/>
          <w:szCs w:val="28"/>
        </w:rPr>
        <w:t xml:space="preserve"> позволяет формировать гибкую и устойчивую инновационную экосистему. Адресные инструменты обеспечивают равный доступ к возможностям развития, стимулируют трансфер технологий</w:t>
      </w:r>
      <w:r>
        <w:rPr>
          <w:rFonts w:ascii="Times New Roman" w:hAnsi="Times New Roman" w:cs="Times New Roman"/>
          <w:sz w:val="28"/>
          <w:szCs w:val="28"/>
        </w:rPr>
        <w:t xml:space="preserve"> </w:t>
      </w:r>
      <w:r>
        <w:rPr>
          <w:rFonts w:ascii="Times New Roman" w:hAnsi="Times New Roman" w:cs="Times New Roman"/>
          <w:sz w:val="28"/>
          <w:szCs w:val="28"/>
        </w:rPr>
        <w:fldChar w:fldCharType="begin"/>
      </w:r>
      <w:r w:rsidR="00AE44BA">
        <w:rPr>
          <w:rFonts w:ascii="Times New Roman" w:hAnsi="Times New Roman" w:cs="Times New Roman"/>
          <w:sz w:val="28"/>
          <w:szCs w:val="28"/>
        </w:rPr>
        <w:instrText xml:space="preserve"> ADDIN ZOTERO_ITEM CSL_CITATION {"citationID":"a2bf10bvth1","properties":{"formattedCitation":"[227]","plainCitation":"[227]","noteIndex":0},"citationItems":[{"id":293,"uris":["http://zotero.org/users/16887523/items/ENTL247B"],"itemData":{"id":293,"type":"article-journal","container-title":"Technological Forecasting and Social Change","DOI":"10.1016/j.techfore.2023.122474","ISSN":"00401625","journalAbbreviation":"Technological Forecasting and Social Change","language":"en","page":"122474","source":"DOI.org (Crossref)","title":"Impact of digitalization on technological innovations in small and medium-sized enterprises (SMEs)","URL":"https://linkinghub.elsevier.com/retrieve/pii/S0040162523001592","volume":"191","author":[{"family":"Radicic","given":"Dragana"},{"family":"Petković","given":"Saša"}],"accessed":{"date-parts":[["2025",11,30]]},"issued":{"date-parts":[["2023",6]]}}}],"schema":"https://github.com/citation-style-language/schema/raw/master/csl-citation.json"} </w:instrText>
      </w:r>
      <w:r>
        <w:rPr>
          <w:rFonts w:ascii="Times New Roman" w:hAnsi="Times New Roman" w:cs="Times New Roman"/>
          <w:sz w:val="28"/>
          <w:szCs w:val="28"/>
        </w:rPr>
        <w:fldChar w:fldCharType="separate"/>
      </w:r>
      <w:r w:rsidR="00AE44BA" w:rsidRPr="00AE44BA">
        <w:rPr>
          <w:rFonts w:ascii="Times New Roman" w:hAnsi="Times New Roman" w:cs="Times New Roman"/>
          <w:sz w:val="28"/>
        </w:rPr>
        <w:t>[227]</w:t>
      </w:r>
      <w:r>
        <w:rPr>
          <w:rFonts w:ascii="Times New Roman" w:hAnsi="Times New Roman" w:cs="Times New Roman"/>
          <w:sz w:val="28"/>
          <w:szCs w:val="28"/>
        </w:rPr>
        <w:fldChar w:fldCharType="end"/>
      </w:r>
      <w:r w:rsidRPr="002F33D0">
        <w:rPr>
          <w:rFonts w:ascii="Times New Roman" w:hAnsi="Times New Roman" w:cs="Times New Roman"/>
          <w:sz w:val="28"/>
          <w:szCs w:val="28"/>
        </w:rPr>
        <w:t xml:space="preserve"> и укрепляют региональные инновационные системы, что создаёт основу для устойчивого развития на макро- и мезоуровне</w:t>
      </w:r>
      <w:r>
        <w:rPr>
          <w:rFonts w:ascii="Times New Roman" w:hAnsi="Times New Roman" w:cs="Times New Roman"/>
          <w:sz w:val="28"/>
          <w:szCs w:val="28"/>
        </w:rPr>
        <w:t xml:space="preserve"> </w:t>
      </w:r>
      <w:r>
        <w:rPr>
          <w:rFonts w:ascii="Times New Roman" w:hAnsi="Times New Roman" w:cs="Times New Roman"/>
          <w:sz w:val="28"/>
          <w:szCs w:val="28"/>
        </w:rPr>
        <w:fldChar w:fldCharType="begin"/>
      </w:r>
      <w:r w:rsidR="00AE44BA">
        <w:rPr>
          <w:rFonts w:ascii="Times New Roman" w:hAnsi="Times New Roman" w:cs="Times New Roman"/>
          <w:sz w:val="28"/>
          <w:szCs w:val="28"/>
        </w:rPr>
        <w:instrText xml:space="preserve"> ADDIN ZOTERO_ITEM CSL_CITATION {"citationID":"a2krsgpcj75","properties":{"formattedCitation":"[228]","plainCitation":"[228]","noteIndex":0},"citationItems":[{"id":295,"uris":["http://zotero.org/users/16887523/items/CV89RPF7"],"itemData":{"id":295,"type":"book","DOI":"10.1596/33269","language":"en","publisher":"World Bank, Washington, DC","source":"DOI.org (Crossref)","title":"A Practitioner's Guide to Innovation Policy","URL":"https://hdl.handle.net/10986/33269","author":[{"family":"Frias","given":"Jaime"},{"family":"Cirera","given":"Xavier"},{"family":"Hill","given":"Justin"},{"family":"Li","given":"Yanchao"}],"accessed":{"date-parts":[["2025",11,30]]},"issued":{"date-parts":[["2020",2,11]]}}}],"schema":"https://github.com/citation-style-language/schema/raw/master/csl-citation.json"} </w:instrText>
      </w:r>
      <w:r>
        <w:rPr>
          <w:rFonts w:ascii="Times New Roman" w:hAnsi="Times New Roman" w:cs="Times New Roman"/>
          <w:sz w:val="28"/>
          <w:szCs w:val="28"/>
        </w:rPr>
        <w:fldChar w:fldCharType="separate"/>
      </w:r>
      <w:r w:rsidR="00AE44BA" w:rsidRPr="00AE44BA">
        <w:rPr>
          <w:rFonts w:ascii="Times New Roman" w:hAnsi="Times New Roman" w:cs="Times New Roman"/>
          <w:sz w:val="28"/>
        </w:rPr>
        <w:t>[228]</w:t>
      </w:r>
      <w:r>
        <w:rPr>
          <w:rFonts w:ascii="Times New Roman" w:hAnsi="Times New Roman" w:cs="Times New Roman"/>
          <w:sz w:val="28"/>
          <w:szCs w:val="28"/>
        </w:rPr>
        <w:fldChar w:fldCharType="end"/>
      </w:r>
      <w:r w:rsidRPr="002F33D0">
        <w:rPr>
          <w:rFonts w:ascii="Times New Roman" w:hAnsi="Times New Roman" w:cs="Times New Roman"/>
          <w:sz w:val="28"/>
          <w:szCs w:val="28"/>
        </w:rPr>
        <w:t>.</w:t>
      </w:r>
    </w:p>
    <w:p w14:paraId="557CB305" w14:textId="77777777"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В малых предприятиях ключевым драйвером становятся цифровизация и компетенции универсального профиля, которые компенсируют ограниченность материально-технических ресурсов. В средних предприятиях усиливается роль интеграции цифровых процессов с кадровыми и управленческими механизмами, что обеспечивает гибкость и способность к масштабированию. Крупные предприятия опираются на управленческо-инновационные ресурсы и технологическую базу, что обеспечивает их структурную устойчивость и возможность формирования инновационной экосистемы вокруг себя.</w:t>
      </w:r>
    </w:p>
    <w:p w14:paraId="6D8C2BFB" w14:textId="1A504140" w:rsid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Таким образом, формирование приоритетов проектирования инновационного потенциала должно основываться на учёте дифференцированных траекторий развития предпринимательских структур. Различия в силе влияния ресурсных, цифровых и институциональных факторов определяют необходимость разработки адаптированных управленческих решений, обеспечивающих баланс между внутренними возможностями предприятия и требованиями внешней среды. Систематизация этих раз</w:t>
      </w:r>
      <w:r w:rsidR="004B60DD">
        <w:rPr>
          <w:rFonts w:ascii="Times New Roman" w:hAnsi="Times New Roman" w:cs="Times New Roman"/>
          <w:sz w:val="28"/>
          <w:szCs w:val="28"/>
        </w:rPr>
        <w:t>личий представлена в таблице 3</w:t>
      </w:r>
      <w:r w:rsidR="004B60DD">
        <w:rPr>
          <w:rFonts w:ascii="Times New Roman" w:hAnsi="Times New Roman" w:cs="Times New Roman"/>
          <w:sz w:val="28"/>
          <w:szCs w:val="28"/>
          <w:lang w:val="kk-KZ"/>
        </w:rPr>
        <w:t>0</w:t>
      </w:r>
      <w:r w:rsidRPr="002F33D0">
        <w:rPr>
          <w:rFonts w:ascii="Times New Roman" w:hAnsi="Times New Roman" w:cs="Times New Roman"/>
          <w:sz w:val="28"/>
          <w:szCs w:val="28"/>
        </w:rPr>
        <w:t>, которая обобщает ключевые направления проектирования в разрезе масштабов бизнеса и служит основанием для дальнейшего раскрытия институциональных приоритетов.</w:t>
      </w:r>
    </w:p>
    <w:p w14:paraId="13E3F837" w14:textId="799B3983" w:rsidR="00FD618C" w:rsidRPr="002F33D0" w:rsidRDefault="00FD618C"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Институциональные приоритеты (IV и V) органично дополняют внутренние направления проектирования</w:t>
      </w:r>
      <w:r w:rsidRPr="002F33D0">
        <w:rPr>
          <w:rFonts w:ascii="Times New Roman" w:hAnsi="Times New Roman" w:cs="Times New Roman"/>
          <w:sz w:val="28"/>
          <w:szCs w:val="28"/>
          <w:lang w:val="kk-KZ"/>
        </w:rPr>
        <w:t xml:space="preserve"> (І, ІІ, ІІІ)</w:t>
      </w:r>
      <w:r w:rsidRPr="002F33D0">
        <w:rPr>
          <w:rFonts w:ascii="Times New Roman" w:hAnsi="Times New Roman" w:cs="Times New Roman"/>
          <w:sz w:val="28"/>
          <w:szCs w:val="28"/>
        </w:rPr>
        <w:t xml:space="preserve">, выделенные ранее. Если управленческо-инновационные, кадровые и цифровые факторы формируют внутреннюю архитектуру инновационного потенциала, то институциональные меры задают внешние рамочные условия его реализации. Их влияние проявляется по-разному в зависимости от масштаба бизнеса: для малых предприятий институциональные инструменты выступают компенсатором ограниченных ресурсов и каналом доступа к цифровым технологиям; для средних </w:t>
      </w:r>
      <w:r>
        <w:rPr>
          <w:rFonts w:ascii="Times New Roman" w:hAnsi="Times New Roman" w:cs="Times New Roman"/>
          <w:sz w:val="28"/>
          <w:szCs w:val="28"/>
        </w:rPr>
        <w:t>–</w:t>
      </w:r>
      <w:r w:rsidRPr="002F33D0">
        <w:rPr>
          <w:rFonts w:ascii="Times New Roman" w:hAnsi="Times New Roman" w:cs="Times New Roman"/>
          <w:sz w:val="28"/>
          <w:szCs w:val="28"/>
        </w:rPr>
        <w:t xml:space="preserve"> механизмом координации взаимодействия с государственными институтами, образовательными структурами и партнёрскими организациями; для крупных </w:t>
      </w:r>
      <w:r>
        <w:rPr>
          <w:rFonts w:ascii="Times New Roman" w:hAnsi="Times New Roman" w:cs="Times New Roman"/>
          <w:sz w:val="28"/>
          <w:szCs w:val="28"/>
        </w:rPr>
        <w:t>–</w:t>
      </w:r>
      <w:r w:rsidRPr="002F33D0">
        <w:rPr>
          <w:rFonts w:ascii="Times New Roman" w:hAnsi="Times New Roman" w:cs="Times New Roman"/>
          <w:sz w:val="28"/>
          <w:szCs w:val="28"/>
        </w:rPr>
        <w:t xml:space="preserve"> стимулом к интеграции в национальную инновационную систему и к передаче компетенций в региональные экосистемы.</w:t>
      </w:r>
    </w:p>
    <w:p w14:paraId="35802CA7" w14:textId="77777777" w:rsidR="002F33D0" w:rsidRPr="002F33D0" w:rsidRDefault="002F33D0" w:rsidP="002F33D0">
      <w:pPr>
        <w:spacing w:after="0" w:line="240" w:lineRule="auto"/>
        <w:jc w:val="both"/>
        <w:rPr>
          <w:rFonts w:ascii="Times New Roman" w:hAnsi="Times New Roman" w:cs="Times New Roman"/>
          <w:sz w:val="28"/>
          <w:szCs w:val="28"/>
        </w:rPr>
      </w:pPr>
      <w:r w:rsidRPr="002F33D0">
        <w:rPr>
          <w:rFonts w:ascii="Times New Roman" w:hAnsi="Times New Roman" w:cs="Times New Roman"/>
          <w:sz w:val="28"/>
          <w:szCs w:val="28"/>
        </w:rPr>
        <w:br w:type="page"/>
      </w:r>
    </w:p>
    <w:p w14:paraId="113DCEE0" w14:textId="77777777" w:rsidR="002F33D0" w:rsidRPr="002F33D0" w:rsidRDefault="002F33D0" w:rsidP="002F33D0">
      <w:pPr>
        <w:spacing w:after="0" w:line="240" w:lineRule="auto"/>
        <w:jc w:val="both"/>
        <w:rPr>
          <w:rFonts w:ascii="Times New Roman" w:eastAsia="Times New Roman" w:hAnsi="Times New Roman" w:cs="Times New Roman"/>
          <w:sz w:val="28"/>
          <w:szCs w:val="28"/>
          <w:lang w:eastAsia="ru-RU"/>
        </w:rPr>
        <w:sectPr w:rsidR="002F33D0" w:rsidRPr="002F33D0">
          <w:pgSz w:w="11906" w:h="16838"/>
          <w:pgMar w:top="1134" w:right="850" w:bottom="1134" w:left="1701" w:header="708" w:footer="708" w:gutter="0"/>
          <w:cols w:space="708"/>
          <w:docGrid w:linePitch="360"/>
        </w:sectPr>
      </w:pPr>
    </w:p>
    <w:p w14:paraId="0B361070" w14:textId="0B808624" w:rsidR="002F33D0" w:rsidRPr="002F33D0" w:rsidRDefault="004B60DD" w:rsidP="002F33D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Таблица 3</w:t>
      </w:r>
      <w:r>
        <w:rPr>
          <w:rFonts w:ascii="Times New Roman" w:eastAsia="Times New Roman" w:hAnsi="Times New Roman" w:cs="Times New Roman"/>
          <w:sz w:val="28"/>
          <w:szCs w:val="28"/>
          <w:lang w:val="kk-KZ" w:eastAsia="ru-RU"/>
        </w:rPr>
        <w:t>0</w:t>
      </w:r>
      <w:r w:rsidR="002F33D0" w:rsidRPr="002F33D0">
        <w:rPr>
          <w:rFonts w:ascii="Times New Roman" w:eastAsia="Times New Roman" w:hAnsi="Times New Roman" w:cs="Times New Roman"/>
          <w:sz w:val="28"/>
          <w:szCs w:val="28"/>
          <w:lang w:eastAsia="ru-RU"/>
        </w:rPr>
        <w:t xml:space="preserve"> – Дифференциация приоритетов проектирования инновационного потенциала по устойчивому развитию предпринимательских структур</w:t>
      </w:r>
    </w:p>
    <w:p w14:paraId="342160D8" w14:textId="76F0B130" w:rsidR="002F33D0" w:rsidRPr="004B60DD" w:rsidRDefault="00A96D12" w:rsidP="002F33D0">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0ACA8576" wp14:editId="1D226D2B">
                <wp:simplePos x="0" y="0"/>
                <wp:positionH relativeFrom="column">
                  <wp:posOffset>-406968</wp:posOffset>
                </wp:positionH>
                <wp:positionV relativeFrom="paragraph">
                  <wp:posOffset>2095867</wp:posOffset>
                </wp:positionV>
                <wp:extent cx="553453" cy="276726"/>
                <wp:effectExtent l="5080" t="0" r="4445" b="0"/>
                <wp:wrapNone/>
                <wp:docPr id="177" name="Надпись 177"/>
                <wp:cNvGraphicFramePr/>
                <a:graphic xmlns:a="http://schemas.openxmlformats.org/drawingml/2006/main">
                  <a:graphicData uri="http://schemas.microsoft.com/office/word/2010/wordprocessingShape">
                    <wps:wsp>
                      <wps:cNvSpPr txBox="1"/>
                      <wps:spPr>
                        <a:xfrm rot="5400000">
                          <a:off x="0" y="0"/>
                          <a:ext cx="553453" cy="27672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45D252B" w14:textId="1EC4A9D5" w:rsidR="001D4931" w:rsidRPr="0082050D" w:rsidRDefault="001D4931" w:rsidP="00A96D12">
                            <w:pPr>
                              <w:jc w:val="center"/>
                              <w:rPr>
                                <w:rFonts w:ascii="Times New Roman" w:hAnsi="Times New Roman" w:cs="Times New Roman"/>
                                <w:color w:val="595959" w:themeColor="text1" w:themeTint="A6"/>
                                <w:lang w:val="kk-KZ"/>
                              </w:rPr>
                            </w:pPr>
                            <w:r w:rsidRPr="0082050D">
                              <w:rPr>
                                <w:rFonts w:ascii="Times New Roman" w:hAnsi="Times New Roman" w:cs="Times New Roman"/>
                                <w:color w:val="595959" w:themeColor="text1" w:themeTint="A6"/>
                                <w:lang w:val="kk-KZ"/>
                              </w:rPr>
                              <w:t>120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CA8576" id="Надпись 177" o:spid="_x0000_s1090" type="#_x0000_t202" style="position:absolute;left:0;text-align:left;margin-left:-32.05pt;margin-top:165.05pt;width:43.6pt;height:21.8pt;rotation:90;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mOoAIAAHMFAAAOAAAAZHJzL2Uyb0RvYy54bWysVM1uEzEQviPxDpbvdPPbQNRNFVIVIVVt&#10;RYp6drx2ssL2GNvJbrj1zivwDhw4cOMV0jdi7M2GUrgUsYeVPT+fPd9845PTWiuyEc6XYHLaPepQ&#10;IgyHojTLnL6/OX/xkhIfmCmYAiNyuhWenk6ePzup7Fj0YAWqEI4giPHjyuZ0FYIdZ5nnK6GZPwIr&#10;DDolOM0Cbt0yKxyrEF2rrNfpHGcVuMI64MJ7tJ41TjpJ+FIKHq6k9CIQlVO8W0h/l/6L+M8mJ2y8&#10;dMyuSr6/BvuHW2hWGjz0AHXGAiNrV/4BpUvuwIMMRxx0BlKWXKQasJpu51E18xWzItWC5Hh7oMn/&#10;P1h+ubl2pCywd6MRJYZpbNLuy+7r7tvux+77/d39ZxI9yFNl/RjD5xYTQv0aasxp7R6NsfxaOk0c&#10;IM3DQSd+iRQsk2A08r89cC7qQDgah8P+YNinhKOrNzoe9Y4jZtZARUjrfHgjQJO4yKnDliZQtrnw&#10;oQltQ2K4gfNSqdRWZX4zIGa0ZLGO5r5pFbZKxDhl3gmJTKSLRoPnbrmYKUcauaCesYBWNAkME2Kg&#10;xAOfmLtPidkiqfSJ+YekdD6YcMjXpQGXCEozJGIBG4bqLz6kbuHFZRPfUtEQELkI9aJOWugP2sYu&#10;oNhiv1NLsXxv+XmJfbhgPlwzh6OCRhz/cIU/qaDKKexXlKzAffqbPcajgtFLSYWjl1P/cc2coES9&#10;NajtV93BAGFD2gyGox5u3EPP4qHHrPUMsL5uul1axvig2qV0oG/xlZjGU9HFDMezcxra5Sw0HcZX&#10;hovpNAXhdFoWLszc8ggdaY4qu6lvmbN7KQbU8CW0Q8rGjxTZxMZMA9N1AFkmuUaiG1b3DcDJToLf&#10;v0Lx6Xi4T1G/3srJTwAAAP//AwBQSwMEFAAGAAgAAAAhANedmr7fAAAACQEAAA8AAABkcnMvZG93&#10;bnJldi54bWxMj8FOwzAQRO9I/IO1SNxaJy0tJcSpoFI5QC4tfIAbL0mEvY5ipwl8PdsTnHZHM5p9&#10;m28nZ8UZ+9B6UpDOExBIlTct1Qo+3vezDYgQNRltPaGCbwywLa6vcp0ZP9IBz8dYCy6hkGkFTYxd&#10;JmWoGnQ6zH2HxN6n752OLPtaml6PXO6sXCTJWjrdEl9odIe7Bquv4+AUDOObpd1rWb6s738O+7JK&#10;y+k5Ver2Znp6BBFxin9huOAzOhTMdPIDmSCsgtndYslRBctkw8slwePE+mG1Alnk8v8HxS8AAAD/&#10;/wMAUEsBAi0AFAAGAAgAAAAhALaDOJL+AAAA4QEAABMAAAAAAAAAAAAAAAAAAAAAAFtDb250ZW50&#10;X1R5cGVzXS54bWxQSwECLQAUAAYACAAAACEAOP0h/9YAAACUAQAACwAAAAAAAAAAAAAAAAAvAQAA&#10;X3JlbHMvLnJlbHNQSwECLQAUAAYACAAAACEAPqLJjqACAABzBQAADgAAAAAAAAAAAAAAAAAuAgAA&#10;ZHJzL2Uyb0RvYy54bWxQSwECLQAUAAYACAAAACEA152avt8AAAAJAQAADwAAAAAAAAAAAAAAAAD6&#10;BAAAZHJzL2Rvd25yZXYueG1sUEsFBgAAAAAEAAQA8wAAAAYGAAAAAA==&#10;" filled="f" stroked="f">
                <v:textbox>
                  <w:txbxContent>
                    <w:p w14:paraId="745D252B" w14:textId="1EC4A9D5" w:rsidR="001D4931" w:rsidRPr="0082050D" w:rsidRDefault="001D4931" w:rsidP="00A96D12">
                      <w:pPr>
                        <w:jc w:val="center"/>
                        <w:rPr>
                          <w:rFonts w:ascii="Times New Roman" w:hAnsi="Times New Roman" w:cs="Times New Roman"/>
                          <w:color w:val="595959" w:themeColor="text1" w:themeTint="A6"/>
                          <w:lang w:val="kk-KZ"/>
                        </w:rPr>
                      </w:pPr>
                      <w:r w:rsidRPr="0082050D">
                        <w:rPr>
                          <w:rFonts w:ascii="Times New Roman" w:hAnsi="Times New Roman" w:cs="Times New Roman"/>
                          <w:color w:val="595959" w:themeColor="text1" w:themeTint="A6"/>
                          <w:lang w:val="kk-KZ"/>
                        </w:rPr>
                        <w:t>120</w:t>
                      </w:r>
                    </w:p>
                  </w:txbxContent>
                </v:textbox>
              </v:shape>
            </w:pict>
          </mc:Fallback>
        </mc:AlternateContent>
      </w:r>
    </w:p>
    <w:tbl>
      <w:tblPr>
        <w:tblStyle w:val="a5"/>
        <w:tblW w:w="14596" w:type="dxa"/>
        <w:tblLook w:val="04A0" w:firstRow="1" w:lastRow="0" w:firstColumn="1" w:lastColumn="0" w:noHBand="0" w:noVBand="1"/>
      </w:tblPr>
      <w:tblGrid>
        <w:gridCol w:w="2691"/>
        <w:gridCol w:w="2829"/>
        <w:gridCol w:w="2670"/>
        <w:gridCol w:w="2803"/>
        <w:gridCol w:w="3603"/>
      </w:tblGrid>
      <w:tr w:rsidR="002F33D0" w:rsidRPr="002F33D0" w14:paraId="1073132F" w14:textId="77777777" w:rsidTr="002F33D0">
        <w:tc>
          <w:tcPr>
            <w:tcW w:w="2691" w:type="dxa"/>
            <w:shd w:val="clear" w:color="auto" w:fill="F2F2F2" w:themeFill="background1" w:themeFillShade="F2"/>
            <w:hideMark/>
          </w:tcPr>
          <w:p w14:paraId="7F8D153B"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 xml:space="preserve">Приоритетное направление </w:t>
            </w:r>
          </w:p>
        </w:tc>
        <w:tc>
          <w:tcPr>
            <w:tcW w:w="2829" w:type="dxa"/>
            <w:shd w:val="clear" w:color="auto" w:fill="F2F2F2" w:themeFill="background1" w:themeFillShade="F2"/>
            <w:hideMark/>
          </w:tcPr>
          <w:p w14:paraId="627485AC"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Крупные предприятия</w:t>
            </w:r>
          </w:p>
        </w:tc>
        <w:tc>
          <w:tcPr>
            <w:tcW w:w="2670" w:type="dxa"/>
            <w:shd w:val="clear" w:color="auto" w:fill="F2F2F2" w:themeFill="background1" w:themeFillShade="F2"/>
            <w:hideMark/>
          </w:tcPr>
          <w:p w14:paraId="2B390076"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Средние предприятия</w:t>
            </w:r>
          </w:p>
        </w:tc>
        <w:tc>
          <w:tcPr>
            <w:tcW w:w="2803" w:type="dxa"/>
            <w:shd w:val="clear" w:color="auto" w:fill="F2F2F2" w:themeFill="background1" w:themeFillShade="F2"/>
            <w:hideMark/>
          </w:tcPr>
          <w:p w14:paraId="44D374B3"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Малые предприятия</w:t>
            </w:r>
          </w:p>
        </w:tc>
        <w:tc>
          <w:tcPr>
            <w:tcW w:w="3603" w:type="dxa"/>
            <w:shd w:val="clear" w:color="auto" w:fill="F2F2F2" w:themeFill="background1" w:themeFillShade="F2"/>
            <w:hideMark/>
          </w:tcPr>
          <w:p w14:paraId="7F30DBF4"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 xml:space="preserve">Ключевое эмпирическое обоснование </w:t>
            </w:r>
          </w:p>
        </w:tc>
      </w:tr>
      <w:tr w:rsidR="002F33D0" w:rsidRPr="002F33D0" w14:paraId="3A88B9F1" w14:textId="77777777" w:rsidTr="002F33D0">
        <w:tc>
          <w:tcPr>
            <w:tcW w:w="2691" w:type="dxa"/>
            <w:hideMark/>
          </w:tcPr>
          <w:p w14:paraId="29B3A926" w14:textId="77777777" w:rsidR="002F33D0" w:rsidRPr="002F33D0" w:rsidRDefault="002F33D0" w:rsidP="002F33D0">
            <w:pPr>
              <w:ind w:firstLine="0"/>
              <w:rPr>
                <w:rFonts w:eastAsia="Times New Roman"/>
                <w:szCs w:val="24"/>
                <w:lang w:eastAsia="ru-RU"/>
              </w:rPr>
            </w:pPr>
            <w:r w:rsidRPr="002F33D0">
              <w:rPr>
                <w:rFonts w:eastAsia="Times New Roman"/>
                <w:bCs/>
                <w:szCs w:val="24"/>
                <w:lang w:eastAsia="ru-RU"/>
              </w:rPr>
              <w:t>I. Формирование структурной устойчивости и долгосрочной конкурентоспособности</w:t>
            </w:r>
            <w:r w:rsidRPr="002F33D0">
              <w:rPr>
                <w:rFonts w:eastAsia="Times New Roman"/>
                <w:szCs w:val="24"/>
                <w:lang w:eastAsia="ru-RU"/>
              </w:rPr>
              <w:t xml:space="preserve"> </w:t>
            </w:r>
          </w:p>
        </w:tc>
        <w:tc>
          <w:tcPr>
            <w:tcW w:w="2829" w:type="dxa"/>
            <w:hideMark/>
          </w:tcPr>
          <w:p w14:paraId="6C6CDDAF" w14:textId="77777777" w:rsidR="002F33D0" w:rsidRPr="002F33D0" w:rsidRDefault="002F33D0" w:rsidP="002F33D0">
            <w:pPr>
              <w:ind w:firstLine="0"/>
              <w:rPr>
                <w:rFonts w:eastAsia="Times New Roman"/>
                <w:szCs w:val="24"/>
                <w:lang w:eastAsia="ru-RU"/>
              </w:rPr>
            </w:pPr>
            <w:r w:rsidRPr="002F33D0">
              <w:rPr>
                <w:rFonts w:eastAsia="Times New Roman"/>
                <w:bCs/>
                <w:szCs w:val="24"/>
                <w:lang w:eastAsia="ru-RU"/>
              </w:rPr>
              <w:t>Высокий приоритет.</w:t>
            </w:r>
            <w:r w:rsidRPr="002F33D0">
              <w:rPr>
                <w:rFonts w:eastAsia="Times New Roman"/>
                <w:szCs w:val="24"/>
                <w:lang w:eastAsia="ru-RU"/>
              </w:rPr>
              <w:t xml:space="preserve"> Акцент на </w:t>
            </w:r>
            <w:r w:rsidRPr="002F33D0">
              <w:rPr>
                <w:rFonts w:eastAsia="Times New Roman"/>
                <w:bCs/>
                <w:szCs w:val="24"/>
                <w:lang w:eastAsia="ru-RU"/>
              </w:rPr>
              <w:t>MR</w:t>
            </w:r>
            <w:r w:rsidRPr="002F33D0">
              <w:rPr>
                <w:rFonts w:eastAsia="Times New Roman"/>
                <w:szCs w:val="24"/>
                <w:lang w:eastAsia="ru-RU"/>
              </w:rPr>
              <w:t xml:space="preserve"> (стратегия, НИОКР) (</w:t>
            </w:r>
            <w:r w:rsidRPr="002F33D0">
              <w:rPr>
                <w:rFonts w:eastAsia="Times New Roman"/>
                <w:i/>
                <w:iCs/>
                <w:szCs w:val="24"/>
                <w:lang w:eastAsia="ru-RU"/>
              </w:rPr>
              <w:t>β</w:t>
            </w:r>
            <w:r w:rsidRPr="002F33D0">
              <w:rPr>
                <w:rFonts w:eastAsia="Times New Roman"/>
                <w:szCs w:val="24"/>
                <w:lang w:eastAsia="ru-RU"/>
              </w:rPr>
              <w:t>=0,561).</w:t>
            </w:r>
          </w:p>
        </w:tc>
        <w:tc>
          <w:tcPr>
            <w:tcW w:w="2670" w:type="dxa"/>
            <w:hideMark/>
          </w:tcPr>
          <w:p w14:paraId="27817C56" w14:textId="77777777" w:rsidR="002F33D0" w:rsidRPr="002F33D0" w:rsidRDefault="002F33D0" w:rsidP="002F33D0">
            <w:pPr>
              <w:ind w:firstLine="0"/>
              <w:rPr>
                <w:rFonts w:eastAsia="Times New Roman"/>
                <w:szCs w:val="24"/>
                <w:lang w:eastAsia="ru-RU"/>
              </w:rPr>
            </w:pPr>
            <w:r w:rsidRPr="002F33D0">
              <w:rPr>
                <w:rFonts w:eastAsia="Times New Roman"/>
                <w:bCs/>
                <w:szCs w:val="24"/>
                <w:lang w:eastAsia="ru-RU"/>
              </w:rPr>
              <w:t>Высокий приоритет.</w:t>
            </w:r>
            <w:r w:rsidRPr="002F33D0">
              <w:rPr>
                <w:rFonts w:eastAsia="Times New Roman"/>
                <w:szCs w:val="24"/>
                <w:lang w:eastAsia="ru-RU"/>
              </w:rPr>
              <w:t xml:space="preserve"> Сбалансированное развитие MR и TR.</w:t>
            </w:r>
          </w:p>
        </w:tc>
        <w:tc>
          <w:tcPr>
            <w:tcW w:w="2803" w:type="dxa"/>
            <w:hideMark/>
          </w:tcPr>
          <w:p w14:paraId="2D8BA92A" w14:textId="77777777" w:rsidR="002F33D0" w:rsidRPr="002F33D0" w:rsidRDefault="002F33D0" w:rsidP="002F33D0">
            <w:pPr>
              <w:ind w:firstLine="0"/>
              <w:rPr>
                <w:rFonts w:eastAsia="Times New Roman"/>
                <w:szCs w:val="24"/>
                <w:lang w:eastAsia="ru-RU"/>
              </w:rPr>
            </w:pPr>
            <w:r w:rsidRPr="002F33D0">
              <w:rPr>
                <w:rFonts w:eastAsia="Times New Roman"/>
                <w:bCs/>
                <w:szCs w:val="24"/>
                <w:lang w:eastAsia="ru-RU"/>
              </w:rPr>
              <w:t>Высокий приоритет.</w:t>
            </w:r>
            <w:r w:rsidRPr="002F33D0">
              <w:rPr>
                <w:rFonts w:eastAsia="Times New Roman"/>
                <w:szCs w:val="24"/>
                <w:lang w:eastAsia="ru-RU"/>
              </w:rPr>
              <w:t xml:space="preserve"> Акцент на </w:t>
            </w:r>
            <w:r w:rsidRPr="002F33D0">
              <w:rPr>
                <w:rFonts w:eastAsia="Times New Roman"/>
                <w:bCs/>
                <w:szCs w:val="24"/>
                <w:lang w:eastAsia="ru-RU"/>
              </w:rPr>
              <w:t>TR</w:t>
            </w:r>
            <w:r w:rsidRPr="002F33D0">
              <w:rPr>
                <w:rFonts w:eastAsia="Times New Roman"/>
                <w:szCs w:val="24"/>
                <w:lang w:eastAsia="ru-RU"/>
              </w:rPr>
              <w:t xml:space="preserve"> (</w:t>
            </w:r>
            <w:r w:rsidRPr="002F33D0">
              <w:rPr>
                <w:rFonts w:eastAsia="Times New Roman"/>
                <w:i/>
                <w:iCs/>
                <w:szCs w:val="24"/>
                <w:lang w:eastAsia="ru-RU"/>
              </w:rPr>
              <w:t>β</w:t>
            </w:r>
            <w:r w:rsidRPr="002F33D0">
              <w:rPr>
                <w:rFonts w:eastAsia="Times New Roman"/>
                <w:szCs w:val="24"/>
                <w:lang w:eastAsia="ru-RU"/>
              </w:rPr>
              <w:t>=0,531).</w:t>
            </w:r>
          </w:p>
        </w:tc>
        <w:tc>
          <w:tcPr>
            <w:tcW w:w="3603" w:type="dxa"/>
            <w:hideMark/>
          </w:tcPr>
          <w:p w14:paraId="61E57364" w14:textId="77777777" w:rsidR="002F33D0" w:rsidRPr="002F33D0" w:rsidRDefault="002F33D0" w:rsidP="002F33D0">
            <w:pPr>
              <w:ind w:firstLine="0"/>
              <w:rPr>
                <w:rFonts w:eastAsia="Times New Roman"/>
                <w:szCs w:val="24"/>
                <w:lang w:eastAsia="ru-RU"/>
              </w:rPr>
            </w:pPr>
            <w:r w:rsidRPr="002F33D0">
              <w:rPr>
                <w:rFonts w:eastAsia="Times New Roman"/>
                <w:i/>
                <w:iCs/>
                <w:szCs w:val="24"/>
                <w:lang w:eastAsia="ru-RU"/>
              </w:rPr>
              <w:t>β</w:t>
            </w:r>
            <w:r w:rsidRPr="002F33D0">
              <w:rPr>
                <w:rFonts w:eastAsia="Times New Roman"/>
                <w:szCs w:val="24"/>
                <w:lang w:eastAsia="ru-RU"/>
              </w:rPr>
              <w:t>-коэффициенты ресурсных факторов: MR/TR имеют наибольшее влияние на ИП.</w:t>
            </w:r>
          </w:p>
        </w:tc>
      </w:tr>
      <w:tr w:rsidR="002F33D0" w:rsidRPr="002F33D0" w14:paraId="6D548CC1" w14:textId="77777777" w:rsidTr="002F33D0">
        <w:tc>
          <w:tcPr>
            <w:tcW w:w="2691" w:type="dxa"/>
            <w:hideMark/>
          </w:tcPr>
          <w:p w14:paraId="2A521AA2" w14:textId="77777777" w:rsidR="002F33D0" w:rsidRPr="002F33D0" w:rsidRDefault="002F33D0" w:rsidP="002F33D0">
            <w:pPr>
              <w:ind w:firstLine="0"/>
              <w:rPr>
                <w:rFonts w:eastAsia="Times New Roman"/>
                <w:szCs w:val="24"/>
                <w:lang w:eastAsia="ru-RU"/>
              </w:rPr>
            </w:pPr>
            <w:r w:rsidRPr="002F33D0">
              <w:rPr>
                <w:rFonts w:eastAsia="Times New Roman"/>
                <w:bCs/>
                <w:szCs w:val="24"/>
                <w:lang w:eastAsia="ru-RU"/>
              </w:rPr>
              <w:t>II. Обеспечение адаптивной устойчивости и цифровой зрелости</w:t>
            </w:r>
          </w:p>
        </w:tc>
        <w:tc>
          <w:tcPr>
            <w:tcW w:w="2829" w:type="dxa"/>
            <w:hideMark/>
          </w:tcPr>
          <w:p w14:paraId="2AD488A7" w14:textId="77777777" w:rsidR="002F33D0" w:rsidRPr="002F33D0" w:rsidRDefault="002F33D0" w:rsidP="002F33D0">
            <w:pPr>
              <w:ind w:firstLine="0"/>
              <w:rPr>
                <w:rFonts w:eastAsia="Times New Roman"/>
                <w:szCs w:val="24"/>
                <w:lang w:eastAsia="ru-RU"/>
              </w:rPr>
            </w:pPr>
            <w:r w:rsidRPr="002F33D0">
              <w:rPr>
                <w:rFonts w:eastAsia="Times New Roman"/>
                <w:bCs/>
                <w:szCs w:val="24"/>
                <w:lang w:eastAsia="ru-RU"/>
              </w:rPr>
              <w:t>Низкий приоритет</w:t>
            </w:r>
            <w:r w:rsidRPr="002F33D0">
              <w:rPr>
                <w:rFonts w:eastAsia="Times New Roman"/>
                <w:szCs w:val="24"/>
                <w:lang w:eastAsia="ru-RU"/>
              </w:rPr>
              <w:t xml:space="preserve"> медиаторного эффекта.</w:t>
            </w:r>
          </w:p>
        </w:tc>
        <w:tc>
          <w:tcPr>
            <w:tcW w:w="2670" w:type="dxa"/>
            <w:hideMark/>
          </w:tcPr>
          <w:p w14:paraId="368B334E" w14:textId="77777777" w:rsidR="002F33D0" w:rsidRPr="002F33D0" w:rsidRDefault="002F33D0" w:rsidP="002F33D0">
            <w:pPr>
              <w:ind w:firstLine="0"/>
              <w:rPr>
                <w:rFonts w:eastAsia="Times New Roman"/>
                <w:szCs w:val="24"/>
                <w:lang w:eastAsia="ru-RU"/>
              </w:rPr>
            </w:pPr>
            <w:r w:rsidRPr="002F33D0">
              <w:rPr>
                <w:rFonts w:eastAsia="Times New Roman"/>
                <w:bCs/>
                <w:szCs w:val="24"/>
                <w:lang w:eastAsia="ru-RU"/>
              </w:rPr>
              <w:t>Умеренный приоритет.</w:t>
            </w:r>
            <w:r w:rsidRPr="002F33D0">
              <w:rPr>
                <w:rFonts w:eastAsia="Times New Roman"/>
                <w:szCs w:val="24"/>
                <w:lang w:eastAsia="ru-RU"/>
              </w:rPr>
              <w:t xml:space="preserve"> Переходная стадия цифровой адаптации.</w:t>
            </w:r>
          </w:p>
        </w:tc>
        <w:tc>
          <w:tcPr>
            <w:tcW w:w="2803" w:type="dxa"/>
            <w:hideMark/>
          </w:tcPr>
          <w:p w14:paraId="153BF980" w14:textId="77777777" w:rsidR="002F33D0" w:rsidRPr="002F33D0" w:rsidRDefault="002F33D0" w:rsidP="002F33D0">
            <w:pPr>
              <w:ind w:firstLine="0"/>
              <w:rPr>
                <w:rFonts w:eastAsia="Times New Roman"/>
                <w:szCs w:val="24"/>
                <w:lang w:eastAsia="ru-RU"/>
              </w:rPr>
            </w:pPr>
            <w:r w:rsidRPr="002F33D0">
              <w:rPr>
                <w:rFonts w:eastAsia="Times New Roman"/>
                <w:bCs/>
                <w:szCs w:val="24"/>
                <w:lang w:eastAsia="ru-RU"/>
              </w:rPr>
              <w:t>Критический приоритет.</w:t>
            </w:r>
            <w:r w:rsidRPr="002F33D0">
              <w:rPr>
                <w:rFonts w:eastAsia="Times New Roman"/>
                <w:szCs w:val="24"/>
                <w:lang w:eastAsia="ru-RU"/>
              </w:rPr>
              <w:t xml:space="preserve"> Цифровая адаптация как </w:t>
            </w:r>
            <w:r w:rsidRPr="002F33D0">
              <w:rPr>
                <w:rFonts w:eastAsia="Times New Roman"/>
                <w:bCs/>
                <w:szCs w:val="24"/>
                <w:lang w:eastAsia="ru-RU"/>
              </w:rPr>
              <w:t>компенсатор</w:t>
            </w:r>
            <w:r w:rsidRPr="002F33D0">
              <w:rPr>
                <w:rFonts w:eastAsia="Times New Roman"/>
                <w:szCs w:val="24"/>
                <w:lang w:eastAsia="ru-RU"/>
              </w:rPr>
              <w:t xml:space="preserve"> ресурсов.</w:t>
            </w:r>
          </w:p>
        </w:tc>
        <w:tc>
          <w:tcPr>
            <w:tcW w:w="3603" w:type="dxa"/>
            <w:hideMark/>
          </w:tcPr>
          <w:p w14:paraId="38DF65E3" w14:textId="77777777" w:rsidR="002F33D0" w:rsidRPr="002F33D0" w:rsidRDefault="002F33D0" w:rsidP="002F33D0">
            <w:pPr>
              <w:ind w:firstLine="0"/>
              <w:rPr>
                <w:rFonts w:eastAsia="Times New Roman"/>
                <w:szCs w:val="24"/>
                <w:lang w:eastAsia="ru-RU"/>
              </w:rPr>
            </w:pPr>
            <w:r w:rsidRPr="00A96D12">
              <w:rPr>
                <w:rFonts w:eastAsia="Times New Roman"/>
                <w:sz w:val="22"/>
                <w:szCs w:val="24"/>
                <w:lang w:eastAsia="ru-RU"/>
              </w:rPr>
              <w:t xml:space="preserve">Медиаторный эффект </w:t>
            </w:r>
            <w:r w:rsidRPr="00A96D12">
              <w:rPr>
                <w:rFonts w:eastAsia="Times New Roman"/>
                <w:sz w:val="22"/>
                <w:szCs w:val="24"/>
                <w:lang w:val="kk-KZ" w:eastAsia="ru-RU"/>
              </w:rPr>
              <w:t>Индекса цифровой зрелости</w:t>
            </w:r>
            <w:r w:rsidRPr="00A96D12">
              <w:rPr>
                <w:rFonts w:eastAsia="Times New Roman"/>
                <w:sz w:val="22"/>
                <w:szCs w:val="24"/>
                <w:lang w:eastAsia="ru-RU"/>
              </w:rPr>
              <w:t xml:space="preserve"> → ИП: </w:t>
            </w:r>
            <w:r w:rsidRPr="00A96D12">
              <w:rPr>
                <w:rFonts w:eastAsia="Times New Roman"/>
                <w:bCs/>
                <w:sz w:val="22"/>
                <w:szCs w:val="24"/>
                <w:lang w:eastAsia="ru-RU"/>
              </w:rPr>
              <w:t>Значим для малых</w:t>
            </w:r>
            <w:r w:rsidRPr="00A96D12">
              <w:rPr>
                <w:rFonts w:eastAsia="Times New Roman"/>
                <w:sz w:val="22"/>
                <w:szCs w:val="24"/>
                <w:lang w:eastAsia="ru-RU"/>
              </w:rPr>
              <w:t xml:space="preserve"> (</w:t>
            </w:r>
            <w:r w:rsidRPr="00A96D12">
              <w:rPr>
                <w:rFonts w:eastAsia="Times New Roman"/>
                <w:i/>
                <w:iCs/>
                <w:sz w:val="22"/>
                <w:szCs w:val="24"/>
                <w:lang w:eastAsia="ru-RU"/>
              </w:rPr>
              <w:t>β</w:t>
            </w:r>
            <w:r w:rsidRPr="00A96D12">
              <w:rPr>
                <w:rFonts w:eastAsia="Times New Roman"/>
                <w:sz w:val="22"/>
                <w:szCs w:val="24"/>
                <w:lang w:eastAsia="ru-RU"/>
              </w:rPr>
              <w:t>=0,203; p &lt; 0,05), незначим для крупных (</w:t>
            </w:r>
            <w:r w:rsidRPr="00A96D12">
              <w:rPr>
                <w:rFonts w:eastAsia="Times New Roman"/>
                <w:i/>
                <w:iCs/>
                <w:sz w:val="22"/>
                <w:szCs w:val="24"/>
                <w:lang w:eastAsia="ru-RU"/>
              </w:rPr>
              <w:t>β</w:t>
            </w:r>
            <w:r w:rsidRPr="00A96D12">
              <w:rPr>
                <w:rFonts w:eastAsia="Times New Roman"/>
                <w:sz w:val="22"/>
                <w:szCs w:val="24"/>
                <w:lang w:eastAsia="ru-RU"/>
              </w:rPr>
              <w:t>=0,124; p = 0,216).</w:t>
            </w:r>
          </w:p>
        </w:tc>
      </w:tr>
      <w:tr w:rsidR="002F33D0" w:rsidRPr="002F33D0" w14:paraId="5048E19C" w14:textId="77777777" w:rsidTr="002F33D0">
        <w:tc>
          <w:tcPr>
            <w:tcW w:w="2691" w:type="dxa"/>
            <w:hideMark/>
          </w:tcPr>
          <w:p w14:paraId="5FA8B967" w14:textId="77777777" w:rsidR="002F33D0" w:rsidRPr="002F33D0" w:rsidRDefault="002F33D0" w:rsidP="002F33D0">
            <w:pPr>
              <w:ind w:firstLine="0"/>
              <w:rPr>
                <w:rFonts w:eastAsia="Times New Roman"/>
                <w:szCs w:val="24"/>
                <w:lang w:eastAsia="ru-RU"/>
              </w:rPr>
            </w:pPr>
            <w:r w:rsidRPr="002F33D0">
              <w:rPr>
                <w:rFonts w:eastAsia="Times New Roman"/>
                <w:bCs/>
                <w:szCs w:val="24"/>
                <w:lang w:eastAsia="ru-RU"/>
              </w:rPr>
              <w:t xml:space="preserve">III. </w:t>
            </w:r>
            <w:r w:rsidRPr="00A96D12">
              <w:rPr>
                <w:rFonts w:eastAsia="Times New Roman"/>
                <w:bCs/>
                <w:sz w:val="22"/>
                <w:szCs w:val="24"/>
                <w:lang w:eastAsia="ru-RU"/>
              </w:rPr>
              <w:t>Институционализа</w:t>
            </w:r>
            <w:r w:rsidRPr="00A96D12">
              <w:rPr>
                <w:rFonts w:eastAsia="Times New Roman"/>
                <w:bCs/>
                <w:sz w:val="22"/>
                <w:szCs w:val="24"/>
                <w:lang w:val="kk-KZ" w:eastAsia="ru-RU"/>
              </w:rPr>
              <w:t>-</w:t>
            </w:r>
            <w:r w:rsidRPr="00A96D12">
              <w:rPr>
                <w:rFonts w:eastAsia="Times New Roman"/>
                <w:bCs/>
                <w:sz w:val="22"/>
                <w:szCs w:val="24"/>
                <w:lang w:eastAsia="ru-RU"/>
              </w:rPr>
              <w:t>ция человеческого капитала как основы социально-экологической устойчивости</w:t>
            </w:r>
          </w:p>
        </w:tc>
        <w:tc>
          <w:tcPr>
            <w:tcW w:w="2829" w:type="dxa"/>
            <w:hideMark/>
          </w:tcPr>
          <w:p w14:paraId="66DD96D5" w14:textId="77777777" w:rsidR="002F33D0" w:rsidRPr="00A96D12" w:rsidRDefault="002F33D0" w:rsidP="002F33D0">
            <w:pPr>
              <w:ind w:firstLine="0"/>
              <w:rPr>
                <w:rFonts w:eastAsia="Times New Roman"/>
                <w:sz w:val="22"/>
                <w:szCs w:val="24"/>
                <w:lang w:eastAsia="ru-RU"/>
              </w:rPr>
            </w:pPr>
            <w:r w:rsidRPr="00A96D12">
              <w:rPr>
                <w:rFonts w:eastAsia="Times New Roman"/>
                <w:bCs/>
                <w:sz w:val="22"/>
                <w:szCs w:val="24"/>
                <w:lang w:eastAsia="ru-RU"/>
              </w:rPr>
              <w:t>Высокий приоритет.</w:t>
            </w:r>
            <w:r w:rsidRPr="00A96D12">
              <w:rPr>
                <w:rFonts w:eastAsia="Times New Roman"/>
                <w:sz w:val="22"/>
                <w:szCs w:val="24"/>
                <w:lang w:eastAsia="ru-RU"/>
              </w:rPr>
              <w:t xml:space="preserve"> Технологические Hard-skills (Робототехника </w:t>
            </w:r>
            <w:r w:rsidRPr="00A96D12">
              <w:rPr>
                <w:rFonts w:eastAsia="Times New Roman"/>
                <w:i/>
                <w:iCs/>
                <w:sz w:val="22"/>
                <w:szCs w:val="24"/>
                <w:lang w:eastAsia="ru-RU"/>
              </w:rPr>
              <w:t>β</w:t>
            </w:r>
            <w:r w:rsidRPr="00A96D12">
              <w:rPr>
                <w:rFonts w:eastAsia="Times New Roman"/>
                <w:sz w:val="22"/>
                <w:szCs w:val="24"/>
                <w:lang w:eastAsia="ru-RU"/>
              </w:rPr>
              <w:t xml:space="preserve">=0,378, Big Data </w:t>
            </w:r>
            <w:r w:rsidRPr="00A96D12">
              <w:rPr>
                <w:rFonts w:eastAsia="Times New Roman"/>
                <w:i/>
                <w:iCs/>
                <w:sz w:val="22"/>
                <w:szCs w:val="24"/>
                <w:lang w:eastAsia="ru-RU"/>
              </w:rPr>
              <w:t>β</w:t>
            </w:r>
            <w:r w:rsidRPr="00A96D12">
              <w:rPr>
                <w:rFonts w:eastAsia="Times New Roman"/>
                <w:sz w:val="22"/>
                <w:szCs w:val="24"/>
                <w:lang w:eastAsia="ru-RU"/>
              </w:rPr>
              <w:t xml:space="preserve">=0,337) и </w:t>
            </w:r>
            <w:r w:rsidRPr="00A96D12">
              <w:rPr>
                <w:rFonts w:eastAsia="Times New Roman"/>
                <w:bCs/>
                <w:sz w:val="22"/>
                <w:szCs w:val="24"/>
                <w:lang w:eastAsia="ru-RU"/>
              </w:rPr>
              <w:t>Устойчивое мышление</w:t>
            </w:r>
            <w:r w:rsidRPr="00A96D12">
              <w:rPr>
                <w:rFonts w:eastAsia="Times New Roman"/>
                <w:sz w:val="22"/>
                <w:szCs w:val="24"/>
                <w:lang w:eastAsia="ru-RU"/>
              </w:rPr>
              <w:t xml:space="preserve"> (</w:t>
            </w:r>
            <w:r w:rsidRPr="00A96D12">
              <w:rPr>
                <w:rFonts w:eastAsia="Times New Roman"/>
                <w:i/>
                <w:iCs/>
                <w:sz w:val="22"/>
                <w:szCs w:val="24"/>
                <w:lang w:eastAsia="ru-RU"/>
              </w:rPr>
              <w:t>β</w:t>
            </w:r>
            <w:r w:rsidRPr="00A96D12">
              <w:rPr>
                <w:rFonts w:eastAsia="Times New Roman"/>
                <w:sz w:val="22"/>
                <w:szCs w:val="24"/>
                <w:lang w:eastAsia="ru-RU"/>
              </w:rPr>
              <w:t>=0,287).</w:t>
            </w:r>
          </w:p>
        </w:tc>
        <w:tc>
          <w:tcPr>
            <w:tcW w:w="2670" w:type="dxa"/>
            <w:hideMark/>
          </w:tcPr>
          <w:p w14:paraId="5DF0513A" w14:textId="77777777" w:rsidR="002F33D0" w:rsidRPr="002F33D0" w:rsidRDefault="002F33D0" w:rsidP="002F33D0">
            <w:pPr>
              <w:ind w:firstLine="0"/>
              <w:rPr>
                <w:rFonts w:eastAsia="Times New Roman"/>
                <w:szCs w:val="24"/>
                <w:lang w:eastAsia="ru-RU"/>
              </w:rPr>
            </w:pPr>
            <w:r w:rsidRPr="002F33D0">
              <w:rPr>
                <w:rFonts w:eastAsia="Times New Roman"/>
                <w:bCs/>
                <w:szCs w:val="24"/>
                <w:lang w:eastAsia="ru-RU"/>
              </w:rPr>
              <w:t>Высокий приоритет.</w:t>
            </w:r>
            <w:r w:rsidRPr="002F33D0">
              <w:rPr>
                <w:rFonts w:eastAsia="Times New Roman"/>
                <w:szCs w:val="24"/>
                <w:lang w:eastAsia="ru-RU"/>
              </w:rPr>
              <w:t xml:space="preserve"> Баланс Soft- и Hard-skills (Тренды </w:t>
            </w:r>
            <w:r w:rsidRPr="002F33D0">
              <w:rPr>
                <w:rFonts w:eastAsia="Times New Roman"/>
                <w:i/>
                <w:iCs/>
                <w:szCs w:val="24"/>
                <w:lang w:eastAsia="ru-RU"/>
              </w:rPr>
              <w:t>β</w:t>
            </w:r>
            <w:r w:rsidRPr="002F33D0">
              <w:rPr>
                <w:rFonts w:eastAsia="Times New Roman"/>
                <w:szCs w:val="24"/>
                <w:lang w:eastAsia="ru-RU"/>
              </w:rPr>
              <w:t xml:space="preserve">=0,408, Креативность </w:t>
            </w:r>
            <w:r w:rsidRPr="002F33D0">
              <w:rPr>
                <w:rFonts w:eastAsia="Times New Roman"/>
                <w:i/>
                <w:iCs/>
                <w:szCs w:val="24"/>
                <w:lang w:eastAsia="ru-RU"/>
              </w:rPr>
              <w:t>β</w:t>
            </w:r>
            <w:r w:rsidRPr="002F33D0">
              <w:rPr>
                <w:rFonts w:eastAsia="Times New Roman"/>
                <w:szCs w:val="24"/>
                <w:lang w:eastAsia="ru-RU"/>
              </w:rPr>
              <w:t>=0,259).</w:t>
            </w:r>
          </w:p>
        </w:tc>
        <w:tc>
          <w:tcPr>
            <w:tcW w:w="2803" w:type="dxa"/>
            <w:hideMark/>
          </w:tcPr>
          <w:p w14:paraId="676914D4" w14:textId="77777777" w:rsidR="002F33D0" w:rsidRPr="002F33D0" w:rsidRDefault="002F33D0" w:rsidP="002F33D0">
            <w:pPr>
              <w:ind w:firstLine="0"/>
              <w:rPr>
                <w:rFonts w:eastAsia="Times New Roman"/>
                <w:szCs w:val="24"/>
                <w:lang w:eastAsia="ru-RU"/>
              </w:rPr>
            </w:pPr>
            <w:r w:rsidRPr="002F33D0">
              <w:rPr>
                <w:rFonts w:eastAsia="Times New Roman"/>
                <w:bCs/>
                <w:szCs w:val="24"/>
                <w:lang w:eastAsia="ru-RU"/>
              </w:rPr>
              <w:t>Высокий приоритет.</w:t>
            </w:r>
            <w:r w:rsidRPr="002F33D0">
              <w:rPr>
                <w:rFonts w:eastAsia="Times New Roman"/>
                <w:szCs w:val="24"/>
                <w:lang w:eastAsia="ru-RU"/>
              </w:rPr>
              <w:t xml:space="preserve"> Универсальные компетенции</w:t>
            </w:r>
            <w:r w:rsidRPr="002F33D0">
              <w:rPr>
                <w:rFonts w:eastAsia="Times New Roman"/>
                <w:szCs w:val="24"/>
                <w:lang w:val="kk-KZ" w:eastAsia="ru-RU"/>
              </w:rPr>
              <w:t xml:space="preserve"> </w:t>
            </w:r>
            <w:r w:rsidRPr="002F33D0">
              <w:rPr>
                <w:rFonts w:eastAsia="Times New Roman"/>
                <w:szCs w:val="24"/>
                <w:lang w:eastAsia="ru-RU"/>
              </w:rPr>
              <w:t>(Адаптивность, Креативность).</w:t>
            </w:r>
          </w:p>
        </w:tc>
        <w:tc>
          <w:tcPr>
            <w:tcW w:w="3603" w:type="dxa"/>
            <w:hideMark/>
          </w:tcPr>
          <w:p w14:paraId="45510566"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 xml:space="preserve">Hard-skills и </w:t>
            </w:r>
            <w:r w:rsidRPr="002F33D0">
              <w:rPr>
                <w:rFonts w:eastAsia="Times New Roman"/>
                <w:iCs/>
                <w:szCs w:val="24"/>
                <w:lang w:eastAsia="ru-RU"/>
              </w:rPr>
              <w:t>«Устойчивое мышление»</w:t>
            </w:r>
            <w:r w:rsidRPr="002F33D0">
              <w:rPr>
                <w:rFonts w:eastAsia="Times New Roman"/>
                <w:szCs w:val="24"/>
                <w:lang w:eastAsia="ru-RU"/>
              </w:rPr>
              <w:t xml:space="preserve"> (</w:t>
            </w:r>
            <w:r w:rsidRPr="002F33D0">
              <w:rPr>
                <w:rFonts w:eastAsia="Times New Roman"/>
                <w:i/>
                <w:iCs/>
                <w:szCs w:val="24"/>
                <w:lang w:eastAsia="ru-RU"/>
              </w:rPr>
              <w:t>β</w:t>
            </w:r>
            <w:r w:rsidRPr="002F33D0">
              <w:rPr>
                <w:rFonts w:eastAsia="Times New Roman"/>
                <w:szCs w:val="24"/>
                <w:lang w:eastAsia="ru-RU"/>
              </w:rPr>
              <w:t xml:space="preserve">=0,287) значимо влияют на ИП, что связывает ИП с задачами </w:t>
            </w:r>
            <w:r w:rsidRPr="002F33D0">
              <w:rPr>
                <w:rFonts w:eastAsia="Times New Roman"/>
                <w:szCs w:val="24"/>
                <w:lang w:val="kk-KZ" w:eastAsia="ru-RU"/>
              </w:rPr>
              <w:t>устойчивого развития</w:t>
            </w:r>
            <w:r w:rsidRPr="002F33D0">
              <w:rPr>
                <w:rFonts w:eastAsia="Times New Roman"/>
                <w:szCs w:val="24"/>
                <w:lang w:eastAsia="ru-RU"/>
              </w:rPr>
              <w:t>.</w:t>
            </w:r>
          </w:p>
        </w:tc>
      </w:tr>
      <w:tr w:rsidR="002F33D0" w:rsidRPr="002F33D0" w14:paraId="2B4EDAED" w14:textId="77777777" w:rsidTr="002F33D0">
        <w:tc>
          <w:tcPr>
            <w:tcW w:w="2691" w:type="dxa"/>
            <w:hideMark/>
          </w:tcPr>
          <w:p w14:paraId="1704096C" w14:textId="77777777" w:rsidR="002F33D0" w:rsidRPr="002F33D0" w:rsidRDefault="002F33D0" w:rsidP="002F33D0">
            <w:pPr>
              <w:ind w:firstLine="0"/>
              <w:rPr>
                <w:rFonts w:eastAsia="Times New Roman"/>
                <w:szCs w:val="24"/>
                <w:lang w:eastAsia="ru-RU"/>
              </w:rPr>
            </w:pPr>
            <w:r w:rsidRPr="002F33D0">
              <w:rPr>
                <w:rFonts w:eastAsia="Times New Roman"/>
                <w:bCs/>
                <w:szCs w:val="24"/>
                <w:lang w:eastAsia="ru-RU"/>
              </w:rPr>
              <w:t>IV. Снижение институциональных барьеров для обеспечения инклюзивного роста</w:t>
            </w:r>
          </w:p>
        </w:tc>
        <w:tc>
          <w:tcPr>
            <w:tcW w:w="2829" w:type="dxa"/>
            <w:hideMark/>
          </w:tcPr>
          <w:p w14:paraId="10EA2F5B" w14:textId="77777777" w:rsidR="002F33D0" w:rsidRPr="002F33D0" w:rsidRDefault="002F33D0" w:rsidP="002F33D0">
            <w:pPr>
              <w:ind w:firstLine="0"/>
              <w:rPr>
                <w:rFonts w:eastAsia="Times New Roman"/>
                <w:szCs w:val="24"/>
                <w:lang w:eastAsia="ru-RU"/>
              </w:rPr>
            </w:pPr>
            <w:r w:rsidRPr="002F33D0">
              <w:rPr>
                <w:rFonts w:eastAsia="Times New Roman"/>
                <w:bCs/>
                <w:szCs w:val="24"/>
                <w:lang w:eastAsia="ru-RU"/>
              </w:rPr>
              <w:t>Низкий приоритет.</w:t>
            </w:r>
            <w:r w:rsidRPr="002F33D0">
              <w:rPr>
                <w:rFonts w:eastAsia="Times New Roman"/>
                <w:szCs w:val="24"/>
                <w:lang w:eastAsia="ru-RU"/>
              </w:rPr>
              <w:t xml:space="preserve"> Имеют развитые управленческие структуры для работы с институтами.</w:t>
            </w:r>
          </w:p>
        </w:tc>
        <w:tc>
          <w:tcPr>
            <w:tcW w:w="2670" w:type="dxa"/>
            <w:hideMark/>
          </w:tcPr>
          <w:p w14:paraId="0327759A" w14:textId="77777777" w:rsidR="002F33D0" w:rsidRPr="002F33D0" w:rsidRDefault="002F33D0" w:rsidP="002F33D0">
            <w:pPr>
              <w:ind w:firstLine="0"/>
              <w:rPr>
                <w:rFonts w:eastAsia="Times New Roman"/>
                <w:szCs w:val="24"/>
                <w:lang w:eastAsia="ru-RU"/>
              </w:rPr>
            </w:pPr>
            <w:r w:rsidRPr="002F33D0">
              <w:rPr>
                <w:rFonts w:eastAsia="Times New Roman"/>
                <w:bCs/>
                <w:szCs w:val="24"/>
                <w:lang w:eastAsia="ru-RU"/>
              </w:rPr>
              <w:t>Средний приоритет.</w:t>
            </w:r>
            <w:r w:rsidRPr="002F33D0">
              <w:rPr>
                <w:rFonts w:eastAsia="Times New Roman"/>
                <w:szCs w:val="24"/>
                <w:lang w:eastAsia="ru-RU"/>
              </w:rPr>
              <w:t xml:space="preserve"> Требуется упрощение процедур и снижение трансакционных издержек.</w:t>
            </w:r>
          </w:p>
        </w:tc>
        <w:tc>
          <w:tcPr>
            <w:tcW w:w="2803" w:type="dxa"/>
            <w:hideMark/>
          </w:tcPr>
          <w:p w14:paraId="1BD7499F" w14:textId="77777777" w:rsidR="002F33D0" w:rsidRPr="002F33D0" w:rsidRDefault="002F33D0" w:rsidP="002F33D0">
            <w:pPr>
              <w:ind w:firstLine="0"/>
              <w:rPr>
                <w:rFonts w:eastAsia="Times New Roman"/>
                <w:bCs/>
                <w:szCs w:val="24"/>
                <w:lang w:eastAsia="ru-RU"/>
              </w:rPr>
            </w:pPr>
            <w:r w:rsidRPr="002F33D0">
              <w:rPr>
                <w:rFonts w:eastAsia="Times New Roman"/>
                <w:bCs/>
                <w:szCs w:val="24"/>
                <w:lang w:eastAsia="ru-RU"/>
              </w:rPr>
              <w:t>Критический приоритет.</w:t>
            </w:r>
            <w:r w:rsidRPr="002F33D0">
              <w:rPr>
                <w:rFonts w:eastAsia="Times New Roman"/>
                <w:szCs w:val="24"/>
                <w:lang w:eastAsia="ru-RU"/>
              </w:rPr>
              <w:t xml:space="preserve"> Наличие </w:t>
            </w:r>
            <w:r w:rsidRPr="002F33D0">
              <w:rPr>
                <w:rFonts w:eastAsia="Times New Roman"/>
                <w:bCs/>
                <w:szCs w:val="24"/>
                <w:lang w:eastAsia="ru-RU"/>
              </w:rPr>
              <w:t>институцио</w:t>
            </w:r>
            <w:r w:rsidRPr="002F33D0">
              <w:rPr>
                <w:rFonts w:eastAsia="Times New Roman"/>
                <w:bCs/>
                <w:szCs w:val="24"/>
                <w:lang w:val="kk-KZ" w:eastAsia="ru-RU"/>
              </w:rPr>
              <w:t>-</w:t>
            </w:r>
            <w:r w:rsidRPr="002F33D0">
              <w:rPr>
                <w:rFonts w:eastAsia="Times New Roman"/>
                <w:bCs/>
                <w:szCs w:val="24"/>
                <w:lang w:eastAsia="ru-RU"/>
              </w:rPr>
              <w:t>налого неравенства</w:t>
            </w:r>
            <w:r w:rsidRPr="002F33D0">
              <w:rPr>
                <w:rFonts w:eastAsia="Times New Roman"/>
                <w:szCs w:val="24"/>
                <w:lang w:eastAsia="ru-RU"/>
              </w:rPr>
              <w:t xml:space="preserve"> и высоких трансакцион</w:t>
            </w:r>
            <w:r w:rsidRPr="002F33D0">
              <w:rPr>
                <w:rFonts w:eastAsia="Times New Roman"/>
                <w:szCs w:val="24"/>
                <w:lang w:val="kk-KZ" w:eastAsia="ru-RU"/>
              </w:rPr>
              <w:t>-</w:t>
            </w:r>
            <w:r w:rsidRPr="002F33D0">
              <w:rPr>
                <w:rFonts w:eastAsia="Times New Roman"/>
                <w:szCs w:val="24"/>
                <w:lang w:eastAsia="ru-RU"/>
              </w:rPr>
              <w:t>ных издержек.</w:t>
            </w:r>
          </w:p>
        </w:tc>
        <w:tc>
          <w:tcPr>
            <w:tcW w:w="3603" w:type="dxa"/>
            <w:hideMark/>
          </w:tcPr>
          <w:p w14:paraId="2D3026D7"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 xml:space="preserve">Вероятность участия в госпрограммах для </w:t>
            </w:r>
            <w:r w:rsidRPr="002F33D0">
              <w:rPr>
                <w:rFonts w:eastAsia="Times New Roman"/>
                <w:bCs/>
                <w:szCs w:val="24"/>
                <w:lang w:eastAsia="ru-RU"/>
              </w:rPr>
              <w:t>Малых предприятий</w:t>
            </w:r>
            <w:r w:rsidRPr="002F33D0">
              <w:rPr>
                <w:rFonts w:eastAsia="Times New Roman"/>
                <w:szCs w:val="24"/>
                <w:lang w:eastAsia="ru-RU"/>
              </w:rPr>
              <w:t xml:space="preserve"> в </w:t>
            </w:r>
            <w:r w:rsidRPr="002F33D0">
              <w:rPr>
                <w:rFonts w:eastAsia="Times New Roman"/>
                <w:bCs/>
                <w:szCs w:val="24"/>
                <w:lang w:eastAsia="ru-RU"/>
              </w:rPr>
              <w:t>2,7 раза ниже</w:t>
            </w:r>
            <w:r w:rsidRPr="002F33D0">
              <w:rPr>
                <w:rFonts w:eastAsia="Times New Roman"/>
                <w:szCs w:val="24"/>
                <w:lang w:eastAsia="ru-RU"/>
              </w:rPr>
              <w:t xml:space="preserve"> (Exp(B)=0,363, p=0,004).</w:t>
            </w:r>
          </w:p>
        </w:tc>
      </w:tr>
      <w:tr w:rsidR="002F33D0" w:rsidRPr="002F33D0" w14:paraId="76C73C87" w14:textId="77777777" w:rsidTr="002F33D0">
        <w:tc>
          <w:tcPr>
            <w:tcW w:w="2691" w:type="dxa"/>
            <w:hideMark/>
          </w:tcPr>
          <w:p w14:paraId="0B318141" w14:textId="77777777" w:rsidR="002F33D0" w:rsidRPr="002F33D0" w:rsidRDefault="002F33D0" w:rsidP="002F33D0">
            <w:pPr>
              <w:ind w:firstLine="0"/>
              <w:rPr>
                <w:rFonts w:eastAsia="Times New Roman"/>
                <w:szCs w:val="24"/>
                <w:lang w:eastAsia="ru-RU"/>
              </w:rPr>
            </w:pPr>
            <w:r w:rsidRPr="002F33D0">
              <w:rPr>
                <w:rFonts w:eastAsia="Times New Roman"/>
                <w:bCs/>
                <w:szCs w:val="24"/>
                <w:lang w:eastAsia="ru-RU"/>
              </w:rPr>
              <w:t>V. Укрепление региональной и национальной экосистемной устойчивости</w:t>
            </w:r>
          </w:p>
        </w:tc>
        <w:tc>
          <w:tcPr>
            <w:tcW w:w="2829" w:type="dxa"/>
            <w:hideMark/>
          </w:tcPr>
          <w:p w14:paraId="05385536" w14:textId="77777777" w:rsidR="002F33D0" w:rsidRPr="002F33D0" w:rsidRDefault="002F33D0" w:rsidP="002F33D0">
            <w:pPr>
              <w:ind w:firstLine="0"/>
              <w:rPr>
                <w:rFonts w:eastAsia="Times New Roman"/>
                <w:szCs w:val="24"/>
                <w:lang w:eastAsia="ru-RU"/>
              </w:rPr>
            </w:pPr>
            <w:r w:rsidRPr="002F33D0">
              <w:rPr>
                <w:rFonts w:eastAsia="Times New Roman"/>
                <w:bCs/>
                <w:szCs w:val="24"/>
                <w:lang w:eastAsia="ru-RU"/>
              </w:rPr>
              <w:t>Средний приоритет.</w:t>
            </w:r>
            <w:r w:rsidRPr="002F33D0">
              <w:rPr>
                <w:rFonts w:eastAsia="Times New Roman"/>
                <w:szCs w:val="24"/>
                <w:lang w:eastAsia="ru-RU"/>
              </w:rPr>
              <w:t xml:space="preserve"> Интеграция в экосистему, </w:t>
            </w:r>
            <w:r w:rsidRPr="002F33D0">
              <w:rPr>
                <w:rFonts w:eastAsia="Times New Roman"/>
                <w:bCs/>
                <w:szCs w:val="24"/>
                <w:lang w:eastAsia="ru-RU"/>
              </w:rPr>
              <w:t>трансфер технологий</w:t>
            </w:r>
            <w:r w:rsidRPr="002F33D0">
              <w:rPr>
                <w:rFonts w:eastAsia="Times New Roman"/>
                <w:szCs w:val="24"/>
                <w:lang w:eastAsia="ru-RU"/>
              </w:rPr>
              <w:t>.</w:t>
            </w:r>
          </w:p>
        </w:tc>
        <w:tc>
          <w:tcPr>
            <w:tcW w:w="2670" w:type="dxa"/>
            <w:hideMark/>
          </w:tcPr>
          <w:p w14:paraId="5D29ADBD" w14:textId="77777777" w:rsidR="002F33D0" w:rsidRPr="002F33D0" w:rsidRDefault="002F33D0" w:rsidP="002F33D0">
            <w:pPr>
              <w:ind w:firstLine="0"/>
              <w:rPr>
                <w:rFonts w:eastAsia="Times New Roman"/>
                <w:szCs w:val="24"/>
                <w:lang w:eastAsia="ru-RU"/>
              </w:rPr>
            </w:pPr>
            <w:r w:rsidRPr="002F33D0">
              <w:rPr>
                <w:rFonts w:eastAsia="Times New Roman"/>
                <w:bCs/>
                <w:szCs w:val="24"/>
                <w:lang w:eastAsia="ru-RU"/>
              </w:rPr>
              <w:t>Средний приоритет.</w:t>
            </w:r>
            <w:r w:rsidRPr="002F33D0">
              <w:rPr>
                <w:rFonts w:eastAsia="Times New Roman"/>
                <w:szCs w:val="24"/>
                <w:lang w:eastAsia="ru-RU"/>
              </w:rPr>
              <w:t xml:space="preserve"> Софинансирование НИОКР и программ цифровизации.</w:t>
            </w:r>
          </w:p>
        </w:tc>
        <w:tc>
          <w:tcPr>
            <w:tcW w:w="2803" w:type="dxa"/>
            <w:hideMark/>
          </w:tcPr>
          <w:p w14:paraId="22FB238C" w14:textId="77777777" w:rsidR="002F33D0" w:rsidRPr="002F33D0" w:rsidRDefault="002F33D0" w:rsidP="002F33D0">
            <w:pPr>
              <w:ind w:firstLine="0"/>
              <w:rPr>
                <w:rFonts w:eastAsia="Times New Roman"/>
                <w:szCs w:val="24"/>
                <w:lang w:eastAsia="ru-RU"/>
              </w:rPr>
            </w:pPr>
            <w:r w:rsidRPr="00A96D12">
              <w:rPr>
                <w:rFonts w:eastAsia="Times New Roman"/>
                <w:bCs/>
                <w:sz w:val="22"/>
                <w:szCs w:val="24"/>
                <w:lang w:eastAsia="ru-RU"/>
              </w:rPr>
              <w:t>Высокий приоритет.</w:t>
            </w:r>
            <w:r w:rsidRPr="00A96D12">
              <w:rPr>
                <w:rFonts w:eastAsia="Times New Roman"/>
                <w:sz w:val="22"/>
                <w:szCs w:val="24"/>
                <w:lang w:eastAsia="ru-RU"/>
              </w:rPr>
              <w:t xml:space="preserve"> Адресная поддержка: </w:t>
            </w:r>
            <w:r w:rsidRPr="00A96D12">
              <w:rPr>
                <w:rFonts w:eastAsia="Times New Roman"/>
                <w:bCs/>
                <w:sz w:val="22"/>
                <w:szCs w:val="24"/>
                <w:lang w:eastAsia="ru-RU"/>
              </w:rPr>
              <w:t>образовательные программы</w:t>
            </w:r>
            <w:r w:rsidRPr="00A96D12">
              <w:rPr>
                <w:rFonts w:eastAsia="Times New Roman"/>
                <w:sz w:val="22"/>
                <w:szCs w:val="24"/>
                <w:lang w:eastAsia="ru-RU"/>
              </w:rPr>
              <w:t xml:space="preserve"> и международные стажировки (6,2% от неучаствовавших).</w:t>
            </w:r>
          </w:p>
        </w:tc>
        <w:tc>
          <w:tcPr>
            <w:tcW w:w="3603" w:type="dxa"/>
            <w:hideMark/>
          </w:tcPr>
          <w:p w14:paraId="178F7D51"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 xml:space="preserve">Для МСП значим фактор </w:t>
            </w:r>
            <w:r w:rsidRPr="002F33D0">
              <w:rPr>
                <w:rFonts w:eastAsia="Times New Roman"/>
                <w:bCs/>
                <w:szCs w:val="24"/>
                <w:lang w:eastAsia="ru-RU"/>
              </w:rPr>
              <w:t>международных стажировок</w:t>
            </w:r>
            <w:r w:rsidRPr="002F33D0">
              <w:rPr>
                <w:rFonts w:eastAsia="Times New Roman"/>
                <w:szCs w:val="24"/>
                <w:lang w:eastAsia="ru-RU"/>
              </w:rPr>
              <w:t xml:space="preserve"> (p = 0,046), что отражает потребность в компенсации кадрового дефицита.</w:t>
            </w:r>
          </w:p>
        </w:tc>
      </w:tr>
    </w:tbl>
    <w:p w14:paraId="5469F869" w14:textId="27ADFA0B" w:rsidR="002F33D0" w:rsidRPr="002F33D0" w:rsidRDefault="00A96D12" w:rsidP="002F33D0">
      <w:pPr>
        <w:spacing w:after="0" w:line="240" w:lineRule="auto"/>
        <w:jc w:val="both"/>
        <w:rPr>
          <w:rFonts w:ascii="Times New Roman" w:hAnsi="Times New Roman" w:cs="Times New Roman"/>
          <w:sz w:val="28"/>
          <w:szCs w:val="28"/>
        </w:rPr>
        <w:sectPr w:rsidR="002F33D0" w:rsidRPr="002F33D0" w:rsidSect="00A96D12">
          <w:pgSz w:w="16838" w:h="11906" w:orient="landscape"/>
          <w:pgMar w:top="1701" w:right="1134" w:bottom="567" w:left="1134" w:header="709" w:footer="709" w:gutter="0"/>
          <w:cols w:space="708"/>
          <w:docGrid w:linePitch="360"/>
        </w:sectPr>
      </w:pPr>
      <w:r>
        <w:rPr>
          <w:rFonts w:ascii="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14:anchorId="585E3510" wp14:editId="509674B0">
                <wp:simplePos x="0" y="0"/>
                <wp:positionH relativeFrom="column">
                  <wp:posOffset>4489584</wp:posOffset>
                </wp:positionH>
                <wp:positionV relativeFrom="paragraph">
                  <wp:posOffset>87897</wp:posOffset>
                </wp:positionV>
                <wp:extent cx="312821" cy="204537"/>
                <wp:effectExtent l="0" t="0" r="11430" b="24130"/>
                <wp:wrapNone/>
                <wp:docPr id="175" name="Прямоугольник 175"/>
                <wp:cNvGraphicFramePr/>
                <a:graphic xmlns:a="http://schemas.openxmlformats.org/drawingml/2006/main">
                  <a:graphicData uri="http://schemas.microsoft.com/office/word/2010/wordprocessingShape">
                    <wps:wsp>
                      <wps:cNvSpPr/>
                      <wps:spPr>
                        <a:xfrm>
                          <a:off x="0" y="0"/>
                          <a:ext cx="312821" cy="20453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7D7BB5" id="Прямоугольник 175" o:spid="_x0000_s1026" style="position:absolute;margin-left:353.5pt;margin-top:6.9pt;width:24.65pt;height:16.1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h6xtwIAAMAFAAAOAAAAZHJzL2Uyb0RvYy54bWysVM1uEzEQviPxDpbvdH+a0BJ1U0WtipCq&#10;tqJFPTteO7uS1za2k004IXFF4hF4CC6Inz7D5o0Ye39SCuJQkYMzszPzeebzzBwdryuBVszYUskM&#10;J3sxRkxSlZdykeE3N2fPDjGyjsicCCVZhjfM4uPp0ydHtZ6wVBVK5MwgAJF2UusMF87pSRRZWrCK&#10;2D2lmQQjV6YiDlSziHJDakCvRJTG8fOoVibXRlFmLXw9bY14GvA5Z9Rdcm6ZQyLDkJsLpwnn3J/R&#10;9IhMFobooqRdGuQRWVSklHDpAHVKHEFLU/4BVZXUKKu426OqihTnJWWhBqgmiR9Uc10QzUItQI7V&#10;A032/8HSi9WVQWUOb3cwxkiSCh6p+bx9v/3U/Gjuth+aL81d8337sfnZfG2+Ie8FnNXaTiD0Wl+Z&#10;TrMgegLW3FT+H0pD68DzZuCZrR2i8HE/SQ/TBCMKpjQejfcPPGa0C9bGupdMVcgLGTbwjIFdsjq3&#10;rnXtXfxdVokyPyuFCIpvHXYiDFoRePT5IunAf/MS8lGBkKOPjHz9bcVBchvBPJ6QrxkHNqHGNCQc&#10;+niXDKGUSZe0poLkrM1xHMOvz7JPPxASAD0yh+oG7A6g92xBeuyWns7fh7IwBkNw/K/E2uAhItys&#10;pBuCq1Iq8zcAAVV1N7f+PUktNZ6luco30GtGtUNoNT0r4XnPiXVXxMDUwXzCJnGXcHCh6gyrTsKo&#10;UObd3757fxgGsGJUwxRn2L5dEsMwEq8kjMmLZDTyYx+U0fggBcXct8zvW+SyOlHQM9CakF0Qvb8T&#10;vciNqm5h4cz8rWAiksLdGabO9MqJa7cLrCzKZrPgBqOuiTuX15p6cM+qb9+b9S0xuutxB8NxofqJ&#10;J5MHrd76+kipZkuneBnmYMdrxzesidA43Urze+i+Hrx2i3f6CwAA//8DAFBLAwQUAAYACAAAACEA&#10;8kTQaN8AAAAJAQAADwAAAGRycy9kb3ducmV2LnhtbEyPQUvDQBCF74L/YRnBm93YalJjNkVEEaEH&#10;bYV6nGZ3k2B2NmQ3afz3jic9Du/x5vuKzew6MZkhtJ4UXC8SEIYqr1uqFXzsn6/WIEJE0th5Mgq+&#10;TYBNeX5WYK79id7NtIu14BEKOSpoYuxzKUPVGIdh4XtDnFk/OIx8DrXUA5543HVymSSpdNgSf2iw&#10;N4+Nqb52o1PwafFl//QattIuJ3vXvo0Hm41KXV7MD/cgopnjXxl+8RkdSmY6+pF0EJ2CLMnYJXKw&#10;YgUuZLfpCsRRwU2agCwL+d+g/AEAAP//AwBQSwECLQAUAAYACAAAACEAtoM4kv4AAADhAQAAEwAA&#10;AAAAAAAAAAAAAAAAAAAAW0NvbnRlbnRfVHlwZXNdLnhtbFBLAQItABQABgAIAAAAIQA4/SH/1gAA&#10;AJQBAAALAAAAAAAAAAAAAAAAAC8BAABfcmVscy8ucmVsc1BLAQItABQABgAIAAAAIQDkoh6xtwIA&#10;AMAFAAAOAAAAAAAAAAAAAAAAAC4CAABkcnMvZTJvRG9jLnhtbFBLAQItABQABgAIAAAAIQDyRNBo&#10;3wAAAAkBAAAPAAAAAAAAAAAAAAAAABEFAABkcnMvZG93bnJldi54bWxQSwUGAAAAAAQABADzAAAA&#10;HQYAAAAA&#10;" fillcolor="white [3212]" strokecolor="white [3212]" strokeweight="1pt"/>
            </w:pict>
          </mc:Fallback>
        </mc:AlternateContent>
      </w:r>
    </w:p>
    <w:p w14:paraId="3CFBB9DC" w14:textId="4119DBBF"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lastRenderedPageBreak/>
        <w:t>Тем самым, институциональные приоритеты проектирования тесно связаны с внутренними драйверами инновационного потенциала</w:t>
      </w:r>
      <w:r w:rsidR="007C0834">
        <w:rPr>
          <w:rFonts w:ascii="Times New Roman" w:hAnsi="Times New Roman" w:cs="Times New Roman"/>
          <w:sz w:val="28"/>
          <w:szCs w:val="28"/>
        </w:rPr>
        <w:t xml:space="preserve"> </w:t>
      </w:r>
      <w:r w:rsidR="007C0834">
        <w:rPr>
          <w:rFonts w:ascii="Times New Roman" w:hAnsi="Times New Roman" w:cs="Times New Roman"/>
          <w:sz w:val="28"/>
          <w:szCs w:val="28"/>
        </w:rPr>
        <w:fldChar w:fldCharType="begin"/>
      </w:r>
      <w:r w:rsidR="00AE44BA">
        <w:rPr>
          <w:rFonts w:ascii="Times New Roman" w:hAnsi="Times New Roman" w:cs="Times New Roman"/>
          <w:sz w:val="28"/>
          <w:szCs w:val="28"/>
        </w:rPr>
        <w:instrText xml:space="preserve"> ADDIN ZOTERO_ITEM CSL_CITATION {"citationID":"a2cm290bq78","properties":{"formattedCitation":"[229]","plainCitation":"[229]","noteIndex":0},"citationItems":[{"id":302,"uris":["http://zotero.org/users/16887523/items/KU66SBZB"],"itemData":{"id":302,"type":"article-journal","abstract":"Existing research on enterprise innovation focuses on internal perspectives such as resource and capabilities. However, enterprise innovation needs not only the input of enterprises themselves, but also the support of institutional environments. Based on the institution–strategy–performance research paradigm, which combines perspectives from both institutional theory and resource-based theory, this research explores the mechanism of institutional support on the innovation performance of new ventures, focusing on the mediating role of entrepreneurial orientation and the moderating role of innovative resource acquisition. An empirical analysis based on 278 survey samples shows that: (formal/informal) institutional support positively affects the innovation performance of new ventures; entrepreneurial orientation plays an intermediary role between institutional support and the innovation performance of new ventures; innovation resource acquisition not only positively regulates the relationship between entrepreneurial orientation and the innovation performance of new ventures, but also enhances the mediation of entrepreneurial orientation between institutional support and innovation performance. The conclusion shows that institutional support plays an important role in the innovation practice of new ventures, and can provide guidance for the innovation management practices of new ventures. This study discusses the theoretical and managerial implications for enterprise innovation research in detail by identifying and testing the relationships among these constructs.","container-title":"Sustainability","DOI":"10.3390/su14042212","ISSN":"2071-1050","issue":"4","journalAbbreviation":"Sustainability","language":"en","page":"2212","source":"DOI.org (Crossref)","title":"The Influence of Institutional Support on the Innovation Performance of New Ventures: The Mediating Mechanism of Entrepreneurial Orientation","title-short":"The Influence of Institutional Support on the Innovation Performance of New Ventures","URL":"https://www.mdpi.com/2071-1050/14/4/2212","volume":"14","author":[{"family":"Yang","given":"Jie"},{"family":"Yu","given":"Mingxing"}],"accessed":{"date-parts":[["2025",11,30]]},"issued":{"date-parts":[["2022",2,15]]}}}],"schema":"https://github.com/citation-style-language/schema/raw/master/csl-citation.json"} </w:instrText>
      </w:r>
      <w:r w:rsidR="007C0834">
        <w:rPr>
          <w:rFonts w:ascii="Times New Roman" w:hAnsi="Times New Roman" w:cs="Times New Roman"/>
          <w:sz w:val="28"/>
          <w:szCs w:val="28"/>
        </w:rPr>
        <w:fldChar w:fldCharType="separate"/>
      </w:r>
      <w:r w:rsidR="00AE44BA" w:rsidRPr="00AE44BA">
        <w:rPr>
          <w:rFonts w:ascii="Times New Roman" w:hAnsi="Times New Roman" w:cs="Times New Roman"/>
          <w:sz w:val="28"/>
        </w:rPr>
        <w:t>[229]</w:t>
      </w:r>
      <w:r w:rsidR="007C0834">
        <w:rPr>
          <w:rFonts w:ascii="Times New Roman" w:hAnsi="Times New Roman" w:cs="Times New Roman"/>
          <w:sz w:val="28"/>
          <w:szCs w:val="28"/>
        </w:rPr>
        <w:fldChar w:fldCharType="end"/>
      </w:r>
      <w:r w:rsidRPr="002F33D0">
        <w:rPr>
          <w:rFonts w:ascii="Times New Roman" w:hAnsi="Times New Roman" w:cs="Times New Roman"/>
          <w:sz w:val="28"/>
          <w:szCs w:val="28"/>
        </w:rPr>
        <w:t xml:space="preserve"> и обеспечивают согласование ресурсной, кадровой и цифровой политики с государственной инновационной стратегией</w:t>
      </w:r>
      <w:r w:rsidR="007C0834">
        <w:rPr>
          <w:rFonts w:ascii="Times New Roman" w:hAnsi="Times New Roman" w:cs="Times New Roman"/>
          <w:sz w:val="28"/>
          <w:szCs w:val="28"/>
        </w:rPr>
        <w:t xml:space="preserve"> </w:t>
      </w:r>
      <w:r w:rsidR="007C0834">
        <w:rPr>
          <w:rFonts w:ascii="Times New Roman" w:hAnsi="Times New Roman" w:cs="Times New Roman"/>
          <w:sz w:val="28"/>
          <w:szCs w:val="28"/>
        </w:rPr>
        <w:fldChar w:fldCharType="begin"/>
      </w:r>
      <w:r w:rsidR="00AE44BA">
        <w:rPr>
          <w:rFonts w:ascii="Times New Roman" w:hAnsi="Times New Roman" w:cs="Times New Roman"/>
          <w:sz w:val="28"/>
          <w:szCs w:val="28"/>
        </w:rPr>
        <w:instrText xml:space="preserve"> ADDIN ZOTERO_ITEM CSL_CITATION {"citationID":"a2adr3lkrn3","properties":{"formattedCitation":"[230]","plainCitation":"[230]","noteIndex":0},"citationItems":[{"id":304,"uris":["http://zotero.org/users/16887523/items/2JUP548L"],"itemData":{"id":304,"type":"article-journal","abstract":"Основой конкурентоспособности отечественной экономики на мировом рынке является переход к инновационному типу экономического развития, что подразумевает активизацию инновационной деятельности бизнеса и развитие наукоемкого производства как факторов роста. Основным стимулом для развития современной экономики является внедрение новейших. Кроме того процессы формирования экономики нового типа следует рассматривать во взаимосвязи с формированием соответствующих институтов. \nИнституты, регулирующие инновационные процессы становятся самостоятельными факторами макроэкономического развития. Особое значение приобретают территориальные аспекты пространственного развития экономики государства. Авторами рассмотрена структура и содержание групп норм, заложенных в институты применительно к инновационному процессу. Также в статье рассматривается значение институтов и институций как компонента инновационного развития, а также как объекта территориального регулирования.","container-title":"Креативная экономика","DOI":"10.18334/ce.12.5.39119","ISSN":"2409-4684, 1994-6929","issue":"5","journalAbbreviation":"Creative Economy","license":"http://creativecommons.org/licenses/by-nc-nd/4.0","page":"573","source":"DOI.org (Crossref)","title":"Институциональные аспекты инновационного развития территорий","URL":"http://creativeconomy.ru/lib/39119/","volume":"12","author":[{"family":"Никитская","given":"Елена Федоровна"},{"family":"Валишвили","given":"Мери Амирановна"}],"accessed":{"date-parts":[["2025",11,30]]},"issued":{"date-parts":[["2018",5,31]]}}}],"schema":"https://github.com/citation-style-language/schema/raw/master/csl-citation.json"} </w:instrText>
      </w:r>
      <w:r w:rsidR="007C0834">
        <w:rPr>
          <w:rFonts w:ascii="Times New Roman" w:hAnsi="Times New Roman" w:cs="Times New Roman"/>
          <w:sz w:val="28"/>
          <w:szCs w:val="28"/>
        </w:rPr>
        <w:fldChar w:fldCharType="separate"/>
      </w:r>
      <w:r w:rsidR="00AE44BA" w:rsidRPr="00AE44BA">
        <w:rPr>
          <w:rFonts w:ascii="Times New Roman" w:hAnsi="Times New Roman" w:cs="Times New Roman"/>
          <w:sz w:val="28"/>
        </w:rPr>
        <w:t>[230]</w:t>
      </w:r>
      <w:r w:rsidR="007C0834">
        <w:rPr>
          <w:rFonts w:ascii="Times New Roman" w:hAnsi="Times New Roman" w:cs="Times New Roman"/>
          <w:sz w:val="28"/>
          <w:szCs w:val="28"/>
        </w:rPr>
        <w:fldChar w:fldCharType="end"/>
      </w:r>
      <w:r w:rsidRPr="002F33D0">
        <w:rPr>
          <w:rFonts w:ascii="Times New Roman" w:hAnsi="Times New Roman" w:cs="Times New Roman"/>
          <w:sz w:val="28"/>
          <w:szCs w:val="28"/>
        </w:rPr>
        <w:t>. Их реализация формирует условия для устойчивого и системного развития предпринимательских структур в долгосрочной перспективе</w:t>
      </w:r>
      <w:r w:rsidR="007C0834">
        <w:rPr>
          <w:rFonts w:ascii="Times New Roman" w:hAnsi="Times New Roman" w:cs="Times New Roman"/>
          <w:sz w:val="28"/>
          <w:szCs w:val="28"/>
        </w:rPr>
        <w:t xml:space="preserve"> </w:t>
      </w:r>
      <w:r w:rsidR="007C0834">
        <w:rPr>
          <w:rFonts w:ascii="Times New Roman" w:hAnsi="Times New Roman" w:cs="Times New Roman"/>
          <w:sz w:val="28"/>
          <w:szCs w:val="28"/>
        </w:rPr>
        <w:fldChar w:fldCharType="begin"/>
      </w:r>
      <w:r w:rsidR="00AE44BA">
        <w:rPr>
          <w:rFonts w:ascii="Times New Roman" w:hAnsi="Times New Roman" w:cs="Times New Roman"/>
          <w:sz w:val="28"/>
          <w:szCs w:val="28"/>
        </w:rPr>
        <w:instrText xml:space="preserve"> ADDIN ZOTERO_ITEM CSL_CITATION {"citationID":"afeg3gn1df","properties":{"formattedCitation":"[231]","plainCitation":"[231]","noteIndex":0},"citationItems":[{"id":306,"uris":["http://zotero.org/users/16887523/items/RV6A9FKG"],"itemData":{"id":306,"type":"article-journal","abstract":"Abstract\n            Modern corporate success is primarily reliant on a perfect balance of institutional effectiveness, innovation, and sustainability. Therefore, the primary goal of this research is to evaluate the impact of institutional frameworks on corporate innovation in developing countries. To achieve the said objective, we use firm and country data from multiple sources, and the final dataset consists of 24,166 observations from 41 developing countries during 2014–2018. For the analysis, we employ ordered probit and instrumental variable ordered probit regression models. According to the results, the success of corporate innovation in developing countries hinges on the strength of legal, financial, administrative, political, and religious institutions. Moreover, such associations stand out more clearly in nations with strong and stable institutional frameworks. The regression results show that innovative enterprises are more prevalent in strong institutional environments compared to those in poor institutional environments. These results also indicate that a strong rule of law, protection of property rights, easy access to financing, developed financial markets, an ethical environment, control of corruption, a stable political system, a democratic government, religious diversity, and freedom all contribute to corporate innovation. Moreover, institutional efficiency and corporate viability fuel the engine of corporate innovation, encouraging enterprises to create game‐changing products and services. These results contribute to the field of innovation management by considering institutional settings for sustainable development. The results have practical applications for building robust institutions and a creative culture.","container-title":"Sustainable Development","DOI":"10.1002/sd.2790","ISSN":"0968-0802, 1099-1719","issue":"3","journalAbbreviation":"Sustainable Development","language":"en","page":"2474-2488","source":"DOI.org (Crossref)","title":"Institutional dynamics and corporate innovation: A pathway to sustainable development","title-short":"Institutional dynamics and corporate innovation","URL":"https://onlinelibrary.wiley.com/doi/10.1002/sd.2790","volume":"32","author":[{"family":"Akbar","given":"Ahsan"},{"family":"Usman","given":"Muhammad"},{"family":"Lin","given":"Teng"}],"accessed":{"date-parts":[["2025",11,30]]},"issued":{"date-parts":[["2024",6]]}}}],"schema":"https://github.com/citation-style-language/schema/raw/master/csl-citation.json"} </w:instrText>
      </w:r>
      <w:r w:rsidR="007C0834">
        <w:rPr>
          <w:rFonts w:ascii="Times New Roman" w:hAnsi="Times New Roman" w:cs="Times New Roman"/>
          <w:sz w:val="28"/>
          <w:szCs w:val="28"/>
        </w:rPr>
        <w:fldChar w:fldCharType="separate"/>
      </w:r>
      <w:r w:rsidR="00AE44BA" w:rsidRPr="00AE44BA">
        <w:rPr>
          <w:rFonts w:ascii="Times New Roman" w:hAnsi="Times New Roman" w:cs="Times New Roman"/>
          <w:sz w:val="28"/>
        </w:rPr>
        <w:t>[231]</w:t>
      </w:r>
      <w:r w:rsidR="007C0834">
        <w:rPr>
          <w:rFonts w:ascii="Times New Roman" w:hAnsi="Times New Roman" w:cs="Times New Roman"/>
          <w:sz w:val="28"/>
          <w:szCs w:val="28"/>
        </w:rPr>
        <w:fldChar w:fldCharType="end"/>
      </w:r>
      <w:r w:rsidRPr="002F33D0">
        <w:rPr>
          <w:rFonts w:ascii="Times New Roman" w:hAnsi="Times New Roman" w:cs="Times New Roman"/>
          <w:sz w:val="28"/>
          <w:szCs w:val="28"/>
        </w:rPr>
        <w:t>.</w:t>
      </w:r>
    </w:p>
    <w:p w14:paraId="2015F994" w14:textId="2CA482CE" w:rsidR="002F33D0" w:rsidRPr="002F33D0" w:rsidRDefault="00251026" w:rsidP="002F33D0">
      <w:pPr>
        <w:tabs>
          <w:tab w:val="left" w:pos="851"/>
        </w:tabs>
        <w:spacing w:after="0" w:line="240" w:lineRule="auto"/>
        <w:ind w:firstLine="567"/>
        <w:jc w:val="both"/>
        <w:rPr>
          <w:rFonts w:ascii="Times New Roman" w:hAnsi="Times New Roman" w:cs="Times New Roman"/>
          <w:sz w:val="28"/>
          <w:szCs w:val="28"/>
          <w:lang w:val="kk-KZ"/>
        </w:rPr>
      </w:pPr>
      <w:r w:rsidRPr="00251026">
        <w:rPr>
          <w:rFonts w:ascii="Times New Roman" w:hAnsi="Times New Roman" w:cs="Times New Roman"/>
          <w:sz w:val="28"/>
          <w:szCs w:val="28"/>
        </w:rPr>
        <w:t>В рамках проведённого анализа проектирование инновационного потенциала приобретает значение системообразующего механизма, обеспечивающего взаимосвязанное развитие инновационной активности и устойчивости предпринимательских структур за счёт согласования экономических, технологических, кадровых и институциональных компонентов. Это позволяет трактовать инновационный потенциал не как конечный результат, а как универсальный инструмент формирования долгосрочной конкурентоспособности предприятий в условиях цифровой трансформации экономики.</w:t>
      </w:r>
    </w:p>
    <w:p w14:paraId="06145ABE" w14:textId="77777777" w:rsidR="002F33D0" w:rsidRPr="002F33D0" w:rsidRDefault="002F33D0" w:rsidP="002F33D0">
      <w:pPr>
        <w:tabs>
          <w:tab w:val="left" w:pos="851"/>
        </w:tabs>
        <w:spacing w:after="0" w:line="240" w:lineRule="auto"/>
        <w:ind w:firstLine="567"/>
        <w:jc w:val="both"/>
        <w:rPr>
          <w:rFonts w:ascii="Times New Roman" w:hAnsi="Times New Roman" w:cs="Times New Roman"/>
          <w:b/>
          <w:sz w:val="28"/>
          <w:szCs w:val="28"/>
          <w:lang w:val="kk-KZ"/>
        </w:rPr>
      </w:pPr>
      <w:r w:rsidRPr="002F33D0">
        <w:rPr>
          <w:rFonts w:ascii="Times New Roman" w:hAnsi="Times New Roman" w:cs="Times New Roman"/>
          <w:b/>
          <w:sz w:val="28"/>
          <w:szCs w:val="28"/>
          <w:lang w:val="kk-KZ"/>
        </w:rPr>
        <w:t>Выводы по разделу 3.1</w:t>
      </w:r>
    </w:p>
    <w:p w14:paraId="55E9D26F" w14:textId="77777777"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Проведённая систематизация теоретических положений и эмпирических результатов позволила определить ключевые направления проектирования инновационного потенциала предпринимательских структур в условиях цифровой трансформации. Анализ взаимосвязей между ресурсными, кадровыми, цифровыми и институциональными факторами показал, что развитие инновационного потенциала требует комплексного подхода, основанного на согласовании внутренних механизмов инновационной деятельности с внешними рамочными условиями.</w:t>
      </w:r>
    </w:p>
    <w:p w14:paraId="063ADAFF" w14:textId="77777777"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Во-первых, подтверждена значимость ресурсных приоритетов, включающих развитие управленческо-инновационных и технологических ресурсов, которые формируют стратегическую, организационную и производственно-технологическую основу инновационного потенциала. Эти компоненты демонстрируют наибольшую устойчивость влияния (β ≈ 0,53–0,56) во всех группах предприятий, определяя способность предпринимательских структур к созданию и поддержанию инновационных процессов.</w:t>
      </w:r>
    </w:p>
    <w:p w14:paraId="1AF026FB" w14:textId="77777777"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Во-вторых, обоснована роль цифровой адаптации как сквозного медиатора инновационного развития. Цифровая зрелость усиливает влияние внутренних драйверов на инновационный потенциал и становится критически важным элементом для малых предприятий, компенсируя дефицит материальных, кадровых и организационных ресурсов. Тем самым цифровизация выступает метафактором адаптивной устойчивости предпринимательских структур.</w:t>
      </w:r>
    </w:p>
    <w:p w14:paraId="0A142375" w14:textId="77777777"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 xml:space="preserve">В-третьих, выявлено, что человеческий капитал и структура компетенций являются ключевыми элементами инновационного потенциала, однако их системное воздействие ограничивается слабой институционализацией HR-практик. Для обеспечения устойчивого влияния кадрового блока требуется переход от отдельных индивидуальных компетенций к формализованным </w:t>
      </w:r>
      <w:r w:rsidRPr="002F33D0">
        <w:rPr>
          <w:rFonts w:ascii="Times New Roman" w:hAnsi="Times New Roman" w:cs="Times New Roman"/>
          <w:sz w:val="28"/>
          <w:szCs w:val="28"/>
          <w:lang w:val="kk-KZ"/>
        </w:rPr>
        <w:lastRenderedPageBreak/>
        <w:t>системам обучения, оценки и мотивации, интегрированным в управленческие процессы.</w:t>
      </w:r>
    </w:p>
    <w:p w14:paraId="41A102CA" w14:textId="77777777"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В-четвёртых, установлено, что институциональная среда оказывает определяющее влияние на возможности реализации инновационного потенциала. Наличие институционального неравенства, сложных процедур участия и высоких трансакционных издержек снижает вероятность вовлечения малых и средних предприятий в программы государственной поддержки. Это обусловило выделение двух институциональных приоритетов проектирования: снижение институциональных барьеров и усиление адресности государственной и региональной поддержки.</w:t>
      </w:r>
    </w:p>
    <w:p w14:paraId="58F4DD91" w14:textId="77777777"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Обобщая полученные результаты, можно заключить, что проектирование инновационного потенциала представляет собой многокомпонентный процесс, включающий три взаимодополняющие функции:</w:t>
      </w:r>
    </w:p>
    <w:p w14:paraId="44E4E9E1" w14:textId="77777777" w:rsidR="002F33D0" w:rsidRPr="002F33D0" w:rsidRDefault="002F33D0" w:rsidP="007F5E68">
      <w:pPr>
        <w:pStyle w:val="a3"/>
        <w:numPr>
          <w:ilvl w:val="0"/>
          <w:numId w:val="24"/>
        </w:numPr>
        <w:tabs>
          <w:tab w:val="left" w:pos="851"/>
        </w:tabs>
        <w:spacing w:after="0" w:line="240" w:lineRule="auto"/>
        <w:ind w:left="0"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диагностическую, обеспечивающую оценку текущего состояния ресурсов, процессов и институциональных условий;</w:t>
      </w:r>
    </w:p>
    <w:p w14:paraId="1CED2D4A" w14:textId="57B28F43" w:rsidR="002F33D0" w:rsidRPr="002F33D0" w:rsidRDefault="002F33D0" w:rsidP="007F5E68">
      <w:pPr>
        <w:pStyle w:val="a3"/>
        <w:numPr>
          <w:ilvl w:val="0"/>
          <w:numId w:val="24"/>
        </w:numPr>
        <w:tabs>
          <w:tab w:val="left" w:pos="851"/>
        </w:tabs>
        <w:spacing w:after="0" w:line="240" w:lineRule="auto"/>
        <w:ind w:left="0"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прогно</w:t>
      </w:r>
      <w:r w:rsidR="00E27253">
        <w:rPr>
          <w:rFonts w:ascii="Times New Roman" w:hAnsi="Times New Roman" w:cs="Times New Roman"/>
          <w:sz w:val="28"/>
          <w:szCs w:val="28"/>
          <w:lang w:val="kk-KZ"/>
        </w:rPr>
        <w:t>з</w:t>
      </w:r>
      <w:r w:rsidRPr="002F33D0">
        <w:rPr>
          <w:rFonts w:ascii="Times New Roman" w:hAnsi="Times New Roman" w:cs="Times New Roman"/>
          <w:sz w:val="28"/>
          <w:szCs w:val="28"/>
          <w:lang w:val="kk-KZ"/>
        </w:rPr>
        <w:t>тическую, ориентированную на выявление направлений развития и моделирование возможных траекторий;</w:t>
      </w:r>
    </w:p>
    <w:p w14:paraId="51EF2D79" w14:textId="77777777" w:rsidR="002F33D0" w:rsidRPr="002F33D0" w:rsidRDefault="002F33D0" w:rsidP="007F5E68">
      <w:pPr>
        <w:pStyle w:val="a3"/>
        <w:numPr>
          <w:ilvl w:val="0"/>
          <w:numId w:val="24"/>
        </w:numPr>
        <w:tabs>
          <w:tab w:val="left" w:pos="851"/>
        </w:tabs>
        <w:spacing w:after="0" w:line="240" w:lineRule="auto"/>
        <w:ind w:left="0"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проектную, направленную на формирование инструментов воздействия, согласование внутренних и внешних факторов и обеспечение устойчивой реализации инновационного потенциала.</w:t>
      </w:r>
    </w:p>
    <w:p w14:paraId="5FB060A2" w14:textId="77777777"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Логика исследования на данном этапе требует перехода от качественно-аналитического описания приоритетов к построению методического инструментария, позволяющего количественно оценивать инновационный потенциал, определять уровни его развития и моделировать варианты проектных решений. Именно эти задачи составляют содержание следующего подраздела.</w:t>
      </w:r>
    </w:p>
    <w:p w14:paraId="0C78135A" w14:textId="77777777" w:rsidR="002F33D0" w:rsidRPr="002F33D0" w:rsidRDefault="002F33D0" w:rsidP="002F33D0">
      <w:pPr>
        <w:spacing w:after="0" w:line="240" w:lineRule="auto"/>
        <w:ind w:firstLine="567"/>
        <w:jc w:val="both"/>
        <w:rPr>
          <w:rFonts w:ascii="Times New Roman" w:hAnsi="Times New Roman" w:cs="Times New Roman"/>
          <w:sz w:val="28"/>
          <w:szCs w:val="28"/>
        </w:rPr>
      </w:pPr>
    </w:p>
    <w:p w14:paraId="758B17C4" w14:textId="77777777" w:rsidR="002F33D0" w:rsidRPr="002F33D0" w:rsidRDefault="002F33D0" w:rsidP="002F33D0">
      <w:pPr>
        <w:spacing w:after="0" w:line="240" w:lineRule="auto"/>
        <w:ind w:firstLine="567"/>
        <w:jc w:val="both"/>
        <w:rPr>
          <w:rFonts w:ascii="Times New Roman" w:hAnsi="Times New Roman" w:cs="Times New Roman"/>
          <w:b/>
          <w:sz w:val="28"/>
          <w:szCs w:val="28"/>
        </w:rPr>
      </w:pPr>
      <w:r w:rsidRPr="002F33D0">
        <w:rPr>
          <w:rFonts w:ascii="Times New Roman" w:hAnsi="Times New Roman" w:cs="Times New Roman"/>
          <w:b/>
          <w:sz w:val="28"/>
          <w:szCs w:val="28"/>
        </w:rPr>
        <w:t>3.2 Методика оценки и проектирования инновационного потенциала: разработка дифференцированного инструмента на основе ресурсно-процессного подхода и эконометрического взвешивания</w:t>
      </w:r>
    </w:p>
    <w:p w14:paraId="741BC39E" w14:textId="77777777" w:rsidR="002F33D0" w:rsidRPr="002F33D0" w:rsidRDefault="002F33D0" w:rsidP="002F33D0">
      <w:pPr>
        <w:spacing w:after="0" w:line="240" w:lineRule="auto"/>
        <w:ind w:firstLine="567"/>
        <w:jc w:val="both"/>
        <w:rPr>
          <w:rFonts w:ascii="Times New Roman" w:hAnsi="Times New Roman" w:cs="Times New Roman"/>
          <w:b/>
          <w:sz w:val="28"/>
          <w:szCs w:val="28"/>
        </w:rPr>
      </w:pPr>
      <w:r w:rsidRPr="002F33D0">
        <w:rPr>
          <w:rFonts w:ascii="Times New Roman" w:hAnsi="Times New Roman" w:cs="Times New Roman"/>
          <w:b/>
          <w:sz w:val="28"/>
          <w:szCs w:val="28"/>
        </w:rPr>
        <w:t>3.2.1 Концептуальная модель инструмента оценки</w:t>
      </w:r>
    </w:p>
    <w:p w14:paraId="682C89B2" w14:textId="10ED53EC"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Разработка методики оценки и проектирования инновационного потенциала предпринимательских структур базируется на интеграции ресурсного и процессного подходов, которые в совокупности обеспечивают целостное представление о механизмах формирования и развития инновационного потенциала. Ресурсный подход позволяет оценить наличие и качество внутренних активов предприятия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управленческих, технологических, кадровых, финансовых и цифровых, формирующих основу инновационной деятельности. Процессный подход, в свою очередь, ориентирован на анализ динамики использования этих ресурсов, их трансформации в инновационные результаты, а также способности предприятия адаптироваться к изменениям внешней среды, включая процессы цифровой трансформации.</w:t>
      </w:r>
    </w:p>
    <w:p w14:paraId="0FAB50E7" w14:textId="0F7B4DA7"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lastRenderedPageBreak/>
        <w:t xml:space="preserve">Интеграция двух подходов формирует методологическую основу разработанного инструмента диагностики, который позволяет не только фиксировать текущее состояние инновационного потенциала, но и определять направления его развития в рамках проектирования. </w:t>
      </w:r>
      <w:r w:rsidR="0082235C" w:rsidRPr="00FD618C">
        <w:rPr>
          <w:rFonts w:ascii="Times New Roman" w:hAnsi="Times New Roman" w:cs="Times New Roman"/>
          <w:sz w:val="28"/>
          <w:szCs w:val="28"/>
        </w:rPr>
        <w:t>Внедрение методики в формате цифрового инструмента опирается на принципы, использованные в нашем эмпирическом анализе</w:t>
      </w:r>
      <w:r w:rsidR="0082235C" w:rsidRPr="00FD618C">
        <w:rPr>
          <w:rFonts w:ascii="Times New Roman" w:hAnsi="Times New Roman" w:cs="Times New Roman"/>
          <w:sz w:val="28"/>
          <w:szCs w:val="28"/>
          <w:lang w:val="kk-KZ"/>
        </w:rPr>
        <w:t xml:space="preserve"> </w:t>
      </w:r>
      <w:r w:rsidR="0082235C" w:rsidRPr="00FD618C">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{"citationID":"a2nruipiifg","properties":{"formattedCitation":"[186]","plainCitation":"[186]","noteIndex":0},"citationItems":[{"id":368,"uris":["http://zotero.org/users/16887523/items/M9IH6GDB"],"itemData":{"id":368,"type":"article-journal","abstract":"The aim of this study is to demonstrate the capabilities of the Jamovi software in analyzing complex economic models, using the case of examining the impact of various factors on enterprise innovation activity. Structural Equation Modeling (SEM) was employed to identify both direct and mediated relationships among economic and digital infrastructure, factors related to research and development (R&amp;D), and innovation activity. The analysis results confirmed the positive impact of economic infrastructure on the level of R&amp;D and the innovation activity of enterprises, as well as the mediating role of R&amp;D factors in transmitting the effects of infrastructure. Meanwhile, the influence of digital infrastructure was found to be weak, highlighting the need for further development of digital technologies and their integration into economic activities. The findings and methodology of the study can be utilized to enhance the competitiveness of enterprises and to develop effective measures for state support of innovation activities in various regions.","container-title":"Applied Computer Science","DOI":"10.35784/acs_7037","ISSN":"2353-6977","issue":"1","journalAbbreviation":"Appl. Comput. Sci.","license":"https://creativecommons.org/licenses/by/4.0","page":"97-110","source":"DOI.org (Crossref)","title":"Structural equation modeling (SEM) in Jamovi: An example of analyzing the impact of factors on the innovation activity of enterprises","title-short":"Structural equation modeling (SEM) in Jamovi","URL":"https://ph.pollub.pl/index.php/acs/article/view/7037","volume":"21","author":[{"family":"Sadenova","given":"Assel"},{"family":"Denissova","given":"Oxana"},{"family":"Kozlova","given":"Marina"},{"family":"Rakhimova","given":"Saule"},{"family":"Gola","given":"Arkadiusz"},{"family":"Suieubayeva","given":"Saltanat"}],"accessed":{"date-parts":[["2025",12,13]]},"issued":{"date-parts":[["2025",3,31]]}}}],"schema":"https://github.com/citation-style-language/schema/raw/master/csl-citation.json"} </w:instrText>
      </w:r>
      <w:r w:rsidR="0082235C" w:rsidRPr="00FD618C">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[186]</w:t>
      </w:r>
      <w:r w:rsidR="0082235C" w:rsidRPr="00FD618C">
        <w:rPr>
          <w:rFonts w:ascii="Times New Roman" w:hAnsi="Times New Roman" w:cs="Times New Roman"/>
          <w:sz w:val="28"/>
          <w:szCs w:val="28"/>
          <w:lang w:val="kk-KZ"/>
        </w:rPr>
        <w:fldChar w:fldCharType="end"/>
      </w:r>
      <w:r w:rsidR="0082235C" w:rsidRPr="00FD618C">
        <w:rPr>
          <w:rFonts w:ascii="Times New Roman" w:hAnsi="Times New Roman" w:cs="Times New Roman"/>
          <w:sz w:val="28"/>
          <w:szCs w:val="28"/>
        </w:rPr>
        <w:t>. Объективное взвешивание факторов (β-коэффициентами) является ключевым отличием от экспертных моделей и обеспечивает научно обоснованную связь между моделью диагностики и ф</w:t>
      </w:r>
      <w:r w:rsidR="00E41B93" w:rsidRPr="00FD618C">
        <w:rPr>
          <w:rFonts w:ascii="Times New Roman" w:hAnsi="Times New Roman" w:cs="Times New Roman"/>
          <w:sz w:val="28"/>
          <w:szCs w:val="28"/>
        </w:rPr>
        <w:t>актическими данными предприятий</w:t>
      </w:r>
      <w:r w:rsidR="0082235C" w:rsidRPr="00FD618C">
        <w:rPr>
          <w:rFonts w:ascii="Times New Roman" w:hAnsi="Times New Roman" w:cs="Times New Roman"/>
          <w:sz w:val="28"/>
          <w:szCs w:val="28"/>
        </w:rPr>
        <w:t>.</w:t>
      </w:r>
      <w:r w:rsidR="0082235C" w:rsidRPr="0082235C">
        <w:rPr>
          <w:rFonts w:ascii="Times New Roman" w:hAnsi="Times New Roman" w:cs="Times New Roman"/>
          <w:color w:val="FF0000"/>
          <w:sz w:val="28"/>
          <w:szCs w:val="28"/>
          <w:lang w:val="kk-KZ"/>
        </w:rPr>
        <w:t xml:space="preserve"> </w:t>
      </w:r>
      <w:r w:rsidRPr="002F33D0">
        <w:rPr>
          <w:rFonts w:ascii="Times New Roman" w:hAnsi="Times New Roman" w:cs="Times New Roman"/>
          <w:sz w:val="28"/>
          <w:szCs w:val="28"/>
        </w:rPr>
        <w:t>В основу инструмента положена матрица ресурсно-процессного подхода, отражающая взаимосвязь между ресурсными компонентами и процессами их трансформации. Данная матрица служит концептуальным каркасом для построения системы оценки, в которой каждый ресурс рассматривается через призму его вовлечённости в инновационные процессы и интеграции с другими элементами потенциала.</w:t>
      </w:r>
    </w:p>
    <w:p w14:paraId="71EE03DA" w14:textId="0EAADEE4"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Таким образом, матрица выступает концептуальной рамкой построения инструмента оценки, обеспечивая системность анализа и объединяя в единую структуру ключевые элементы инновационного потенциала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ресурсы, процессы, цифровую и институциональную среду.</w:t>
      </w:r>
    </w:p>
    <w:p w14:paraId="5316B429" w14:textId="5D4BBC22"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Ключевым отличием разработанной методики от традиционных экспертных моделей</w:t>
      </w:r>
      <w:r w:rsidR="004B6B5D">
        <w:rPr>
          <w:rFonts w:ascii="Times New Roman" w:hAnsi="Times New Roman" w:cs="Times New Roman"/>
          <w:sz w:val="28"/>
          <w:szCs w:val="28"/>
          <w:lang w:val="kk-KZ"/>
        </w:rPr>
        <w:t xml:space="preserve"> </w:t>
      </w:r>
      <w:r w:rsidR="004B6B5D">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1hn5cmd0b0","properties":{"formattedCitation":"[232\\uc0\\u8211{}234]","plainCitation":"[232–234]","noteIndex":0},"citationItems":[{"id":307,"uris":["http://zotero.org/users/16887523/items/9QMNL9S2"],"itemData":{"id":307,"type":"article-journal","abstract":"Abstract\n            Understanding the role of innovation capabilities in driving the performance of SMEs is crucial in today’s competitive landscape. Despite the prominence of SMEs, the specific mechanisms through which innovation capabilities influence their success remain unclear. This study investigates the relationship between innovation capabilities and SME performance in the UAE, a rapidly developing economy characterized by economic diversification and technological advancement. Using data collected from 255 SME industry experts and analyzed through Structural Equation Modeling (SEM) with AMOS, the results reveal significant positive relationships between the constructs studied. Innovation Capability (IC) demonstrated a notable impact on performance with a beta coefficient of 0.43 (p = 0.001), underscoring its role in fostering adaptability and competitiveness. Innovation Culture (InC) exhibited the strongest influence, with a beta coefficient of 0.65 (p &lt; 0.001), highlighting the importance of fostering a collaborative, creative, and risk-taking environment. Organizational Innovation (OI) and Employee Engagement (EE) also significantly contributed to performance, with beta coefficients of 0.32 (p = 0.001) and 0.28 (p = 0.024), respectively. These findings highlight the critical role of innovative considerations in enhancing SME performance within the UAE’s unique socio-economic and cultural context. These results serve as a guidance for company executives and politicians in creating an atmosphere that supports the nation’s continued SME growth and economic prosperity.","container-title":"Discover Applied Sciences","DOI":"10.1007/s42452-025-06865-x","ISSN":"3004-9261","issue":"5","journalAbbreviation":"Discov Appl Sci","language":"en","page":"357","source":"DOI.org (Crossref)","title":"A structural equation modeling approach to evaluating innovation dynamics’ effect on SME performance in the United Arab Emirates","URL":"https://link.springer.com/10.1007/s42452-025-06865-x","volume":"7","author":[{"family":"Almansoori","given":"Sara Ismail"},{"family":"Araci","given":"Zehra Canan"},{"family":"Dweiri","given":"Fikri"}],"accessed":{"date-parts":[["2025",11,30]]},"issued":{"date-parts":[["2025",4,16]]}}},{"id":308,"uris":["http://zotero.org/users/16887523/items/XIKXQGMN"],"itemData":{"id":308,"type":"article-journal","abstract":"В статье представлены результаты исследования автора по проблемам оценки инновационного потенциала малого промышленного предприятия. Автором уточнено понятие инновационного потенциала и дана характеристика наиболее распространенных методов его оценки. Наибольший интерес представляют структурные моды оценки, поскольку они позволяют учесть особенности объекта. Для малого промышленного предприятия автором определен примерный набор показателей оценки инновационного потенциала в структурном, функциональном и продуктовом аспектах и разработан алгоритм оценки.","container-title":"Креативная экономика","DOI":"10.18334/ce.9.10.2065","ISSN":"2409-4684, 1994-6929","issue":"10","journalAbbreviation":"Creative Economy","license":"http://creativecommons.org/licenses/by-nc-nd/4.0","page":"1239-1254","source":"DOI.org (Crossref)","title":"Методические подходы к оценке инновационного потенциала малого промышленного предприятия","URL":"http://bgscience.ru/lib/9434/","volume":"9","author":[{"family":"Черяпина","given":"Анастасия Викторовна"}],"accessed":{"date-parts":[["2025",11,30]]},"issued":{"date-parts":[["2015",10,31]]}}},{"id":310,"uris":["http://zotero.org/users/16887523/items/TQCC6HIV"],"itemData":{"id":310,"type":"article-journal","abstract":"В статье проведён анализ, выявлены и раскрыты ключевые преимущества применения регрессионного анализа при контроле инновационной стратегии предприятия и продемонстрирован принцип работы данного статистического инструмента как способа осуществления контроля. На основе рассмотренных недостатков сформулированы и приведены требования и условия работы данного метода, и в результате подчёркивается важность аспекта контроля в отношении инновационной стратегии.","container-title":"Journal of Economy and Business","DOI":"10.24411/2411-0450-2020-10536","issue":"6","page":"83-88","publisher":"Экономика и бизнес: теория и практика","source":"DOI.org (Datacite)","title":"ОБОСНОВАНИЕ ВАЖНОСТИ ПРИМЕНЕНИЯ РЕГРЕССИОННОГО АНАЛИЗА КАК ИНСТРУМЕНТА КОНТРОЛЯ И ПРОГНОЗИРОВАНИЯ ПРИ РЕАЛИЗАЦИИ ИННОВАЦИОННОЙ СТРАТЕГИИ ПРЕДПРИЯТИЯ","URL":"http://cyberdoi.ru/doi/10.24411/2411-0450-2020-10536","volume":"64","author":[{"family":"Гуркова","given":"М. Д."}],"accessed":{"date-parts":[["2025",11,30]]},"issued":{"date-parts":[["2020"]]}}}],"schema":"https://github.com/citation-style-language/schema/raw/master/csl-citation.json"} </w:instrText>
      </w:r>
      <w:r w:rsidR="004B6B5D">
        <w:rPr>
          <w:rFonts w:ascii="Times New Roman" w:hAnsi="Times New Roman" w:cs="Times New Roman"/>
          <w:sz w:val="28"/>
          <w:szCs w:val="28"/>
          <w:lang w:val="kk-KZ"/>
        </w:rPr>
        <w:fldChar w:fldCharType="separate"/>
      </w:r>
      <w:r w:rsidR="00AE44BA" w:rsidRPr="00AE44BA">
        <w:rPr>
          <w:rFonts w:ascii="Times New Roman" w:hAnsi="Times New Roman" w:cs="Times New Roman"/>
          <w:sz w:val="28"/>
          <w:szCs w:val="24"/>
        </w:rPr>
        <w:t>[232–234]</w:t>
      </w:r>
      <w:r w:rsidR="004B6B5D">
        <w:rPr>
          <w:rFonts w:ascii="Times New Roman" w:hAnsi="Times New Roman" w:cs="Times New Roman"/>
          <w:sz w:val="28"/>
          <w:szCs w:val="28"/>
          <w:lang w:val="kk-KZ"/>
        </w:rPr>
        <w:fldChar w:fldCharType="end"/>
      </w:r>
      <w:r w:rsidRPr="002F33D0">
        <w:rPr>
          <w:rFonts w:ascii="Times New Roman" w:hAnsi="Times New Roman" w:cs="Times New Roman"/>
          <w:sz w:val="28"/>
          <w:szCs w:val="28"/>
        </w:rPr>
        <w:t xml:space="preserve"> является принцип объективного взвешивания факторов, при котором значимость каждого компонента определяется не экспертными оценками, а стандартизированными β-коэффициентами, полученными на основе эконометрического анализа (SEM, регрессионные и логит-модели). Использование статистически подтверждённых коэффициентов позволяет обеспечить:</w:t>
      </w:r>
    </w:p>
    <w:p w14:paraId="290A6D60" w14:textId="4AB5004E" w:rsidR="002F33D0" w:rsidRPr="002F33D0" w:rsidRDefault="002F33D0" w:rsidP="007F5E68">
      <w:pPr>
        <w:pStyle w:val="a3"/>
        <w:numPr>
          <w:ilvl w:val="0"/>
          <w:numId w:val="25"/>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воспроизв</w:t>
      </w:r>
      <w:r w:rsidR="004B60DD">
        <w:rPr>
          <w:rFonts w:ascii="Times New Roman" w:hAnsi="Times New Roman" w:cs="Times New Roman"/>
          <w:sz w:val="28"/>
          <w:szCs w:val="28"/>
        </w:rPr>
        <w:t>одимость и устойчивость модели</w:t>
      </w:r>
      <w:r w:rsidR="004B60DD">
        <w:rPr>
          <w:rFonts w:ascii="Times New Roman" w:hAnsi="Times New Roman" w:cs="Times New Roman"/>
          <w:sz w:val="28"/>
          <w:szCs w:val="28"/>
          <w:lang w:val="kk-KZ"/>
        </w:rPr>
        <w:t>;</w:t>
      </w:r>
    </w:p>
    <w:p w14:paraId="1012C59C" w14:textId="313DB793" w:rsidR="002F33D0" w:rsidRPr="002F33D0" w:rsidRDefault="002F33D0" w:rsidP="007F5E68">
      <w:pPr>
        <w:pStyle w:val="a3"/>
        <w:numPr>
          <w:ilvl w:val="0"/>
          <w:numId w:val="25"/>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отс</w:t>
      </w:r>
      <w:r w:rsidR="004B60DD">
        <w:rPr>
          <w:rFonts w:ascii="Times New Roman" w:hAnsi="Times New Roman" w:cs="Times New Roman"/>
          <w:sz w:val="28"/>
          <w:szCs w:val="28"/>
        </w:rPr>
        <w:t>утствие экспертной предвзятости</w:t>
      </w:r>
      <w:r w:rsidR="004B60DD">
        <w:rPr>
          <w:rFonts w:ascii="Times New Roman" w:hAnsi="Times New Roman" w:cs="Times New Roman"/>
          <w:sz w:val="28"/>
          <w:szCs w:val="28"/>
          <w:lang w:val="kk-KZ"/>
        </w:rPr>
        <w:t>;</w:t>
      </w:r>
    </w:p>
    <w:p w14:paraId="3B339AF5" w14:textId="77777777" w:rsidR="002F33D0" w:rsidRPr="002F33D0" w:rsidRDefault="002F33D0" w:rsidP="007F5E68">
      <w:pPr>
        <w:pStyle w:val="a3"/>
        <w:numPr>
          <w:ilvl w:val="0"/>
          <w:numId w:val="25"/>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научно обоснованную связь между моделью диагностики и фактическими данными предприятий.</w:t>
      </w:r>
    </w:p>
    <w:p w14:paraId="45CC8611" w14:textId="18328DC9"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Формально методика предполагает, что весовой коэффициент </w:t>
      </w:r>
      <w:r w:rsidRPr="002F33D0">
        <w:rPr>
          <w:rFonts w:ascii="Cambria Math" w:hAnsi="Cambria Math" w:cs="Cambria Math"/>
          <w:sz w:val="28"/>
          <w:szCs w:val="28"/>
        </w:rPr>
        <w:t>𝜔</w:t>
      </w:r>
      <w:r w:rsidRPr="002F33D0">
        <w:rPr>
          <w:rFonts w:ascii="Times New Roman" w:hAnsi="Times New Roman" w:cs="Times New Roman"/>
          <w:sz w:val="28"/>
          <w:szCs w:val="28"/>
        </w:rPr>
        <w:t xml:space="preserve">ᵢ для каждого фактора определяется на основе стандартизированного коэффициента β из эконометрических моделей </w:t>
      </w:r>
      <w:r w:rsidRPr="002F33D0">
        <w:rPr>
          <w:rFonts w:ascii="Times New Roman" w:hAnsi="Times New Roman" w:cs="Times New Roman"/>
          <w:sz w:val="28"/>
          <w:szCs w:val="28"/>
          <w:lang w:val="kk-KZ"/>
        </w:rPr>
        <w:t>(1</w:t>
      </w:r>
      <w:r w:rsidR="00FD618C">
        <w:rPr>
          <w:rFonts w:ascii="Times New Roman" w:hAnsi="Times New Roman" w:cs="Times New Roman"/>
          <w:sz w:val="28"/>
          <w:szCs w:val="28"/>
          <w:lang w:val="kk-KZ"/>
        </w:rPr>
        <w:t>9</w:t>
      </w:r>
      <w:r w:rsidRPr="002F33D0">
        <w:rPr>
          <w:rFonts w:ascii="Times New Roman" w:hAnsi="Times New Roman" w:cs="Times New Roman"/>
          <w:sz w:val="28"/>
          <w:szCs w:val="28"/>
          <w:lang w:val="kk-KZ"/>
        </w:rPr>
        <w:t>)</w:t>
      </w:r>
      <w:r w:rsidRPr="002F33D0">
        <w:rPr>
          <w:rFonts w:ascii="Times New Roman" w:hAnsi="Times New Roman" w:cs="Times New Roman"/>
          <w:sz w:val="28"/>
          <w:szCs w:val="28"/>
        </w:rPr>
        <w:t>:</w:t>
      </w:r>
    </w:p>
    <w:p w14:paraId="52400494" w14:textId="77777777" w:rsidR="002F33D0" w:rsidRPr="002F33D0" w:rsidRDefault="002F33D0" w:rsidP="002F33D0">
      <w:pPr>
        <w:tabs>
          <w:tab w:val="left" w:pos="851"/>
        </w:tabs>
        <w:spacing w:after="0" w:line="240" w:lineRule="auto"/>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2F33D0" w:rsidRPr="002F33D0" w14:paraId="5C18DFBE" w14:textId="77777777" w:rsidTr="002F33D0">
        <w:tc>
          <w:tcPr>
            <w:tcW w:w="8642" w:type="dxa"/>
          </w:tcPr>
          <w:p w14:paraId="7CFC89C3" w14:textId="77777777" w:rsidR="002F33D0" w:rsidRPr="002F33D0" w:rsidRDefault="001D4931" w:rsidP="002F33D0">
            <w:pPr>
              <w:tabs>
                <w:tab w:val="left" w:pos="851"/>
              </w:tabs>
              <w:ind w:firstLine="0"/>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ω</m:t>
                    </m:r>
                  </m:e>
                  <m:sub>
                    <m:r>
                      <w:rPr>
                        <w:rFonts w:ascii="Cambria Math" w:hAnsi="Cambria Math"/>
                        <w:sz w:val="28"/>
                        <w:szCs w:val="28"/>
                        <w:lang w:val="en-US"/>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i</m:t>
                        </m:r>
                      </m:sub>
                    </m:sSub>
                  </m:num>
                  <m:den>
                    <m:nary>
                      <m:naryPr>
                        <m:chr m:val="∑"/>
                        <m:limLoc m:val="subSup"/>
                        <m:ctrlPr>
                          <w:rPr>
                            <w:rFonts w:ascii="Cambria Math" w:hAnsi="Cambria Math"/>
                            <w:i/>
                            <w:sz w:val="28"/>
                            <w:szCs w:val="28"/>
                          </w:rPr>
                        </m:ctrlPr>
                      </m:naryPr>
                      <m:sub>
                        <m:r>
                          <w:rPr>
                            <w:rFonts w:ascii="Cambria Math" w:hAnsi="Cambria Math"/>
                            <w:sz w:val="28"/>
                            <w:szCs w:val="28"/>
                          </w:rPr>
                          <m:t>j=1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j</m:t>
                            </m:r>
                          </m:sub>
                        </m:sSub>
                      </m:e>
                    </m:nary>
                  </m:den>
                </m:f>
              </m:oMath>
            </m:oMathPara>
          </w:p>
        </w:tc>
        <w:tc>
          <w:tcPr>
            <w:tcW w:w="703" w:type="dxa"/>
            <w:vAlign w:val="center"/>
          </w:tcPr>
          <w:p w14:paraId="7F3E0289" w14:textId="77777777" w:rsidR="002F33D0" w:rsidRPr="002F33D0" w:rsidRDefault="002F33D0" w:rsidP="002F33D0">
            <w:pPr>
              <w:tabs>
                <w:tab w:val="left" w:pos="851"/>
              </w:tabs>
              <w:ind w:firstLine="0"/>
              <w:jc w:val="both"/>
              <w:rPr>
                <w:sz w:val="28"/>
                <w:szCs w:val="28"/>
                <w:lang w:val="kk-KZ"/>
              </w:rPr>
            </w:pPr>
          </w:p>
          <w:p w14:paraId="08F435FD" w14:textId="70755129" w:rsidR="002F33D0" w:rsidRPr="002F33D0" w:rsidRDefault="002F33D0" w:rsidP="002F33D0">
            <w:pPr>
              <w:tabs>
                <w:tab w:val="left" w:pos="851"/>
              </w:tabs>
              <w:ind w:firstLine="0"/>
              <w:jc w:val="both"/>
              <w:rPr>
                <w:sz w:val="28"/>
                <w:szCs w:val="28"/>
                <w:lang w:val="kk-KZ"/>
              </w:rPr>
            </w:pPr>
            <w:r w:rsidRPr="002F33D0">
              <w:rPr>
                <w:sz w:val="28"/>
                <w:szCs w:val="28"/>
                <w:lang w:val="kk-KZ"/>
              </w:rPr>
              <w:t>(1</w:t>
            </w:r>
            <w:r w:rsidR="00FD618C">
              <w:rPr>
                <w:sz w:val="28"/>
                <w:szCs w:val="28"/>
                <w:lang w:val="kk-KZ"/>
              </w:rPr>
              <w:t>9</w:t>
            </w:r>
            <w:r w:rsidRPr="002F33D0">
              <w:rPr>
                <w:sz w:val="28"/>
                <w:szCs w:val="28"/>
                <w:lang w:val="kk-KZ"/>
              </w:rPr>
              <w:t>)</w:t>
            </w:r>
          </w:p>
          <w:p w14:paraId="1BC7D3E6" w14:textId="77777777" w:rsidR="002F33D0" w:rsidRPr="002F33D0" w:rsidRDefault="002F33D0" w:rsidP="002F33D0">
            <w:pPr>
              <w:tabs>
                <w:tab w:val="left" w:pos="851"/>
              </w:tabs>
              <w:ind w:firstLine="0"/>
              <w:jc w:val="both"/>
              <w:rPr>
                <w:sz w:val="28"/>
                <w:szCs w:val="28"/>
              </w:rPr>
            </w:pPr>
          </w:p>
        </w:tc>
      </w:tr>
    </w:tbl>
    <w:p w14:paraId="414C56E9" w14:textId="77777777" w:rsidR="002F33D0" w:rsidRPr="002F33D0" w:rsidRDefault="002F33D0" w:rsidP="002F33D0">
      <w:pPr>
        <w:tabs>
          <w:tab w:val="left" w:pos="851"/>
        </w:tabs>
        <w:spacing w:after="0" w:line="240" w:lineRule="auto"/>
        <w:jc w:val="both"/>
        <w:rPr>
          <w:rFonts w:ascii="Times New Roman" w:hAnsi="Times New Roman" w:cs="Times New Roman"/>
          <w:sz w:val="28"/>
          <w:szCs w:val="28"/>
        </w:rPr>
      </w:pPr>
    </w:p>
    <w:p w14:paraId="28AF0F26" w14:textId="0ED217A3" w:rsidR="002F33D0" w:rsidRPr="002F33D0" w:rsidRDefault="002F33D0" w:rsidP="004B60DD">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lang w:val="kk-KZ"/>
        </w:rPr>
        <w:t>г</w:t>
      </w:r>
      <w:r w:rsidRPr="002F33D0">
        <w:rPr>
          <w:rFonts w:ascii="Times New Roman" w:hAnsi="Times New Roman" w:cs="Times New Roman"/>
          <w:sz w:val="28"/>
          <w:szCs w:val="28"/>
        </w:rPr>
        <w:t xml:space="preserve">де </w:t>
      </w:r>
    </w:p>
    <w:p w14:paraId="5EE4EADC" w14:textId="3E82DA97" w:rsidR="002F33D0" w:rsidRPr="002F33D0" w:rsidRDefault="001D4931" w:rsidP="004B60DD">
      <w:pPr>
        <w:tabs>
          <w:tab w:val="left" w:pos="851"/>
        </w:tabs>
        <w:spacing w:after="0" w:line="240" w:lineRule="auto"/>
        <w:ind w:firstLine="567"/>
        <w:jc w:val="both"/>
        <w:rPr>
          <w:rFonts w:ascii="Times New Roman" w:hAnsi="Times New Roman" w:cs="Times New Roman"/>
          <w:sz w:val="28"/>
          <w:szCs w:val="28"/>
          <w:lang w:val="kk-KZ"/>
        </w:rPr>
      </w:pPr>
      <m:oMath>
        <m:sSub>
          <m:sSubPr>
            <m:ctrlPr>
              <w:rPr>
                <w:rFonts w:ascii="Cambria Math" w:hAnsi="Cambria Math" w:cs="Times New Roman"/>
                <w:i/>
                <w:sz w:val="28"/>
                <w:szCs w:val="28"/>
              </w:rPr>
            </m:ctrlPr>
          </m:sSubPr>
          <m:e>
            <m:r>
              <w:rPr>
                <w:rFonts w:ascii="Cambria Math" w:hAnsi="Cambria Math" w:cs="Times New Roman"/>
                <w:sz w:val="28"/>
                <w:szCs w:val="28"/>
              </w:rPr>
              <m:t>β</m:t>
            </m:r>
          </m:e>
          <m:sub>
            <m:r>
              <w:rPr>
                <w:rFonts w:ascii="Cambria Math" w:hAnsi="Cambria Math" w:cs="Times New Roman"/>
                <w:sz w:val="28"/>
                <w:szCs w:val="28"/>
              </w:rPr>
              <m:t>i</m:t>
            </m:r>
          </m:sub>
        </m:sSub>
      </m:oMath>
      <w:r w:rsidR="002F33D0" w:rsidRPr="002F33D0">
        <w:rPr>
          <w:rFonts w:ascii="Times New Roman" w:hAnsi="Times New Roman" w:cs="Times New Roman"/>
          <w:sz w:val="28"/>
          <w:szCs w:val="28"/>
        </w:rPr>
        <w:t xml:space="preserve"> </w:t>
      </w:r>
      <w:r w:rsidR="009D20AE">
        <w:rPr>
          <w:rFonts w:ascii="Times New Roman" w:hAnsi="Times New Roman" w:cs="Times New Roman"/>
          <w:sz w:val="28"/>
          <w:szCs w:val="28"/>
        </w:rPr>
        <w:t>–</w:t>
      </w:r>
      <w:r w:rsidR="002F33D0" w:rsidRPr="002F33D0">
        <w:rPr>
          <w:rFonts w:ascii="Times New Roman" w:hAnsi="Times New Roman" w:cs="Times New Roman"/>
          <w:sz w:val="28"/>
          <w:szCs w:val="28"/>
        </w:rPr>
        <w:t xml:space="preserve"> стандартизированный коэффициент влияния i-го фактора на инновационный</w:t>
      </w:r>
      <w:r w:rsidR="002F33D0" w:rsidRPr="002F33D0">
        <w:rPr>
          <w:rFonts w:ascii="Times New Roman" w:hAnsi="Times New Roman" w:cs="Times New Roman"/>
          <w:sz w:val="28"/>
          <w:szCs w:val="28"/>
          <w:lang w:val="kk-KZ"/>
        </w:rPr>
        <w:t xml:space="preserve"> </w:t>
      </w:r>
      <w:r w:rsidR="002F33D0" w:rsidRPr="002F33D0">
        <w:rPr>
          <w:rFonts w:ascii="Times New Roman" w:hAnsi="Times New Roman" w:cs="Times New Roman"/>
          <w:sz w:val="28"/>
          <w:szCs w:val="28"/>
        </w:rPr>
        <w:t>потенциал</w:t>
      </w:r>
      <w:r w:rsidR="002F33D0" w:rsidRPr="002F33D0">
        <w:rPr>
          <w:rFonts w:ascii="Times New Roman" w:hAnsi="Times New Roman" w:cs="Times New Roman"/>
          <w:sz w:val="28"/>
          <w:szCs w:val="28"/>
          <w:lang w:val="kk-KZ"/>
        </w:rPr>
        <w:t>;</w:t>
      </w:r>
    </w:p>
    <w:p w14:paraId="0F12F3C2" w14:textId="12122C1D" w:rsidR="002F33D0" w:rsidRPr="002F33D0" w:rsidRDefault="001D4931" w:rsidP="004B60DD">
      <w:pPr>
        <w:tabs>
          <w:tab w:val="left" w:pos="851"/>
        </w:tabs>
        <w:spacing w:after="0" w:line="240" w:lineRule="auto"/>
        <w:ind w:firstLine="567"/>
        <w:jc w:val="both"/>
        <w:rPr>
          <w:rFonts w:ascii="Times New Roman" w:hAnsi="Times New Roman" w:cs="Times New Roman"/>
          <w:sz w:val="28"/>
          <w:szCs w:val="28"/>
          <w:lang w:val="kk-KZ"/>
        </w:rPr>
      </w:pPr>
      <m:oMath>
        <m:nary>
          <m:naryPr>
            <m:chr m:val="∑"/>
            <m:limLoc m:val="subSup"/>
            <m:ctrlPr>
              <w:rPr>
                <w:rFonts w:ascii="Cambria Math" w:hAnsi="Cambria Math" w:cs="Times New Roman"/>
                <w:i/>
                <w:sz w:val="28"/>
                <w:szCs w:val="28"/>
              </w:rPr>
            </m:ctrlPr>
          </m:naryPr>
          <m:sub>
            <m:r>
              <w:rPr>
                <w:rFonts w:ascii="Cambria Math" w:hAnsi="Cambria Math" w:cs="Times New Roman"/>
                <w:sz w:val="28"/>
                <w:szCs w:val="28"/>
              </w:rPr>
              <m:t>j=1</m:t>
            </m:r>
          </m:sub>
          <m:sup>
            <m:r>
              <w:rPr>
                <w:rFonts w:ascii="Cambria Math" w:hAnsi="Cambria Math" w:cs="Times New Roman"/>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β</m:t>
                </m:r>
              </m:e>
              <m:sub>
                <m:r>
                  <w:rPr>
                    <w:rFonts w:ascii="Cambria Math" w:hAnsi="Cambria Math" w:cs="Times New Roman"/>
                    <w:sz w:val="28"/>
                    <w:szCs w:val="28"/>
                  </w:rPr>
                  <m:t>j</m:t>
                </m:r>
              </m:sub>
            </m:sSub>
          </m:e>
        </m:nary>
      </m:oMath>
      <w:r w:rsidR="002F33D0" w:rsidRPr="002F33D0">
        <w:rPr>
          <w:rStyle w:val="katex-mathml"/>
          <w:rFonts w:ascii="Times New Roman" w:hAnsi="Times New Roman" w:cs="Times New Roman"/>
          <w:sz w:val="28"/>
          <w:szCs w:val="28"/>
          <w:lang w:val="kk-KZ"/>
        </w:rPr>
        <w:t xml:space="preserve"> </w:t>
      </w:r>
      <w:r w:rsidR="009D20AE">
        <w:rPr>
          <w:rFonts w:ascii="Times New Roman" w:hAnsi="Times New Roman" w:cs="Times New Roman"/>
          <w:sz w:val="28"/>
          <w:szCs w:val="28"/>
        </w:rPr>
        <w:t>–</w:t>
      </w:r>
      <w:r w:rsidR="002F33D0" w:rsidRPr="002F33D0">
        <w:rPr>
          <w:rFonts w:ascii="Times New Roman" w:hAnsi="Times New Roman" w:cs="Times New Roman"/>
          <w:sz w:val="28"/>
          <w:szCs w:val="28"/>
        </w:rPr>
        <w:t xml:space="preserve"> сумма всех коэффициентов в модели для нормализации весов.</w:t>
      </w:r>
    </w:p>
    <w:p w14:paraId="651E1A4A" w14:textId="77777777" w:rsidR="002F33D0" w:rsidRPr="002F33D0" w:rsidRDefault="002F33D0" w:rsidP="002F33D0">
      <w:pPr>
        <w:spacing w:after="0" w:line="240" w:lineRule="auto"/>
        <w:jc w:val="both"/>
        <w:rPr>
          <w:rFonts w:ascii="Times New Roman" w:hAnsi="Times New Roman" w:cs="Times New Roman"/>
          <w:sz w:val="28"/>
          <w:szCs w:val="28"/>
        </w:rPr>
      </w:pPr>
    </w:p>
    <w:p w14:paraId="4EE3674B" w14:textId="77777777"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Такой подход обеспечивает формирование объективно взвешенного индекса инновационного потенциала (IP-Index), отражающего не только </w:t>
      </w:r>
      <w:r w:rsidRPr="002F33D0">
        <w:rPr>
          <w:rFonts w:ascii="Times New Roman" w:hAnsi="Times New Roman" w:cs="Times New Roman"/>
          <w:sz w:val="28"/>
          <w:szCs w:val="28"/>
        </w:rPr>
        <w:lastRenderedPageBreak/>
        <w:t>наличие ресурсов, но и реальное влияние каждого компонента на инновационную результативность.</w:t>
      </w:r>
    </w:p>
    <w:p w14:paraId="04FE7CFE" w14:textId="77777777"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Предлагаемый инструмент объединяет теоретический и эмпирический уровни анализа в рамках единой концептуальной модели, обеспечивающей системность оценки и проектирования инновационного потенциала предпринимательских структур. На теоретическом уровне формируется содержательная архитектура инновационного потенциала, включающая ресурсные, процессные, цифровые и институциональные компоненты, которые отражают внутренние и внешние предпосылки инновационного развития. На эмпирическом уровне определяется количественная конфигурация этой структуры: устанавливаются значимые взаимосвязи между компонентами, рассчитываются β-коэффициенты и параметры статистических моделей, на основе которых формируются весовые показатели для построения интегрального индекса инновационного потенциала.</w:t>
      </w:r>
    </w:p>
    <w:p w14:paraId="320DE076" w14:textId="67C42161"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Методологическое сопряжение теоретической и эмпирической частей инструмента обеспечивает его научную обоснованность, внутреннюю согласованность и воспроизводимость. Такая двухуровневая логика позволяет сформировать не только диагностический, но и проектный контур оценки, ориентированный на моделирование траекторий развития предпринимательских структур с учётом размера предприятия, уровня цифровой зрелости, институциональных условий и кадровой обеспеченности. В совокупности это создаёт основу для последующей цифровизации инструмента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трансформации его в онлайн-платформу, позволяющую автоматизировать диагностику инновационного потенциала и генерировать персонализированные рекомендации.</w:t>
      </w:r>
    </w:p>
    <w:p w14:paraId="1B9A5EFF" w14:textId="77777777" w:rsidR="00E27253" w:rsidRPr="00E27253" w:rsidRDefault="002F33D0" w:rsidP="00E27253">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Концептуальная модель инструмента оценки представлена на рисунке </w:t>
      </w:r>
      <w:r w:rsidR="00FD618C">
        <w:rPr>
          <w:rFonts w:ascii="Times New Roman" w:hAnsi="Times New Roman" w:cs="Times New Roman"/>
          <w:sz w:val="28"/>
          <w:szCs w:val="28"/>
          <w:lang w:val="kk-KZ"/>
        </w:rPr>
        <w:t>7</w:t>
      </w:r>
      <w:r w:rsidRPr="002F33D0">
        <w:rPr>
          <w:rFonts w:ascii="Times New Roman" w:hAnsi="Times New Roman" w:cs="Times New Roman"/>
          <w:sz w:val="28"/>
          <w:szCs w:val="28"/>
        </w:rPr>
        <w:t xml:space="preserve"> и визуализирует переход от содержательной структуры инновационного потенциала к его эмпирической калибровке и дальнейшему проектированию.</w:t>
      </w:r>
      <w:r w:rsidR="00E27253">
        <w:rPr>
          <w:rFonts w:ascii="Times New Roman" w:hAnsi="Times New Roman" w:cs="Times New Roman"/>
          <w:sz w:val="28"/>
          <w:szCs w:val="28"/>
          <w:lang w:val="kk-KZ"/>
        </w:rPr>
        <w:t xml:space="preserve"> Он </w:t>
      </w:r>
      <w:r w:rsidR="00FD618C" w:rsidRPr="002F33D0">
        <w:rPr>
          <w:rFonts w:ascii="Times New Roman" w:hAnsi="Times New Roman" w:cs="Times New Roman"/>
          <w:sz w:val="28"/>
          <w:szCs w:val="28"/>
        </w:rPr>
        <w:t xml:space="preserve">отражает методологическую архитектуру разработанного инструмента, визуализируя логику сопряжения теоретических оснований и результатов эконометрического анализа. Теоретический блок модели задаёт структурное содержание инновационного потенциала, а эконометрический уровень обеспечивает его количественную калибровку и формирование весовых коэффициентов. Инструментальный уровень объединяет эти элементы в единую систему, позволяющую рассчитывать интегральный индекс инновационного потенциала и выделять профили развития предпринимательских структур. </w:t>
      </w:r>
    </w:p>
    <w:p w14:paraId="4FD614C8" w14:textId="6F4D6D9F" w:rsidR="00FD618C" w:rsidRPr="00E27253" w:rsidRDefault="00FD618C" w:rsidP="00E27253">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В совокупности модель представляет собой гибридный инструмент, сочетающий научную обоснованность, практическую применимость и адаптивность к различным типам предприятий и условиям цифровой трансформации.</w:t>
      </w:r>
    </w:p>
    <w:p w14:paraId="2519096F" w14:textId="77777777" w:rsidR="007D4704" w:rsidRDefault="002F33D0" w:rsidP="007D4704">
      <w:pPr>
        <w:spacing w:after="0" w:line="240" w:lineRule="auto"/>
        <w:jc w:val="center"/>
        <w:rPr>
          <w:rFonts w:ascii="Times New Roman" w:hAnsi="Times New Roman" w:cs="Times New Roman"/>
          <w:sz w:val="28"/>
          <w:szCs w:val="28"/>
        </w:rPr>
      </w:pPr>
      <w:r w:rsidRPr="002F33D0">
        <w:rPr>
          <w:rFonts w:ascii="Times New Roman" w:hAnsi="Times New Roman" w:cs="Times New Roman"/>
          <w:sz w:val="28"/>
          <w:szCs w:val="28"/>
        </w:rPr>
        <w:br w:type="page"/>
      </w:r>
    </w:p>
    <w:p w14:paraId="02793F1C" w14:textId="77777777" w:rsidR="007D4704" w:rsidRDefault="002F33D0" w:rsidP="007D4704">
      <w:pPr>
        <w:spacing w:after="0" w:line="240" w:lineRule="auto"/>
        <w:jc w:val="center"/>
        <w:rPr>
          <w:rFonts w:ascii="Times New Roman" w:hAnsi="Times New Roman" w:cs="Times New Roman"/>
          <w:sz w:val="28"/>
          <w:szCs w:val="28"/>
        </w:rPr>
      </w:pPr>
      <w:r w:rsidRPr="002F33D0">
        <w:rPr>
          <w:rFonts w:ascii="Times New Roman" w:hAnsi="Times New Roman" w:cs="Times New Roman"/>
          <w:noProof/>
          <w:sz w:val="28"/>
          <w:szCs w:val="28"/>
          <w:lang w:eastAsia="ru-RU"/>
        </w:rPr>
        <w:lastRenderedPageBreak/>
        <mc:AlternateContent>
          <mc:Choice Requires="wpg">
            <w:drawing>
              <wp:inline distT="0" distB="0" distL="0" distR="0" wp14:anchorId="28BF176F" wp14:editId="45F2C22F">
                <wp:extent cx="5588635" cy="8147685"/>
                <wp:effectExtent l="0" t="0" r="12065" b="24765"/>
                <wp:docPr id="201" name="Группа 201"/>
                <wp:cNvGraphicFramePr/>
                <a:graphic xmlns:a="http://schemas.openxmlformats.org/drawingml/2006/main">
                  <a:graphicData uri="http://schemas.microsoft.com/office/word/2010/wordprocessingGroup">
                    <wpg:wgp>
                      <wpg:cNvGrpSpPr/>
                      <wpg:grpSpPr>
                        <a:xfrm>
                          <a:off x="0" y="0"/>
                          <a:ext cx="5588635" cy="8147685"/>
                          <a:chOff x="0" y="0"/>
                          <a:chExt cx="5588907" cy="8148108"/>
                        </a:xfrm>
                      </wpg:grpSpPr>
                      <wps:wsp>
                        <wps:cNvPr id="202" name="Надпись 202"/>
                        <wps:cNvSpPr txBox="1"/>
                        <wps:spPr>
                          <a:xfrm>
                            <a:off x="822960" y="0"/>
                            <a:ext cx="4082143" cy="544285"/>
                          </a:xfrm>
                          <a:prstGeom prst="rect">
                            <a:avLst/>
                          </a:prstGeom>
                          <a:solidFill>
                            <a:schemeClr val="bg1">
                              <a:lumMod val="75000"/>
                            </a:schemeClr>
                          </a:solidFill>
                          <a:ln w="6350">
                            <a:solidFill>
                              <a:prstClr val="black"/>
                            </a:solidFill>
                          </a:ln>
                        </wps:spPr>
                        <wps:txbx>
                          <w:txbxContent>
                            <w:p w14:paraId="4F377C44" w14:textId="77777777" w:rsidR="001D4931" w:rsidRPr="002F33D0" w:rsidRDefault="001D4931" w:rsidP="002F33D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rPr>
                                <w:t>I. ТЕОРЕТИКО-МЕТОДОЛОГИЧЕСКИЙ УРОВЕНЬ</w:t>
                              </w:r>
                              <w:r w:rsidRPr="002F33D0">
                                <w:rPr>
                                  <w:rFonts w:ascii="Times New Roman" w:hAnsi="Times New Roman" w:cs="Times New Roman"/>
                                  <w:sz w:val="24"/>
                                  <w:szCs w:val="24"/>
                                  <w:lang w:val="kk-KZ"/>
                                </w:rPr>
                                <w:t xml:space="preserve"> (структурные компоненты инновационного потенциала)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 name="Надпись 203"/>
                        <wps:cNvSpPr txBox="1"/>
                        <wps:spPr>
                          <a:xfrm>
                            <a:off x="7620" y="830580"/>
                            <a:ext cx="1249680" cy="533400"/>
                          </a:xfrm>
                          <a:prstGeom prst="rect">
                            <a:avLst/>
                          </a:prstGeom>
                          <a:solidFill>
                            <a:schemeClr val="bg1">
                              <a:lumMod val="75000"/>
                              <a:alpha val="24000"/>
                            </a:schemeClr>
                          </a:solidFill>
                          <a:ln w="6350">
                            <a:solidFill>
                              <a:prstClr val="black"/>
                            </a:solidFill>
                          </a:ln>
                        </wps:spPr>
                        <wps:txbx>
                          <w:txbxContent>
                            <w:p w14:paraId="1EA7138C"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Ресурсный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Надпись 204"/>
                        <wps:cNvSpPr txBox="1"/>
                        <wps:spPr>
                          <a:xfrm>
                            <a:off x="1440180" y="830580"/>
                            <a:ext cx="1249680" cy="533400"/>
                          </a:xfrm>
                          <a:prstGeom prst="rect">
                            <a:avLst/>
                          </a:prstGeom>
                          <a:solidFill>
                            <a:schemeClr val="bg1">
                              <a:lumMod val="75000"/>
                              <a:alpha val="24000"/>
                            </a:schemeClr>
                          </a:solidFill>
                          <a:ln w="6350">
                            <a:solidFill>
                              <a:prstClr val="black"/>
                            </a:solidFill>
                          </a:ln>
                        </wps:spPr>
                        <wps:txbx>
                          <w:txbxContent>
                            <w:p w14:paraId="0AA5A958"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lang w:val="kk-KZ"/>
                                </w:rPr>
                                <w:t>Процессный</w:t>
                              </w:r>
                              <w:r w:rsidRPr="002F33D0">
                                <w:rPr>
                                  <w:rFonts w:ascii="Times New Roman" w:hAnsi="Times New Roman" w:cs="Times New Roman"/>
                                  <w:sz w:val="24"/>
                                  <w:szCs w:val="24"/>
                                </w:rPr>
                                <w:t xml:space="preserve"> блок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Надпись 205"/>
                        <wps:cNvSpPr txBox="1"/>
                        <wps:spPr>
                          <a:xfrm>
                            <a:off x="2865120" y="830580"/>
                            <a:ext cx="1249680" cy="533400"/>
                          </a:xfrm>
                          <a:prstGeom prst="rect">
                            <a:avLst/>
                          </a:prstGeom>
                          <a:solidFill>
                            <a:schemeClr val="bg1">
                              <a:lumMod val="75000"/>
                              <a:alpha val="24000"/>
                            </a:schemeClr>
                          </a:solidFill>
                          <a:ln w="6350">
                            <a:solidFill>
                              <a:prstClr val="black"/>
                            </a:solidFill>
                          </a:ln>
                        </wps:spPr>
                        <wps:txbx>
                          <w:txbxContent>
                            <w:p w14:paraId="105E5363"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Цифровая среда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Надпись 206"/>
                        <wps:cNvSpPr txBox="1"/>
                        <wps:spPr>
                          <a:xfrm>
                            <a:off x="4335780" y="830580"/>
                            <a:ext cx="1249680" cy="533400"/>
                          </a:xfrm>
                          <a:prstGeom prst="rect">
                            <a:avLst/>
                          </a:prstGeom>
                          <a:solidFill>
                            <a:schemeClr val="bg1">
                              <a:lumMod val="75000"/>
                              <a:alpha val="24000"/>
                            </a:schemeClr>
                          </a:solidFill>
                          <a:ln w="6350">
                            <a:solidFill>
                              <a:prstClr val="black"/>
                            </a:solidFill>
                          </a:ln>
                        </wps:spPr>
                        <wps:txbx>
                          <w:txbxContent>
                            <w:p w14:paraId="0DB1BC35"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Институциональная среда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Надпись 207"/>
                        <wps:cNvSpPr txBox="1"/>
                        <wps:spPr>
                          <a:xfrm>
                            <a:off x="7620" y="1668780"/>
                            <a:ext cx="5581287" cy="359228"/>
                          </a:xfrm>
                          <a:prstGeom prst="rect">
                            <a:avLst/>
                          </a:prstGeom>
                          <a:solidFill>
                            <a:schemeClr val="bg1">
                              <a:lumMod val="75000"/>
                              <a:alpha val="24000"/>
                            </a:schemeClr>
                          </a:solidFill>
                          <a:ln w="6350">
                            <a:solidFill>
                              <a:prstClr val="black"/>
                            </a:solidFill>
                          </a:ln>
                        </wps:spPr>
                        <wps:txbx>
                          <w:txbxContent>
                            <w:p w14:paraId="768DFC6A"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Взаимодействие и взаимная обусловленность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Надпись 208"/>
                        <wps:cNvSpPr txBox="1"/>
                        <wps:spPr>
                          <a:xfrm>
                            <a:off x="0" y="2026920"/>
                            <a:ext cx="1143000" cy="533400"/>
                          </a:xfrm>
                          <a:prstGeom prst="rect">
                            <a:avLst/>
                          </a:prstGeom>
                          <a:solidFill>
                            <a:schemeClr val="bg1">
                              <a:lumMod val="75000"/>
                              <a:alpha val="24000"/>
                            </a:schemeClr>
                          </a:solidFill>
                          <a:ln w="6350">
                            <a:solidFill>
                              <a:prstClr val="black"/>
                            </a:solidFill>
                          </a:ln>
                        </wps:spPr>
                        <wps:txbx>
                          <w:txbxContent>
                            <w:p w14:paraId="4019736E"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внутренние факторы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Надпись 209"/>
                        <wps:cNvSpPr txBox="1"/>
                        <wps:spPr>
                          <a:xfrm>
                            <a:off x="1143000" y="2026920"/>
                            <a:ext cx="1420495" cy="533400"/>
                          </a:xfrm>
                          <a:prstGeom prst="rect">
                            <a:avLst/>
                          </a:prstGeom>
                          <a:solidFill>
                            <a:schemeClr val="bg1">
                              <a:lumMod val="75000"/>
                              <a:alpha val="24000"/>
                            </a:schemeClr>
                          </a:solidFill>
                          <a:ln w="6350">
                            <a:solidFill>
                              <a:prstClr val="black"/>
                            </a:solidFill>
                          </a:ln>
                        </wps:spPr>
                        <wps:txbx>
                          <w:txbxContent>
                            <w:p w14:paraId="2B6E25CB"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трансформационные процессы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Надпись 210"/>
                        <wps:cNvSpPr txBox="1"/>
                        <wps:spPr>
                          <a:xfrm>
                            <a:off x="2567940" y="2026920"/>
                            <a:ext cx="1333500" cy="533400"/>
                          </a:xfrm>
                          <a:prstGeom prst="rect">
                            <a:avLst/>
                          </a:prstGeom>
                          <a:solidFill>
                            <a:schemeClr val="bg1">
                              <a:lumMod val="75000"/>
                              <a:alpha val="24000"/>
                            </a:schemeClr>
                          </a:solidFill>
                          <a:ln w="6350">
                            <a:solidFill>
                              <a:prstClr val="black"/>
                            </a:solidFill>
                          </a:ln>
                        </wps:spPr>
                        <wps:txbx>
                          <w:txbxContent>
                            <w:p w14:paraId="3BACA6A0"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цифровое усиление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Надпись 211"/>
                        <wps:cNvSpPr txBox="1"/>
                        <wps:spPr>
                          <a:xfrm>
                            <a:off x="3901440" y="2026920"/>
                            <a:ext cx="1685108" cy="533400"/>
                          </a:xfrm>
                          <a:prstGeom prst="rect">
                            <a:avLst/>
                          </a:prstGeom>
                          <a:solidFill>
                            <a:schemeClr val="bg1">
                              <a:lumMod val="75000"/>
                              <a:alpha val="24000"/>
                            </a:schemeClr>
                          </a:solidFill>
                          <a:ln w="6350">
                            <a:solidFill>
                              <a:prstClr val="black"/>
                            </a:solidFill>
                          </a:ln>
                        </wps:spPr>
                        <wps:txbx>
                          <w:txbxContent>
                            <w:p w14:paraId="698125B5"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институциональные ограничения/драйверы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Надпись 212"/>
                        <wps:cNvSpPr txBox="1"/>
                        <wps:spPr>
                          <a:xfrm>
                            <a:off x="822960" y="2872740"/>
                            <a:ext cx="4082143" cy="653142"/>
                          </a:xfrm>
                          <a:prstGeom prst="rect">
                            <a:avLst/>
                          </a:prstGeom>
                          <a:solidFill>
                            <a:schemeClr val="bg1">
                              <a:lumMod val="65000"/>
                              <a:alpha val="52000"/>
                            </a:schemeClr>
                          </a:solidFill>
                          <a:ln w="6350">
                            <a:solidFill>
                              <a:prstClr val="black"/>
                            </a:solidFill>
                          </a:ln>
                        </wps:spPr>
                        <wps:txbx>
                          <w:txbxContent>
                            <w:p w14:paraId="1A908BF0"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I</w:t>
                              </w:r>
                              <w:r w:rsidRPr="002F33D0">
                                <w:rPr>
                                  <w:rFonts w:ascii="Times New Roman" w:hAnsi="Times New Roman" w:cs="Times New Roman"/>
                                  <w:sz w:val="24"/>
                                  <w:szCs w:val="24"/>
                                  <w:lang w:val="kk-KZ"/>
                                </w:rPr>
                                <w:t>І</w:t>
                              </w:r>
                              <w:r w:rsidRPr="002F33D0">
                                <w:rPr>
                                  <w:rFonts w:ascii="Times New Roman" w:hAnsi="Times New Roman" w:cs="Times New Roman"/>
                                  <w:sz w:val="24"/>
                                  <w:szCs w:val="24"/>
                                </w:rPr>
                                <w:t xml:space="preserve">. ЭКОНОМЕТРИЧЕСКИЙ УРОВЕНЬ </w:t>
                              </w:r>
                            </w:p>
                            <w:p w14:paraId="36554157" w14:textId="77777777" w:rsidR="001D4931" w:rsidRPr="002F33D0" w:rsidRDefault="001D4931" w:rsidP="002F33D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 xml:space="preserve"> (калибровка структуры через β-коэффициенты, регрессии, логистическую модель участия)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 name="Надпись 213"/>
                        <wps:cNvSpPr txBox="1"/>
                        <wps:spPr>
                          <a:xfrm>
                            <a:off x="68580" y="3710940"/>
                            <a:ext cx="5515701" cy="381000"/>
                          </a:xfrm>
                          <a:prstGeom prst="rect">
                            <a:avLst/>
                          </a:prstGeom>
                          <a:solidFill>
                            <a:schemeClr val="bg1">
                              <a:lumMod val="75000"/>
                              <a:alpha val="16000"/>
                            </a:schemeClr>
                          </a:solidFill>
                          <a:ln w="6350">
                            <a:solidFill>
                              <a:prstClr val="black"/>
                            </a:solidFill>
                          </a:ln>
                        </wps:spPr>
                        <wps:txbx>
                          <w:txbxContent>
                            <w:p w14:paraId="7FB8878F"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Формирование системы весов инновационного потенциала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4" name="Надпись 214"/>
                        <wps:cNvSpPr txBox="1"/>
                        <wps:spPr>
                          <a:xfrm>
                            <a:off x="822960" y="4312920"/>
                            <a:ext cx="4082143" cy="653142"/>
                          </a:xfrm>
                          <a:prstGeom prst="rect">
                            <a:avLst/>
                          </a:prstGeom>
                          <a:solidFill>
                            <a:schemeClr val="bg1">
                              <a:lumMod val="75000"/>
                            </a:schemeClr>
                          </a:solidFill>
                          <a:ln w="6350">
                            <a:solidFill>
                              <a:prstClr val="black"/>
                            </a:solidFill>
                          </a:ln>
                        </wps:spPr>
                        <wps:txbx>
                          <w:txbxContent>
                            <w:p w14:paraId="65357ACC"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lang w:val="kk-KZ"/>
                                </w:rPr>
                                <w:t>І</w:t>
                              </w:r>
                              <w:r w:rsidRPr="002F33D0">
                                <w:rPr>
                                  <w:rFonts w:ascii="Times New Roman" w:hAnsi="Times New Roman" w:cs="Times New Roman"/>
                                  <w:sz w:val="24"/>
                                  <w:szCs w:val="24"/>
                                </w:rPr>
                                <w:t>I</w:t>
                              </w:r>
                              <w:r w:rsidRPr="002F33D0">
                                <w:rPr>
                                  <w:rFonts w:ascii="Times New Roman" w:hAnsi="Times New Roman" w:cs="Times New Roman"/>
                                  <w:sz w:val="24"/>
                                  <w:szCs w:val="24"/>
                                  <w:lang w:val="kk-KZ"/>
                                </w:rPr>
                                <w:t>І</w:t>
                              </w:r>
                              <w:r w:rsidRPr="002F33D0">
                                <w:rPr>
                                  <w:rFonts w:ascii="Times New Roman" w:hAnsi="Times New Roman" w:cs="Times New Roman"/>
                                  <w:sz w:val="24"/>
                                  <w:szCs w:val="24"/>
                                </w:rPr>
                                <w:t xml:space="preserve">. ИНСТРУМЕНТАЛЬНЫЙ УРОВЕНЬ </w:t>
                              </w:r>
                            </w:p>
                            <w:p w14:paraId="4FB4DC12" w14:textId="77777777" w:rsidR="001D4931" w:rsidRPr="002F33D0" w:rsidRDefault="001D4931" w:rsidP="002F33D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 xml:space="preserve"> (инструмент оценки и проектирования инновационного потенциала)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5" name="Надпись 215"/>
                        <wps:cNvSpPr txBox="1"/>
                        <wps:spPr>
                          <a:xfrm>
                            <a:off x="129540" y="5356860"/>
                            <a:ext cx="1501775" cy="663575"/>
                          </a:xfrm>
                          <a:prstGeom prst="rect">
                            <a:avLst/>
                          </a:prstGeom>
                          <a:solidFill>
                            <a:schemeClr val="bg1">
                              <a:lumMod val="75000"/>
                              <a:alpha val="27000"/>
                            </a:schemeClr>
                          </a:solidFill>
                          <a:ln w="6350">
                            <a:solidFill>
                              <a:prstClr val="black"/>
                            </a:solidFill>
                          </a:ln>
                        </wps:spPr>
                        <wps:txbx>
                          <w:txbxContent>
                            <w:p w14:paraId="686B70F5"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Инструментальная матрица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Надпись 216"/>
                        <wps:cNvSpPr txBox="1"/>
                        <wps:spPr>
                          <a:xfrm>
                            <a:off x="1943100" y="5356860"/>
                            <a:ext cx="1501775" cy="663575"/>
                          </a:xfrm>
                          <a:prstGeom prst="rect">
                            <a:avLst/>
                          </a:prstGeom>
                          <a:solidFill>
                            <a:schemeClr val="bg1">
                              <a:lumMod val="75000"/>
                              <a:alpha val="27000"/>
                            </a:schemeClr>
                          </a:solidFill>
                          <a:ln w="6350">
                            <a:solidFill>
                              <a:prstClr val="black"/>
                            </a:solidFill>
                          </a:ln>
                        </wps:spPr>
                        <wps:txbx>
                          <w:txbxContent>
                            <w:p w14:paraId="7CD95FB6"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Индекс</w:t>
                              </w:r>
                              <w:r w:rsidRPr="002F33D0">
                                <w:rPr>
                                  <w:rFonts w:ascii="Times New Roman" w:hAnsi="Times New Roman" w:cs="Times New Roman"/>
                                  <w:sz w:val="24"/>
                                  <w:szCs w:val="24"/>
                                  <w:lang w:val="kk-KZ"/>
                                </w:rPr>
                                <w:t xml:space="preserve"> </w:t>
                              </w:r>
                              <w:r w:rsidRPr="002F33D0">
                                <w:rPr>
                                  <w:rFonts w:ascii="Times New Roman" w:hAnsi="Times New Roman" w:cs="Times New Roman"/>
                                  <w:sz w:val="24"/>
                                  <w:szCs w:val="24"/>
                                </w:rPr>
                                <w:t>инновационного</w:t>
                              </w:r>
                              <w:r w:rsidRPr="002F33D0">
                                <w:rPr>
                                  <w:rFonts w:ascii="Times New Roman" w:hAnsi="Times New Roman" w:cs="Times New Roman"/>
                                  <w:sz w:val="24"/>
                                  <w:szCs w:val="24"/>
                                  <w:lang w:val="kk-KZ"/>
                                </w:rPr>
                                <w:t xml:space="preserve"> потенциала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Надпись 217"/>
                        <wps:cNvSpPr txBox="1"/>
                        <wps:spPr>
                          <a:xfrm>
                            <a:off x="3825240" y="5356860"/>
                            <a:ext cx="1697990" cy="663575"/>
                          </a:xfrm>
                          <a:prstGeom prst="rect">
                            <a:avLst/>
                          </a:prstGeom>
                          <a:solidFill>
                            <a:schemeClr val="bg1">
                              <a:lumMod val="75000"/>
                              <a:alpha val="27000"/>
                            </a:schemeClr>
                          </a:solidFill>
                          <a:ln w="6350">
                            <a:solidFill>
                              <a:prstClr val="black"/>
                            </a:solidFill>
                          </a:ln>
                        </wps:spPr>
                        <wps:txbx>
                          <w:txbxContent>
                            <w:p w14:paraId="3A39BADC" w14:textId="77777777" w:rsidR="001D4931" w:rsidRPr="002F33D0" w:rsidRDefault="001D4931" w:rsidP="002F33D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Цифровые профили и критические зоны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Надпись 218"/>
                        <wps:cNvSpPr txBox="1"/>
                        <wps:spPr>
                          <a:xfrm>
                            <a:off x="693420" y="6366933"/>
                            <a:ext cx="4081780" cy="652780"/>
                          </a:xfrm>
                          <a:prstGeom prst="rect">
                            <a:avLst/>
                          </a:prstGeom>
                          <a:solidFill>
                            <a:schemeClr val="accent6">
                              <a:lumMod val="75000"/>
                              <a:alpha val="52000"/>
                            </a:schemeClr>
                          </a:solidFill>
                          <a:ln w="6350">
                            <a:solidFill>
                              <a:prstClr val="black"/>
                            </a:solidFill>
                          </a:ln>
                        </wps:spPr>
                        <wps:txbx>
                          <w:txbxContent>
                            <w:p w14:paraId="53C25992"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lang w:val="kk-KZ"/>
                                </w:rPr>
                                <w:t>ІV</w:t>
                              </w:r>
                              <w:r w:rsidRPr="002F33D0">
                                <w:rPr>
                                  <w:rFonts w:ascii="Times New Roman" w:hAnsi="Times New Roman" w:cs="Times New Roman"/>
                                  <w:sz w:val="24"/>
                                  <w:szCs w:val="24"/>
                                </w:rPr>
                                <w:t>. ПРОЕКТНО-ДИАГНОСТИЧЕСКИЙ УРОВЕНЬ</w:t>
                              </w:r>
                            </w:p>
                            <w:p w14:paraId="61F31319" w14:textId="77777777" w:rsidR="001D4931" w:rsidRPr="002F33D0" w:rsidRDefault="001D4931" w:rsidP="002F33D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 xml:space="preserve"> (траектории развития, рекомендации, сценарии)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9" name="Надпись 219"/>
                        <wps:cNvSpPr txBox="1"/>
                        <wps:spPr>
                          <a:xfrm>
                            <a:off x="693420" y="7255933"/>
                            <a:ext cx="4081780" cy="892175"/>
                          </a:xfrm>
                          <a:prstGeom prst="rect">
                            <a:avLst/>
                          </a:prstGeom>
                          <a:solidFill>
                            <a:schemeClr val="accent6">
                              <a:lumMod val="60000"/>
                              <a:lumOff val="40000"/>
                              <a:alpha val="20000"/>
                            </a:schemeClr>
                          </a:solidFill>
                          <a:ln w="6350">
                            <a:solidFill>
                              <a:prstClr val="black"/>
                            </a:solidFill>
                          </a:ln>
                        </wps:spPr>
                        <wps:txbx>
                          <w:txbxContent>
                            <w:p w14:paraId="453096D9" w14:textId="77777777" w:rsidR="001D4931" w:rsidRPr="002F33D0" w:rsidRDefault="001D4931" w:rsidP="002F33D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caps/>
                                  <w:sz w:val="24"/>
                                  <w:szCs w:val="24"/>
                                  <w:lang w:val="kk-KZ"/>
                                </w:rPr>
                                <w:t>РЕЗУЛЬТАТ</w:t>
                              </w:r>
                              <w:r w:rsidRPr="002F33D0">
                                <w:rPr>
                                  <w:rFonts w:ascii="Times New Roman" w:hAnsi="Times New Roman" w:cs="Times New Roman"/>
                                  <w:sz w:val="24"/>
                                  <w:szCs w:val="24"/>
                                  <w:lang w:val="kk-KZ"/>
                                </w:rPr>
                                <w:t xml:space="preserve">: </w:t>
                              </w:r>
                            </w:p>
                            <w:p w14:paraId="7417EAD4" w14:textId="77777777" w:rsidR="001D4931" w:rsidRPr="002F33D0" w:rsidRDefault="001D4931" w:rsidP="002F33D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Учёт размерности предприятия, цифровой зрелости, институциональной среды, ресурсной обеспеченности и кадрового профиля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0" name="Прямая соединительная линия 220"/>
                        <wps:cNvCnPr/>
                        <wps:spPr>
                          <a:xfrm>
                            <a:off x="617220" y="662940"/>
                            <a:ext cx="4419600" cy="10886"/>
                          </a:xfrm>
                          <a:prstGeom prst="line">
                            <a:avLst/>
                          </a:prstGeom>
                        </wps:spPr>
                        <wps:style>
                          <a:lnRef idx="1">
                            <a:schemeClr val="dk1"/>
                          </a:lnRef>
                          <a:fillRef idx="0">
                            <a:schemeClr val="dk1"/>
                          </a:fillRef>
                          <a:effectRef idx="0">
                            <a:schemeClr val="dk1"/>
                          </a:effectRef>
                          <a:fontRef idx="minor">
                            <a:schemeClr val="tx1"/>
                          </a:fontRef>
                        </wps:style>
                        <wps:bodyPr/>
                      </wps:wsp>
                      <wps:wsp>
                        <wps:cNvPr id="221" name="Прямая со стрелкой 221"/>
                        <wps:cNvCnPr/>
                        <wps:spPr>
                          <a:xfrm>
                            <a:off x="617220" y="678180"/>
                            <a:ext cx="0" cy="1524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2" name="Прямая со стрелкой 222"/>
                        <wps:cNvCnPr/>
                        <wps:spPr>
                          <a:xfrm flipH="1">
                            <a:off x="2026920" y="678180"/>
                            <a:ext cx="10885"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3" name="Прямая со стрелкой 223"/>
                        <wps:cNvCnPr/>
                        <wps:spPr>
                          <a:xfrm>
                            <a:off x="3505200" y="678180"/>
                            <a:ext cx="10886"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4" name="Прямая со стрелкой 224"/>
                        <wps:cNvCnPr/>
                        <wps:spPr>
                          <a:xfrm>
                            <a:off x="5036820" y="678180"/>
                            <a:ext cx="0"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5" name="Прямая соединительная линия 225"/>
                        <wps:cNvCnPr/>
                        <wps:spPr>
                          <a:xfrm flipV="1">
                            <a:off x="2781300" y="541020"/>
                            <a:ext cx="0" cy="119833"/>
                          </a:xfrm>
                          <a:prstGeom prst="line">
                            <a:avLst/>
                          </a:prstGeom>
                        </wps:spPr>
                        <wps:style>
                          <a:lnRef idx="1">
                            <a:schemeClr val="dk1"/>
                          </a:lnRef>
                          <a:fillRef idx="0">
                            <a:schemeClr val="dk1"/>
                          </a:fillRef>
                          <a:effectRef idx="0">
                            <a:schemeClr val="dk1"/>
                          </a:effectRef>
                          <a:fontRef idx="minor">
                            <a:schemeClr val="tx1"/>
                          </a:fontRef>
                        </wps:style>
                        <wps:bodyPr/>
                      </wps:wsp>
                      <wps:wsp>
                        <wps:cNvPr id="226" name="Прямая соединительная линия 226"/>
                        <wps:cNvCnPr/>
                        <wps:spPr>
                          <a:xfrm>
                            <a:off x="617220" y="1470660"/>
                            <a:ext cx="4419600" cy="10886"/>
                          </a:xfrm>
                          <a:prstGeom prst="line">
                            <a:avLst/>
                          </a:prstGeom>
                        </wps:spPr>
                        <wps:style>
                          <a:lnRef idx="1">
                            <a:schemeClr val="dk1"/>
                          </a:lnRef>
                          <a:fillRef idx="0">
                            <a:schemeClr val="dk1"/>
                          </a:fillRef>
                          <a:effectRef idx="0">
                            <a:schemeClr val="dk1"/>
                          </a:effectRef>
                          <a:fontRef idx="minor">
                            <a:schemeClr val="tx1"/>
                          </a:fontRef>
                        </wps:style>
                        <wps:bodyPr/>
                      </wps:wsp>
                      <wps:wsp>
                        <wps:cNvPr id="227" name="Прямая соединительная линия 227"/>
                        <wps:cNvCnPr/>
                        <wps:spPr>
                          <a:xfrm>
                            <a:off x="617220" y="1363980"/>
                            <a:ext cx="0" cy="108857"/>
                          </a:xfrm>
                          <a:prstGeom prst="line">
                            <a:avLst/>
                          </a:prstGeom>
                        </wps:spPr>
                        <wps:style>
                          <a:lnRef idx="1">
                            <a:schemeClr val="dk1"/>
                          </a:lnRef>
                          <a:fillRef idx="0">
                            <a:schemeClr val="dk1"/>
                          </a:fillRef>
                          <a:effectRef idx="0">
                            <a:schemeClr val="dk1"/>
                          </a:effectRef>
                          <a:fontRef idx="minor">
                            <a:schemeClr val="tx1"/>
                          </a:fontRef>
                        </wps:style>
                        <wps:bodyPr/>
                      </wps:wsp>
                      <wps:wsp>
                        <wps:cNvPr id="228" name="Прямая соединительная линия 228"/>
                        <wps:cNvCnPr/>
                        <wps:spPr>
                          <a:xfrm>
                            <a:off x="3497580" y="1363980"/>
                            <a:ext cx="0" cy="108585"/>
                          </a:xfrm>
                          <a:prstGeom prst="line">
                            <a:avLst/>
                          </a:prstGeom>
                        </wps:spPr>
                        <wps:style>
                          <a:lnRef idx="1">
                            <a:schemeClr val="dk1"/>
                          </a:lnRef>
                          <a:fillRef idx="0">
                            <a:schemeClr val="dk1"/>
                          </a:fillRef>
                          <a:effectRef idx="0">
                            <a:schemeClr val="dk1"/>
                          </a:effectRef>
                          <a:fontRef idx="minor">
                            <a:schemeClr val="tx1"/>
                          </a:fontRef>
                        </wps:style>
                        <wps:bodyPr/>
                      </wps:wsp>
                      <wps:wsp>
                        <wps:cNvPr id="229" name="Прямая соединительная линия 229"/>
                        <wps:cNvCnPr/>
                        <wps:spPr>
                          <a:xfrm>
                            <a:off x="5036820" y="1363980"/>
                            <a:ext cx="0" cy="119652"/>
                          </a:xfrm>
                          <a:prstGeom prst="line">
                            <a:avLst/>
                          </a:prstGeom>
                        </wps:spPr>
                        <wps:style>
                          <a:lnRef idx="1">
                            <a:schemeClr val="dk1"/>
                          </a:lnRef>
                          <a:fillRef idx="0">
                            <a:schemeClr val="dk1"/>
                          </a:fillRef>
                          <a:effectRef idx="0">
                            <a:schemeClr val="dk1"/>
                          </a:effectRef>
                          <a:fontRef idx="minor">
                            <a:schemeClr val="tx1"/>
                          </a:fontRef>
                        </wps:style>
                        <wps:bodyPr/>
                      </wps:wsp>
                      <wps:wsp>
                        <wps:cNvPr id="230" name="Прямая соединительная линия 230"/>
                        <wps:cNvCnPr/>
                        <wps:spPr>
                          <a:xfrm>
                            <a:off x="2026920" y="1363980"/>
                            <a:ext cx="0" cy="108585"/>
                          </a:xfrm>
                          <a:prstGeom prst="line">
                            <a:avLst/>
                          </a:prstGeom>
                        </wps:spPr>
                        <wps:style>
                          <a:lnRef idx="1">
                            <a:schemeClr val="dk1"/>
                          </a:lnRef>
                          <a:fillRef idx="0">
                            <a:schemeClr val="dk1"/>
                          </a:fillRef>
                          <a:effectRef idx="0">
                            <a:schemeClr val="dk1"/>
                          </a:effectRef>
                          <a:fontRef idx="minor">
                            <a:schemeClr val="tx1"/>
                          </a:fontRef>
                        </wps:style>
                        <wps:bodyPr/>
                      </wps:wsp>
                      <wps:wsp>
                        <wps:cNvPr id="231" name="Прямая со стрелкой 231"/>
                        <wps:cNvCnPr/>
                        <wps:spPr>
                          <a:xfrm>
                            <a:off x="2781300" y="1478280"/>
                            <a:ext cx="0" cy="18514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32" name="Прямая соединительная линия 232"/>
                        <wps:cNvCnPr/>
                        <wps:spPr>
                          <a:xfrm>
                            <a:off x="617220" y="2682240"/>
                            <a:ext cx="4419600" cy="10886"/>
                          </a:xfrm>
                          <a:prstGeom prst="line">
                            <a:avLst/>
                          </a:prstGeom>
                        </wps:spPr>
                        <wps:style>
                          <a:lnRef idx="1">
                            <a:schemeClr val="dk1"/>
                          </a:lnRef>
                          <a:fillRef idx="0">
                            <a:schemeClr val="dk1"/>
                          </a:fillRef>
                          <a:effectRef idx="0">
                            <a:schemeClr val="dk1"/>
                          </a:effectRef>
                          <a:fontRef idx="minor">
                            <a:schemeClr val="tx1"/>
                          </a:fontRef>
                        </wps:style>
                        <wps:bodyPr/>
                      </wps:wsp>
                      <wps:wsp>
                        <wps:cNvPr id="233" name="Прямая соединительная линия 233"/>
                        <wps:cNvCnPr/>
                        <wps:spPr>
                          <a:xfrm>
                            <a:off x="3505200" y="2567940"/>
                            <a:ext cx="0" cy="108585"/>
                          </a:xfrm>
                          <a:prstGeom prst="line">
                            <a:avLst/>
                          </a:prstGeom>
                        </wps:spPr>
                        <wps:style>
                          <a:lnRef idx="1">
                            <a:schemeClr val="dk1"/>
                          </a:lnRef>
                          <a:fillRef idx="0">
                            <a:schemeClr val="dk1"/>
                          </a:fillRef>
                          <a:effectRef idx="0">
                            <a:schemeClr val="dk1"/>
                          </a:effectRef>
                          <a:fontRef idx="minor">
                            <a:schemeClr val="tx1"/>
                          </a:fontRef>
                        </wps:style>
                        <wps:bodyPr/>
                      </wps:wsp>
                      <wps:wsp>
                        <wps:cNvPr id="234" name="Прямая соединительная линия 234"/>
                        <wps:cNvCnPr/>
                        <wps:spPr>
                          <a:xfrm>
                            <a:off x="2034540" y="2567940"/>
                            <a:ext cx="0" cy="108585"/>
                          </a:xfrm>
                          <a:prstGeom prst="line">
                            <a:avLst/>
                          </a:prstGeom>
                        </wps:spPr>
                        <wps:style>
                          <a:lnRef idx="1">
                            <a:schemeClr val="dk1"/>
                          </a:lnRef>
                          <a:fillRef idx="0">
                            <a:schemeClr val="dk1"/>
                          </a:fillRef>
                          <a:effectRef idx="0">
                            <a:schemeClr val="dk1"/>
                          </a:effectRef>
                          <a:fontRef idx="minor">
                            <a:schemeClr val="tx1"/>
                          </a:fontRef>
                        </wps:style>
                        <wps:bodyPr/>
                      </wps:wsp>
                      <wps:wsp>
                        <wps:cNvPr id="235" name="Прямая со стрелкой 235"/>
                        <wps:cNvCnPr/>
                        <wps:spPr>
                          <a:xfrm>
                            <a:off x="2781300" y="2689860"/>
                            <a:ext cx="0" cy="1847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36" name="Прямая соединительная линия 236"/>
                        <wps:cNvCnPr/>
                        <wps:spPr>
                          <a:xfrm flipV="1">
                            <a:off x="617220" y="2567940"/>
                            <a:ext cx="0" cy="119743"/>
                          </a:xfrm>
                          <a:prstGeom prst="line">
                            <a:avLst/>
                          </a:prstGeom>
                        </wps:spPr>
                        <wps:style>
                          <a:lnRef idx="1">
                            <a:schemeClr val="dk1"/>
                          </a:lnRef>
                          <a:fillRef idx="0">
                            <a:schemeClr val="dk1"/>
                          </a:fillRef>
                          <a:effectRef idx="0">
                            <a:schemeClr val="dk1"/>
                          </a:effectRef>
                          <a:fontRef idx="minor">
                            <a:schemeClr val="tx1"/>
                          </a:fontRef>
                        </wps:style>
                        <wps:bodyPr/>
                      </wps:wsp>
                      <wps:wsp>
                        <wps:cNvPr id="237" name="Прямая соединительная линия 237"/>
                        <wps:cNvCnPr/>
                        <wps:spPr>
                          <a:xfrm>
                            <a:off x="5036820" y="2560320"/>
                            <a:ext cx="0" cy="130629"/>
                          </a:xfrm>
                          <a:prstGeom prst="line">
                            <a:avLst/>
                          </a:prstGeom>
                        </wps:spPr>
                        <wps:style>
                          <a:lnRef idx="1">
                            <a:schemeClr val="dk1"/>
                          </a:lnRef>
                          <a:fillRef idx="0">
                            <a:schemeClr val="dk1"/>
                          </a:fillRef>
                          <a:effectRef idx="0">
                            <a:schemeClr val="dk1"/>
                          </a:effectRef>
                          <a:fontRef idx="minor">
                            <a:schemeClr val="tx1"/>
                          </a:fontRef>
                        </wps:style>
                        <wps:bodyPr/>
                      </wps:wsp>
                      <wps:wsp>
                        <wps:cNvPr id="238" name="Прямая со стрелкой 238"/>
                        <wps:cNvCnPr/>
                        <wps:spPr>
                          <a:xfrm>
                            <a:off x="2781300" y="3528060"/>
                            <a:ext cx="0" cy="1854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39" name="Прямая со стрелкой 239"/>
                        <wps:cNvCnPr/>
                        <wps:spPr>
                          <a:xfrm>
                            <a:off x="2781300" y="4091940"/>
                            <a:ext cx="0" cy="21771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0" name="Прямая соединительная линия 240"/>
                        <wps:cNvCnPr/>
                        <wps:spPr>
                          <a:xfrm flipV="1">
                            <a:off x="822960" y="5158740"/>
                            <a:ext cx="3907972" cy="10886"/>
                          </a:xfrm>
                          <a:prstGeom prst="line">
                            <a:avLst/>
                          </a:prstGeom>
                        </wps:spPr>
                        <wps:style>
                          <a:lnRef idx="1">
                            <a:schemeClr val="dk1"/>
                          </a:lnRef>
                          <a:fillRef idx="0">
                            <a:schemeClr val="dk1"/>
                          </a:fillRef>
                          <a:effectRef idx="0">
                            <a:schemeClr val="dk1"/>
                          </a:effectRef>
                          <a:fontRef idx="minor">
                            <a:schemeClr val="tx1"/>
                          </a:fontRef>
                        </wps:style>
                        <wps:bodyPr/>
                      </wps:wsp>
                      <wps:wsp>
                        <wps:cNvPr id="241" name="Прямая со стрелкой 241"/>
                        <wps:cNvCnPr/>
                        <wps:spPr>
                          <a:xfrm flipH="1">
                            <a:off x="2781300" y="4960620"/>
                            <a:ext cx="91" cy="39224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2" name="Прямая со стрелкой 242"/>
                        <wps:cNvCnPr/>
                        <wps:spPr>
                          <a:xfrm>
                            <a:off x="822960" y="5173980"/>
                            <a:ext cx="0" cy="18505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3" name="Прямая со стрелкой 243"/>
                        <wps:cNvCnPr/>
                        <wps:spPr>
                          <a:xfrm>
                            <a:off x="4730702" y="5158740"/>
                            <a:ext cx="1088"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4" name="Прямая соединительная линия 244"/>
                        <wps:cNvCnPr/>
                        <wps:spPr>
                          <a:xfrm flipV="1">
                            <a:off x="822960" y="6195060"/>
                            <a:ext cx="3907972" cy="10886"/>
                          </a:xfrm>
                          <a:prstGeom prst="line">
                            <a:avLst/>
                          </a:prstGeom>
                        </wps:spPr>
                        <wps:style>
                          <a:lnRef idx="1">
                            <a:schemeClr val="dk1"/>
                          </a:lnRef>
                          <a:fillRef idx="0">
                            <a:schemeClr val="dk1"/>
                          </a:fillRef>
                          <a:effectRef idx="0">
                            <a:schemeClr val="dk1"/>
                          </a:effectRef>
                          <a:fontRef idx="minor">
                            <a:schemeClr val="tx1"/>
                          </a:fontRef>
                        </wps:style>
                        <wps:bodyPr/>
                      </wps:wsp>
                      <wps:wsp>
                        <wps:cNvPr id="245" name="Прямая соединительная линия 245"/>
                        <wps:cNvCnPr/>
                        <wps:spPr>
                          <a:xfrm>
                            <a:off x="822960" y="6019800"/>
                            <a:ext cx="0" cy="185420"/>
                          </a:xfrm>
                          <a:prstGeom prst="line">
                            <a:avLst/>
                          </a:prstGeom>
                        </wps:spPr>
                        <wps:style>
                          <a:lnRef idx="1">
                            <a:schemeClr val="dk1"/>
                          </a:lnRef>
                          <a:fillRef idx="0">
                            <a:schemeClr val="dk1"/>
                          </a:fillRef>
                          <a:effectRef idx="0">
                            <a:schemeClr val="dk1"/>
                          </a:effectRef>
                          <a:fontRef idx="minor">
                            <a:schemeClr val="tx1"/>
                          </a:fontRef>
                        </wps:style>
                        <wps:bodyPr/>
                      </wps:wsp>
                      <wps:wsp>
                        <wps:cNvPr id="246" name="Прямая соединительная линия 246"/>
                        <wps:cNvCnPr/>
                        <wps:spPr>
                          <a:xfrm>
                            <a:off x="4732020" y="6019800"/>
                            <a:ext cx="182" cy="184966"/>
                          </a:xfrm>
                          <a:prstGeom prst="line">
                            <a:avLst/>
                          </a:prstGeom>
                        </wps:spPr>
                        <wps:style>
                          <a:lnRef idx="1">
                            <a:schemeClr val="dk1"/>
                          </a:lnRef>
                          <a:fillRef idx="0">
                            <a:schemeClr val="dk1"/>
                          </a:fillRef>
                          <a:effectRef idx="0">
                            <a:schemeClr val="dk1"/>
                          </a:effectRef>
                          <a:fontRef idx="minor">
                            <a:schemeClr val="tx1"/>
                          </a:fontRef>
                        </wps:style>
                        <wps:bodyPr/>
                      </wps:wsp>
                      <wps:wsp>
                        <wps:cNvPr id="247" name="Прямая со стрелкой 247"/>
                        <wps:cNvCnPr/>
                        <wps:spPr>
                          <a:xfrm>
                            <a:off x="2689860" y="6019800"/>
                            <a:ext cx="2177" cy="3471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8" name="Прямая со стрелкой 248"/>
                        <wps:cNvCnPr/>
                        <wps:spPr>
                          <a:xfrm>
                            <a:off x="2692037" y="7019713"/>
                            <a:ext cx="2177" cy="2362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9" name="Прямая со стрелкой 249"/>
                        <wps:cNvCnPr/>
                        <wps:spPr>
                          <a:xfrm>
                            <a:off x="1630680" y="564642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0" name="Прямая со стрелкой 250"/>
                        <wps:cNvCnPr/>
                        <wps:spPr>
                          <a:xfrm>
                            <a:off x="3444240" y="5654040"/>
                            <a:ext cx="3778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28BF176F" id="Группа 201" o:spid="_x0000_s1091" style="width:440.05pt;height:641.55pt;mso-position-horizontal-relative:char;mso-position-vertical-relative:line" coordsize="55889,81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L6nMQsAAEaLAAAOAAAAZHJzL2Uyb0RvYy54bWzsXcuO28gV3QfIPxDax83im4LlgWOPnQDO&#10;jBFPMms2RT0wFMmQbHd7VjOT7QBeZB3kF7xIgEkmj19Q/1FOVZFFSs1qiWq4raYKBtoUWXyoeO7r&#10;3HtLjz+7WsXa2ygvlmkyGZFH+kiLkjCdLpP5ZPSHr178yhtpRRkk0yBOk2gyehcVo8+e/PIXjy+z&#10;cWSkizSeRrmGiyTF+DKbjBZlmY3PzopwEa2C4lGaRQkOztJ8FZT4mM/Ppnlwiauv4jND152zyzSf&#10;ZnkaRkWBvc/5wdETdv3ZLArLL2ezIiq1eDLCs5Xsb87+ntO/Z08eB+N5HmSLZVg9RnDAU6yCZYKb&#10;iks9D8pAu8iXNy61WoZ5WqSz8lGYrs7S2WwZRuw74NsQfevbvMzTi4x9l/n4cp6JacLUbs3TwZcN&#10;v3j7OteW08kI9x9pSbDCS1r/5fq76z+v/4d/HzS6H7N0mc3HGPwyz95kr/Nqx5x/ol/8apav6P/4&#10;StoVm993Yn6jq1ILsdO2Pc8x7ZEW4phHLNfxbP4GwgVe043zwsXnrTN93RVnekT36Jln9Y3P6POJ&#10;x7nMgKaimbDibhP2ZhFkEXsPBZ0DMWGGmLC/rj+s/47p+un6++sfMWUGnzI2nM6XVl79OsUMVFNZ&#10;jAvs7Jg2zzB8Bzi9OXeW7hnEMvkM2JZl8KkTExCMs7woX0bpSqMbk1EO7DNIBm9fFSWfq3oIvXOR&#10;xsvpi2Ucsw9U3qJnca69DSAp53PCTo0vVr9Lp3yfa+s6kxfckoknHc7ewMaV4kS7nIzwlnV2hY1j&#10;9PbNPeIg/KZ6h61RuHqc4LL0FfJJolvl1fkVQynQw7BXjM/T6TtMbJ5ymS6y8MUS138VFOXrIIcQ&#10;YxqhmMov8WcWp3iotNoaaYs0/7ZrPx0PqODoSLuEUpiMij9dBHk00uLfJgCRTyyLahH2wbJdAx/y&#10;9pHz9pHkYvUsxWxCrvB0bJOOL+N6c5anq6+hv57Su+JQkIS492RU1pvPSq6qoP/C6OlTNgh6IwvK&#10;V8mbLKSXpm+PzutXV18HeVa9+xIS90VawzYYb0GAj6VnJunTizKdLRk+6ETzWa3mHyJEBf9eZAnI&#10;rpTPtiyZ9RuH6PWRJdehr4dqGlO3vUrV16qIGJbvYCdTRbZpWgLbtSKrZeVjixPeTpwtAi5kBp7j&#10;CITMqad8wEIWlvkJipklFTOrfuc9xYyqREIlSUnaAebMrWddSdrADBrcXIlBEy5MT0kzPMcmyqad&#10;H+Y4snihcXEG6Tiepk1zpJIm/JiekmaZpu0qm3agpPnKpg00SAMBI7Fpwo/pKWkiSCOO41GRQ3Qf&#10;jOsoDYQRMbyK9jFt3zA2WZ/7Iz2OMEoDEzF8KuQ0LRpIc4mcCS+mp5zx+AzEpOPDg9wQMgJakbIO&#10;igrp4BstwdiqAG1gAZovFTLhwPQUMiFJoEK6Rc0ydMuvEiCKdWTcsqD2LZE0UaI2LFEjMC7d9gxH&#10;Kh+mp6gZtuP6NBcjFTUTMZyyat1ZNOQRles4yDwaaZL4W3k0HDlM1Exf52lPqaghjU/z8cqB7HIg&#10;RV5FWbWBWTVp+QcRnkxPq9Yq/wDtYbg8xG/4kI0iEMc2CfeZ7q8IxKmLQDb4EBuVWMyQf9LSEEvk&#10;VQYsaSdYGkKkpSE4cphJg8Gq2H3TJTr1I3GdRsxsm9guLYejdWomas0Euj9pcQhxmgf5dBVYlkiq&#10;KDEbUgUWkZaG4MhhYtYyZ5ZJjBvM4yc3Z8dR02iJ5ImSqEFJlLQEhAhXpaeDCCGyK9bDNm3HQ63w&#10;huUitk5ctyIYHVThYhsD7s9BFBK14SAa7lFYLpE8GbCcnWTCjEhLQHDkMNtFfJgsyh/CBVSixnXI&#10;/mX6lkihKFEbGOshrQEhwo3padRMz7BR+H6LqDm+6/sYQOMxZdU202ZotKk0nBK1gYmatAyECE+m&#10;p6g5vokUNJM0x3TwiTEoDfOBiIywwkcmabZRVWR9HP8xCMMoKR15p9mGD3kcJKMtsigDlrZTJBml&#10;1SBEuDKHy5pr2Pbtsub5BvmYsZpM1iilWMWQaPakTbisAZS2oVW7291p9d5PyvPbIruiRHBIdAm1&#10;S1WVyN/Qf/5+/e/1h+v32vX36/+u/4Hu6p/W/0F/9Q/Y/vn6R2zTg+ufq93vNYPXNdIODwjqs6Rq&#10;Uq+7iOtGcdGh7hCXnkLjO8cxbuQALIugE7vyOZHd9lggKTeE8TKhLeIwWV3t1lvtzEX5Lo7o4Dj5&#10;fTRDYzNrDac7BK/P5XD6DbM3uC0bSUfM0LItTqqarDe7t5uTqrH0tIgthrDviWI0u2OalOLE1TJJ&#10;c97avXnX8qp+1BkfXzdx8+/adN7QWLJqKr6v7mKjqYrYhhbwdf3D9XcUVet/AWn/BJCEje8NJNej&#10;rZD4ho1LVUMIIY5fz5AkjVSUebCcL8pnaZKgez/NeXt3J6J4m3wwLoNl/Hky1cp3GVZuKPNlkMzj&#10;qCL9OjrpFfR4P/u9Qa+pEtgHesK2yaGnzeJl9pu6979ab6MuN2XqrAOFVINVtDChwTYDqVybKSRi&#10;boamBJs8+j5IbOfWd1tT1FrSAI2bUwn+QNLSsFLhrzb5O6z30PDXJJj3wV876bwbf7ZuOl7tznXg&#10;r2WFle6j7uaJYa9JxW5jb7/Yop2wlaCR2eU/bttlYBHdVZzbtojOg5Sb3iHxPc7FyW2yijCOOcJo&#10;MpCHAaydp5QAjEYVlbvXCl6xjJrubNcBqOg1pCHrQKLXJuV2GLbaibl+2DId05cFtDSiYFdWKuth&#10;kiJNeukwWLWTULthZVq+W1fdkttxZe9a21CZwmM2hU0q5TBctRMuu3HV9vxvxRX4XJ46UPrqQeor&#10;E170XfIDOL8qlJBzay0Xq82o3YorHc0EO6oslb46Yn1l9koOYHQvFLXiP3jqniHzptBCaTGDKtdO&#10;ipTF3AyMFDPl6YG9iAmc3weOrbjRAF9Gq+42klUqbhxQ3AhC6W4G8/AUQL08wwa4ag5WGcyHnU03&#10;5UT+fjqrH7Vv6KZVN70oXE1GTXnH0GyhnKTvqNJofglgP3e+5YjB9Pk3Wqdq7eTBS9vhzitHbICO&#10;2B0JfHMPAr8zQ9R2yapFjTqtJvFdvmyPPEBQYeYxh5l3ZPHNfix+mxaD1dRNWebR1FH9SKMAhauH&#10;SYvJafwuq9mPtEcDiEhfmzbIi+1Eo7CatsUBJkeRspoDtJpyrr8LfP2Y/Tb4LN1HR+4WW1GBD50T&#10;Ll+jQoGPEtjSGvKBxQu0ZfQuCQEOp9sbBjpdtta6JlgpyLuxTBdWzHN9F8weK3dUvQN1veODtK9Y&#10;AVqGsg4V16wXLY9Kuwu4W5YWP00Gp2xL2aF5gK9HhVXweXu90nYnpe3kmYIuHPbLC2xoNFde8+Oh&#10;zHtHzY9y84bn5tHfHZVY2i7s9csbWK6pu/jFVLbSSpc5pb0rXPfRdSYNRc6dXPm2dceMA84HwXE3&#10;T88hvn0j/FWe3oDypVhAVqbl9sprNQvQyn2/VoFRy+Y6Our/eV/KzdYAbze1oojfIyZ+sWDq3WC1&#10;R2ahBSuYU5SuITSmje1duCJeHZl6CDRUWzvrvn+Yoak8pdDllvVLINRJUimOKO1WhaSWS3Z1L6mw&#10;YIBhQa/UAy9vvN0Ja+kx9ktlSHpR/GExbh8Q26xVa/BnmE61+oeiRE6KEumVfWjWpNzLPSMOMqPV&#10;KvG2YzlVfqvxz/DrCyaCUUbKMa5Oge+UwId1F2VuXYfxbVZp3At8pmVZYklMB9Vv26kv00UtuQJf&#10;sy7RsfSzY2mj+fhynrF6inkeZItl+Dwog/ZntgDSODLSRRpPo/zJ/wEAAP//AwBQSwMEFAAGAAgA&#10;AAAhAGrvY5LdAAAABgEAAA8AAABkcnMvZG93bnJldi54bWxMj8FqwzAQRO+F/IPYQG+NrIQW41oO&#10;IbQ9hUKTQulNsTa2ibUylmI7f99tL81lYJlh5m2+nlwrBuxD40mDWiQgkEpvG6o0fB5eH1IQIRqy&#10;pvWEGq4YYF3M7nKTWT/SBw77WAkuoZAZDXWMXSZlKGt0Jix8h8TeyffORD77StrejFzuWrlMkifp&#10;TEO8UJsOtzWW5/3FaXgbzbhZqZdhdz5tr9+Hx/evnUKt7+fT5hlExCn+h+EXn9GhYKajv5ANotXA&#10;j8Q/ZS9NEwXiyKFlulIgi1ze4hc/AAAA//8DAFBLAQItABQABgAIAAAAIQC2gziS/gAAAOEBAAAT&#10;AAAAAAAAAAAAAAAAAAAAAABbQ29udGVudF9UeXBlc10ueG1sUEsBAi0AFAAGAAgAAAAhADj9If/W&#10;AAAAlAEAAAsAAAAAAAAAAAAAAAAALwEAAF9yZWxzLy5yZWxzUEsBAi0AFAAGAAgAAAAhAEJ8vqcx&#10;CwAARosAAA4AAAAAAAAAAAAAAAAALgIAAGRycy9lMm9Eb2MueG1sUEsBAi0AFAAGAAgAAAAhAGrv&#10;Y5LdAAAABgEAAA8AAAAAAAAAAAAAAAAAiw0AAGRycy9kb3ducmV2LnhtbFBLBQYAAAAABAAEAPMA&#10;AACVDgAAAAA=&#10;">
                <v:shape id="Надпись 202" o:spid="_x0000_s1092" type="#_x0000_t202" style="position:absolute;left:8229;width:40822;height:5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CAxQAAANwAAAAPAAAAZHJzL2Rvd25yZXYueG1sRI9BawIx&#10;FITvBf9DeEJvNXErpWyNIoVCD0J1tVBvz81zs7h5WTapu/33RhB6HGbmG2a+HFwjLtSF2rOG6USB&#10;IC69qbnSsN99PL2CCBHZYOOZNPxRgOVi9DDH3Piet3QpYiUShEOOGmyMbS5lKC05DBPfEifv5DuH&#10;McmukqbDPsFdIzOlXqTDmtOCxZbeLZXn4tdp+JHP02M8HNbFRs6+zZddK+5LrR/Hw+oNRKQh/ofv&#10;7U+jIVMZ3M6kIyAXVwAAAP//AwBQSwECLQAUAAYACAAAACEA2+H2y+4AAACFAQAAEwAAAAAAAAAA&#10;AAAAAAAAAAAAW0NvbnRlbnRfVHlwZXNdLnhtbFBLAQItABQABgAIAAAAIQBa9CxbvwAAABUBAAAL&#10;AAAAAAAAAAAAAAAAAB8BAABfcmVscy8ucmVsc1BLAQItABQABgAIAAAAIQANqjCAxQAAANwAAAAP&#10;AAAAAAAAAAAAAAAAAAcCAABkcnMvZG93bnJldi54bWxQSwUGAAAAAAMAAwC3AAAA+QIAAAAA&#10;" fillcolor="#bfbfbf [2412]" strokeweight=".5pt">
                  <v:textbox>
                    <w:txbxContent>
                      <w:p w14:paraId="4F377C44" w14:textId="77777777" w:rsidR="001D4931" w:rsidRPr="002F33D0" w:rsidRDefault="001D4931" w:rsidP="002F33D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rPr>
                          <w:t>I. ТЕОРЕТИКО-МЕТОДОЛОГИЧЕСКИЙ УРОВЕНЬ</w:t>
                        </w:r>
                        <w:r w:rsidRPr="002F33D0">
                          <w:rPr>
                            <w:rFonts w:ascii="Times New Roman" w:hAnsi="Times New Roman" w:cs="Times New Roman"/>
                            <w:sz w:val="24"/>
                            <w:szCs w:val="24"/>
                            <w:lang w:val="kk-KZ"/>
                          </w:rPr>
                          <w:t xml:space="preserve"> (структурные компоненты инновационного потенциала)</w:t>
                        </w:r>
                      </w:p>
                    </w:txbxContent>
                  </v:textbox>
                </v:shape>
                <v:shape id="Надпись 203" o:spid="_x0000_s1093" type="#_x0000_t202" style="position:absolute;left:76;top:8305;width:12497;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K87xgAAANwAAAAPAAAAZHJzL2Rvd25yZXYueG1sRI9PawIx&#10;FMTvhX6H8Aq9aaLVVlezSykIHqRSW6jHx+btH9y8LJuoq5++EYQeh5n5DbPMetuIE3W+dqxhNFQg&#10;iHNnai41/HyvBjMQPiAbbByThgt5yNLHhyUmxp35i067UIoIYZ+ghiqENpHS5xVZ9EPXEkevcJ3F&#10;EGVXStPhOcJtI8dKvUqLNceFClv6qCg/7I5Ww1RtJtf1m7ystsX8uneF/8XPjdbPT/37AkSgPvyH&#10;7+210TBWL3A7E4+ATP8AAAD//wMAUEsBAi0AFAAGAAgAAAAhANvh9svuAAAAhQEAABMAAAAAAAAA&#10;AAAAAAAAAAAAAFtDb250ZW50X1R5cGVzXS54bWxQSwECLQAUAAYACAAAACEAWvQsW78AAAAVAQAA&#10;CwAAAAAAAAAAAAAAAAAfAQAAX3JlbHMvLnJlbHNQSwECLQAUAAYACAAAACEAjHSvO8YAAADcAAAA&#10;DwAAAAAAAAAAAAAAAAAHAgAAZHJzL2Rvd25yZXYueG1sUEsFBgAAAAADAAMAtwAAAPoCAAAAAA==&#10;" fillcolor="#bfbfbf [2412]" strokeweight=".5pt">
                  <v:fill opacity="15677f"/>
                  <v:textbox>
                    <w:txbxContent>
                      <w:p w14:paraId="1EA7138C"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Ресурсный блок</w:t>
                        </w:r>
                      </w:p>
                    </w:txbxContent>
                  </v:textbox>
                </v:shape>
                <v:shape id="Надпись 204" o:spid="_x0000_s1094" type="#_x0000_t202" style="position:absolute;left:14401;top:8305;width:12497;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TdPxgAAANwAAAAPAAAAZHJzL2Rvd25yZXYueG1sRI9PawIx&#10;FMTvBb9DeEJvNVFsbbfGRQTBg1hcC+3xsXn7BzcvyyZ1Vz99IxR6HGbmN8wyHWwjLtT52rGG6USB&#10;IM6dqbnU8HnaPr2C8AHZYOOYNFzJQ7oaPSwxMa7nI12yUIoIYZ+ghiqENpHS5xVZ9BPXEkevcJ3F&#10;EGVXStNhH+G2kTOlXqTFmuNChS1tKsrP2Y/V8Kz289tuIa/bj+Lt9u0K/4WHvdaP42H9DiLQEP7D&#10;f+2d0TBTc7ifiUdArn4BAAD//wMAUEsBAi0AFAAGAAgAAAAhANvh9svuAAAAhQEAABMAAAAAAAAA&#10;AAAAAAAAAAAAAFtDb250ZW50X1R5cGVzXS54bWxQSwECLQAUAAYACAAAACEAWvQsW78AAAAVAQAA&#10;CwAAAAAAAAAAAAAAAAAfAQAAX3JlbHMvLnJlbHNQSwECLQAUAAYACAAAACEAA503T8YAAADcAAAA&#10;DwAAAAAAAAAAAAAAAAAHAgAAZHJzL2Rvd25yZXYueG1sUEsFBgAAAAADAAMAtwAAAPoCAAAAAA==&#10;" fillcolor="#bfbfbf [2412]" strokeweight=".5pt">
                  <v:fill opacity="15677f"/>
                  <v:textbox>
                    <w:txbxContent>
                      <w:p w14:paraId="0AA5A958"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lang w:val="kk-KZ"/>
                          </w:rPr>
                          <w:t>Процессный</w:t>
                        </w:r>
                        <w:r w:rsidRPr="002F33D0">
                          <w:rPr>
                            <w:rFonts w:ascii="Times New Roman" w:hAnsi="Times New Roman" w:cs="Times New Roman"/>
                            <w:sz w:val="24"/>
                            <w:szCs w:val="24"/>
                          </w:rPr>
                          <w:t xml:space="preserve"> блок</w:t>
                        </w:r>
                      </w:p>
                    </w:txbxContent>
                  </v:textbox>
                </v:shape>
                <v:shape id="Надпись 205" o:spid="_x0000_s1095" type="#_x0000_t202" style="position:absolute;left:28651;top:8305;width:12497;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ZLUxQAAANwAAAAPAAAAZHJzL2Rvd25yZXYueG1sRI9PawIx&#10;FMTvBb9DeEJvNVFqratxEUHwIC1qQY+Pzds/uHlZNqm7+umbQqHHYWZ+wyzT3tbiRq2vHGsYjxQI&#10;4syZigsNX6ftyzsIH5AN1o5Jw508pKvB0xIT4zo+0O0YChEh7BPUUIbQJFL6rCSLfuQa4ujlrrUY&#10;omwLaVrsItzWcqLUm7RYcVwosaFNSdn1+G01TNX+9bGbyfv2M58/Li73Z/zYa/087NcLEIH68B/+&#10;a++Mhomawu+ZeATk6gcAAP//AwBQSwECLQAUAAYACAAAACEA2+H2y+4AAACFAQAAEwAAAAAAAAAA&#10;AAAAAAAAAAAAW0NvbnRlbnRfVHlwZXNdLnhtbFBLAQItABQABgAIAAAAIQBa9CxbvwAAABUBAAAL&#10;AAAAAAAAAAAAAAAAAB8BAABfcmVscy8ucmVsc1BLAQItABQABgAIAAAAIQBs0ZLUxQAAANwAAAAP&#10;AAAAAAAAAAAAAAAAAAcCAABkcnMvZG93bnJldi54bWxQSwUGAAAAAAMAAwC3AAAA+QIAAAAA&#10;" fillcolor="#bfbfbf [2412]" strokeweight=".5pt">
                  <v:fill opacity="15677f"/>
                  <v:textbox>
                    <w:txbxContent>
                      <w:p w14:paraId="105E5363"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Цифровая среда</w:t>
                        </w:r>
                      </w:p>
                    </w:txbxContent>
                  </v:textbox>
                </v:shape>
                <v:shape id="Надпись 206" o:spid="_x0000_s1096" type="#_x0000_t202" style="position:absolute;left:43357;top:8305;width:12497;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wyjxQAAANwAAAAPAAAAZHJzL2Rvd25yZXYueG1sRI9PawIx&#10;FMTvQr9DeAVvmlTU2q1RSkHwIIpboT0+Nm//0M3Lsom6+umNIHgcZuY3zHzZ2VqcqPWVYw1vQwWC&#10;OHOm4kLD4Wc1mIHwAdlg7Zg0XMjDcvHSm2Ni3Jn3dEpDISKEfYIayhCaREqflWTRD11DHL3ctRZD&#10;lG0hTYvnCLe1HCk1lRYrjgslNvRdUvafHq2GidqMr+t3eVnt8o/rn8v9L243Wvdfu69PEIG68Aw/&#10;2mujYaSmcD8Tj4Bc3AAAAP//AwBQSwECLQAUAAYACAAAACEA2+H2y+4AAACFAQAAEwAAAAAAAAAA&#10;AAAAAAAAAAAAW0NvbnRlbnRfVHlwZXNdLnhtbFBLAQItABQABgAIAAAAIQBa9CxbvwAAABUBAAAL&#10;AAAAAAAAAAAAAAAAAB8BAABfcmVscy8ucmVsc1BLAQItABQABgAIAAAAIQCcAwyjxQAAANwAAAAP&#10;AAAAAAAAAAAAAAAAAAcCAABkcnMvZG93bnJldi54bWxQSwUGAAAAAAMAAwC3AAAA+QIAAAAA&#10;" fillcolor="#bfbfbf [2412]" strokeweight=".5pt">
                  <v:fill opacity="15677f"/>
                  <v:textbox>
                    <w:txbxContent>
                      <w:p w14:paraId="0DB1BC35"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Институциональная среда</w:t>
                        </w:r>
                      </w:p>
                    </w:txbxContent>
                  </v:textbox>
                </v:shape>
                <v:shape id="Надпись 207" o:spid="_x0000_s1097" type="#_x0000_t202" style="position:absolute;left:76;top:16687;width:55813;height:3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6k4xQAAANwAAAAPAAAAZHJzL2Rvd25yZXYueG1sRI9bawIx&#10;FITfhf6HcAq+aVLx1q1RSkHwQZRuhfbxsDl7oZuTZRN19dcbQfBxmJlvmMWqs7U4UesrxxrehgoE&#10;ceZMxYWGw896MAfhA7LB2jFpuJCH1fKlt8DEuDN/0ykNhYgQ9glqKENoEil9VpJFP3QNcfRy11oM&#10;UbaFNC2eI9zWcqTUVFqsOC6U2NBXSdl/erQaJmo7vm5m8rLe5+/XP5f7X9xtte6/dp8fIAJ14Rl+&#10;tDdGw0jN4H4mHgG5vAEAAP//AwBQSwECLQAUAAYACAAAACEA2+H2y+4AAACFAQAAEwAAAAAAAAAA&#10;AAAAAAAAAAAAW0NvbnRlbnRfVHlwZXNdLnhtbFBLAQItABQABgAIAAAAIQBa9CxbvwAAABUBAAAL&#10;AAAAAAAAAAAAAAAAAB8BAABfcmVscy8ucmVsc1BLAQItABQABgAIAAAAIQDzT6k4xQAAANwAAAAP&#10;AAAAAAAAAAAAAAAAAAcCAABkcnMvZG93bnJldi54bWxQSwUGAAAAAAMAAwC3AAAA+QIAAAAA&#10;" fillcolor="#bfbfbf [2412]" strokeweight=".5pt">
                  <v:fill opacity="15677f"/>
                  <v:textbox>
                    <w:txbxContent>
                      <w:p w14:paraId="768DFC6A"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Взаимодействие и взаимная обусловленность</w:t>
                        </w:r>
                      </w:p>
                    </w:txbxContent>
                  </v:textbox>
                </v:shape>
                <v:shape id="Надпись 208" o:spid="_x0000_s1098" type="#_x0000_t202" style="position:absolute;top:20269;width:11430;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D1KwQAAANwAAAAPAAAAZHJzL2Rvd25yZXYueG1sRE/JigIx&#10;EL0L8w+hBuamiTLj0hplGBA8iOICeiw61Qt2Kk0no61fbw6Cx8fbZ4vWVuJKjS8da+j3FAji1JmS&#10;cw3Hw7I7BuEDssHKMWm4k4fF/KMzw8S4G+/oug+5iCHsE9RQhFAnUvq0IIu+52riyGWusRgibHJp&#10;GrzFcFvJgVJDabHk2FBgTX8FpZf9v9Xwo9bfj9VI3pfbbPI4u8yfcLPW+uuz/Z2CCNSGt/jlXhkN&#10;AxXXxjPxCMj5EwAA//8DAFBLAQItABQABgAIAAAAIQDb4fbL7gAAAIUBAAATAAAAAAAAAAAAAAAA&#10;AAAAAABbQ29udGVudF9UeXBlc10ueG1sUEsBAi0AFAAGAAgAAAAhAFr0LFu/AAAAFQEAAAsAAAAA&#10;AAAAAAAAAAAAHwEAAF9yZWxzLy5yZWxzUEsBAi0AFAAGAAgAAAAhAILQPUrBAAAA3AAAAA8AAAAA&#10;AAAAAAAAAAAABwIAAGRycy9kb3ducmV2LnhtbFBLBQYAAAAAAwADALcAAAD1AgAAAAA=&#10;" fillcolor="#bfbfbf [2412]" strokeweight=".5pt">
                  <v:fill opacity="15677f"/>
                  <v:textbox>
                    <w:txbxContent>
                      <w:p w14:paraId="4019736E"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внутренние факторы</w:t>
                        </w:r>
                      </w:p>
                    </w:txbxContent>
                  </v:textbox>
                </v:shape>
                <v:shape id="Надпись 209" o:spid="_x0000_s1099" type="#_x0000_t202" style="position:absolute;left:11430;top:20269;width:14204;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JjRxgAAANwAAAAPAAAAZHJzL2Rvd25yZXYueG1sRI9La8Mw&#10;EITvgf4HsYXeGqmhzcO1EkohkENIiBNoj4u1flBrZSzVcfLrq0Ahx2FmvmHS1WAb0VPna8caXsYK&#10;BHHuTM2lhtNx/TwH4QOywcYxabiQh9XyYZRiYtyZD9RnoRQRwj5BDVUIbSKlzyuy6MeuJY5e4TqL&#10;IcqulKbDc4TbRk6UmkqLNceFClv6rCj/yX6thje1fb1uZvKy3heL67cr/Bfutlo/PQ4f7yACDeEe&#10;/m9vjIaJWsDtTDwCcvkHAAD//wMAUEsBAi0AFAAGAAgAAAAhANvh9svuAAAAhQEAABMAAAAAAAAA&#10;AAAAAAAAAAAAAFtDb250ZW50X1R5cGVzXS54bWxQSwECLQAUAAYACAAAACEAWvQsW78AAAAVAQAA&#10;CwAAAAAAAAAAAAAAAAAfAQAAX3JlbHMvLnJlbHNQSwECLQAUAAYACAAAACEA7ZyY0cYAAADcAAAA&#10;DwAAAAAAAAAAAAAAAAAHAgAAZHJzL2Rvd25yZXYueG1sUEsFBgAAAAADAAMAtwAAAPoCAAAAAA==&#10;" fillcolor="#bfbfbf [2412]" strokeweight=".5pt">
                  <v:fill opacity="15677f"/>
                  <v:textbox>
                    <w:txbxContent>
                      <w:p w14:paraId="2B6E25CB"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трансформационные процессы</w:t>
                        </w:r>
                      </w:p>
                    </w:txbxContent>
                  </v:textbox>
                </v:shape>
                <v:shape id="Надпись 210" o:spid="_x0000_s1100" type="#_x0000_t202" style="position:absolute;left:25679;top:20269;width:13335;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6eRwwAAANwAAAAPAAAAZHJzL2Rvd25yZXYueG1sRE/JasMw&#10;EL0X+g9iCr01ckzapE7kUAqGHExLFkiPgzVeiDUylhI7/vrqUOjx8fbNdjStuFHvGssK5rMIBHFh&#10;dcOVgtMxe1mBcB5ZY2uZFNzJwTZ9fNhgou3Ae7odfCVCCLsEFdTed4mUrqjJoJvZjjhwpe0N+gD7&#10;SuoehxBuWhlH0Zs02HBoqLGjz5qKy+FqFLxG+WLaLeU9+y7fpx9bujN+5Uo9P40faxCeRv8v/nPv&#10;tIJ4HuaHM+EIyPQXAAD//wMAUEsBAi0AFAAGAAgAAAAhANvh9svuAAAAhQEAABMAAAAAAAAAAAAA&#10;AAAAAAAAAFtDb250ZW50X1R5cGVzXS54bWxQSwECLQAUAAYACAAAACEAWvQsW78AAAAVAQAACwAA&#10;AAAAAAAAAAAAAAAfAQAAX3JlbHMvLnJlbHNQSwECLQAUAAYACAAAACEA+X+nkcMAAADcAAAADwAA&#10;AAAAAAAAAAAAAAAHAgAAZHJzL2Rvd25yZXYueG1sUEsFBgAAAAADAAMAtwAAAPcCAAAAAA==&#10;" fillcolor="#bfbfbf [2412]" strokeweight=".5pt">
                  <v:fill opacity="15677f"/>
                  <v:textbox>
                    <w:txbxContent>
                      <w:p w14:paraId="3BACA6A0"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цифровое усиление</w:t>
                        </w:r>
                      </w:p>
                    </w:txbxContent>
                  </v:textbox>
                </v:shape>
                <v:shape id="Надпись 211" o:spid="_x0000_s1101" type="#_x0000_t202" style="position:absolute;left:39014;top:20269;width:16851;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wIKxQAAANwAAAAPAAAAZHJzL2Rvd25yZXYueG1sRI9LiwIx&#10;EITvC/6H0IK3NTPi+hiNIoLgQVZ8gB6bSc8DJ51hEnX0128WFvZYVNVX1HzZmko8qHGlZQVxPwJB&#10;nFpdcq7gfNp8TkA4j6yxskwKXuRgueh8zDHR9skHehx9LgKEXYIKCu/rREqXFmTQ9W1NHLzMNgZ9&#10;kE0udYPPADeVHETRSBosOSwUWNO6oPR2vBsFX9Fu+N6O5Wuzz6bvq83cBb93SvW67WoGwlPr/8N/&#10;7a1WMIhj+D0TjoBc/AAAAP//AwBQSwECLQAUAAYACAAAACEA2+H2y+4AAACFAQAAEwAAAAAAAAAA&#10;AAAAAAAAAAAAW0NvbnRlbnRfVHlwZXNdLnhtbFBLAQItABQABgAIAAAAIQBa9CxbvwAAABUBAAAL&#10;AAAAAAAAAAAAAAAAAB8BAABfcmVscy8ucmVsc1BLAQItABQABgAIAAAAIQCWMwIKxQAAANwAAAAP&#10;AAAAAAAAAAAAAAAAAAcCAABkcnMvZG93bnJldi54bWxQSwUGAAAAAAMAAwC3AAAA+QIAAAAA&#10;" fillcolor="#bfbfbf [2412]" strokeweight=".5pt">
                  <v:fill opacity="15677f"/>
                  <v:textbox>
                    <w:txbxContent>
                      <w:p w14:paraId="698125B5"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институциональные ограничения/драйверы</w:t>
                        </w:r>
                      </w:p>
                    </w:txbxContent>
                  </v:textbox>
                </v:shape>
                <v:shape id="Надпись 212" o:spid="_x0000_s1102" type="#_x0000_t202" style="position:absolute;left:8229;top:28727;width:40822;height:6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KxAAAANwAAAAPAAAAZHJzL2Rvd25yZXYueG1sRI9Ra8JA&#10;EITfC/6HY4W+1YuhlBI9RS2VgkLbxB+w5NYkmNuLuVXTf98TCn0cZuYbZr4cXKuu1IfGs4HpJAFF&#10;XHrbcGXgULw/vYIKgmyx9UwGfijAcjF6mGNm/Y2/6ZpLpSKEQ4YGapEu0zqUNTkME98RR+/oe4cS&#10;ZV9p2+Mtwl2r0yR50Q4bjgs1drSpqTzlF2egeN6uP11V5Luvt90epbHlmcSYx/GwmoESGuQ//Nf+&#10;sAbSaQr3M/EI6MUvAAAA//8DAFBLAQItABQABgAIAAAAIQDb4fbL7gAAAIUBAAATAAAAAAAAAAAA&#10;AAAAAAAAAABbQ29udGVudF9UeXBlc10ueG1sUEsBAi0AFAAGAAgAAAAhAFr0LFu/AAAAFQEAAAsA&#10;AAAAAAAAAAAAAAAAHwEAAF9yZWxzLy5yZWxzUEsBAi0AFAAGAAgAAAAhAD79JYrEAAAA3AAAAA8A&#10;AAAAAAAAAAAAAAAABwIAAGRycy9kb3ducmV2LnhtbFBLBQYAAAAAAwADALcAAAD4AgAAAAA=&#10;" fillcolor="#a5a5a5 [2092]" strokeweight=".5pt">
                  <v:fill opacity="34181f"/>
                  <v:textbox>
                    <w:txbxContent>
                      <w:p w14:paraId="1A908BF0"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I</w:t>
                        </w:r>
                        <w:r w:rsidRPr="002F33D0">
                          <w:rPr>
                            <w:rFonts w:ascii="Times New Roman" w:hAnsi="Times New Roman" w:cs="Times New Roman"/>
                            <w:sz w:val="24"/>
                            <w:szCs w:val="24"/>
                            <w:lang w:val="kk-KZ"/>
                          </w:rPr>
                          <w:t>І</w:t>
                        </w:r>
                        <w:r w:rsidRPr="002F33D0">
                          <w:rPr>
                            <w:rFonts w:ascii="Times New Roman" w:hAnsi="Times New Roman" w:cs="Times New Roman"/>
                            <w:sz w:val="24"/>
                            <w:szCs w:val="24"/>
                          </w:rPr>
                          <w:t xml:space="preserve">. ЭКОНОМЕТРИЧЕСКИЙ УРОВЕНЬ </w:t>
                        </w:r>
                      </w:p>
                      <w:p w14:paraId="36554157" w14:textId="77777777" w:rsidR="001D4931" w:rsidRPr="002F33D0" w:rsidRDefault="001D4931" w:rsidP="002F33D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 xml:space="preserve"> (калибровка структуры через β-коэффициенты, регрессии, логистическую модель участия)</w:t>
                        </w:r>
                      </w:p>
                    </w:txbxContent>
                  </v:textbox>
                </v:shape>
                <v:shape id="Надпись 213" o:spid="_x0000_s1103" type="#_x0000_t202" style="position:absolute;left:685;top:37109;width:5515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P38xQAAANwAAAAPAAAAZHJzL2Rvd25yZXYueG1sRI/dasJA&#10;FITvBd9hOYXeNRsVSkldpRQjllbQKPT2kD35odmzYXeN6dt3C4KXw8x8wyzXo+nEQM63lhXMkhQE&#10;cWl1y7WC8yl/egHhA7LGzjIp+CUP69V0ssRM2ysfaShCLSKEfYYKmhD6TEpfNmTQJ7Ynjl5lncEQ&#10;pauldniNcNPJeZo+S4Mtx4UGe3pvqPwpLkbBt/mqx3y73ezPw6L4dFzlh49KqceH8e0VRKAx3MO3&#10;9k4rmM8W8H8mHgG5+gMAAP//AwBQSwECLQAUAAYACAAAACEA2+H2y+4AAACFAQAAEwAAAAAAAAAA&#10;AAAAAAAAAAAAW0NvbnRlbnRfVHlwZXNdLnhtbFBLAQItABQABgAIAAAAIQBa9CxbvwAAABUBAAAL&#10;AAAAAAAAAAAAAAAAAB8BAABfcmVscy8ucmVsc1BLAQItABQABgAIAAAAIQClRP38xQAAANwAAAAP&#10;AAAAAAAAAAAAAAAAAAcCAABkcnMvZG93bnJldi54bWxQSwUGAAAAAAMAAwC3AAAA+QIAAAAA&#10;" fillcolor="#bfbfbf [2412]" strokeweight=".5pt">
                  <v:fill opacity="10537f"/>
                  <v:textbox>
                    <w:txbxContent>
                      <w:p w14:paraId="7FB8878F"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Формирование системы весов инновационного потенциала</w:t>
                        </w:r>
                      </w:p>
                    </w:txbxContent>
                  </v:textbox>
                </v:shape>
                <v:shape id="Надпись 214" o:spid="_x0000_s1104" type="#_x0000_t202" style="position:absolute;left:8229;top:43129;width:40822;height:6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puyxAAAANwAAAAPAAAAZHJzL2Rvd25yZXYueG1sRI9Ba8JA&#10;FITvBf/D8oTe6iZWikRXEUHwILRGBb09s89sMPs2ZLcm/fduodDjMDPfMPNlb2vxoNZXjhWkowQE&#10;ceF0xaWC42HzNgXhA7LG2jEp+CEPy8XgZY6Zdh3v6ZGHUkQI+wwVmBCaTEpfGLLoR64hjt7NtRZD&#10;lG0pdYtdhNtajpPkQ1qsOC4YbGhtqLjn31bBWb6n13C57PIvOTnpT7NLuCuUeh32qxmIQH34D/+1&#10;t1rBOJ3A75l4BOTiCQAA//8DAFBLAQItABQABgAIAAAAIQDb4fbL7gAAAIUBAAATAAAAAAAAAAAA&#10;AAAAAAAAAABbQ29udGVudF9UeXBlc10ueG1sUEsBAi0AFAAGAAgAAAAhAFr0LFu/AAAAFQEAAAsA&#10;AAAAAAAAAAAAAAAAHwEAAF9yZWxzLy5yZWxzUEsBAi0AFAAGAAgAAAAhAGjWm7LEAAAA3AAAAA8A&#10;AAAAAAAAAAAAAAAABwIAAGRycy9kb3ducmV2LnhtbFBLBQYAAAAAAwADALcAAAD4AgAAAAA=&#10;" fillcolor="#bfbfbf [2412]" strokeweight=".5pt">
                  <v:textbox>
                    <w:txbxContent>
                      <w:p w14:paraId="65357ACC"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lang w:val="kk-KZ"/>
                          </w:rPr>
                          <w:t>І</w:t>
                        </w:r>
                        <w:r w:rsidRPr="002F33D0">
                          <w:rPr>
                            <w:rFonts w:ascii="Times New Roman" w:hAnsi="Times New Roman" w:cs="Times New Roman"/>
                            <w:sz w:val="24"/>
                            <w:szCs w:val="24"/>
                          </w:rPr>
                          <w:t>I</w:t>
                        </w:r>
                        <w:r w:rsidRPr="002F33D0">
                          <w:rPr>
                            <w:rFonts w:ascii="Times New Roman" w:hAnsi="Times New Roman" w:cs="Times New Roman"/>
                            <w:sz w:val="24"/>
                            <w:szCs w:val="24"/>
                            <w:lang w:val="kk-KZ"/>
                          </w:rPr>
                          <w:t>І</w:t>
                        </w:r>
                        <w:r w:rsidRPr="002F33D0">
                          <w:rPr>
                            <w:rFonts w:ascii="Times New Roman" w:hAnsi="Times New Roman" w:cs="Times New Roman"/>
                            <w:sz w:val="24"/>
                            <w:szCs w:val="24"/>
                          </w:rPr>
                          <w:t xml:space="preserve">. ИНСТРУМЕНТАЛЬНЫЙ УРОВЕНЬ </w:t>
                        </w:r>
                      </w:p>
                      <w:p w14:paraId="4FB4DC12" w14:textId="77777777" w:rsidR="001D4931" w:rsidRPr="002F33D0" w:rsidRDefault="001D4931" w:rsidP="002F33D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 xml:space="preserve"> (инструмент оценки и проектирования инновационного потенциала)</w:t>
                        </w:r>
                      </w:p>
                    </w:txbxContent>
                  </v:textbox>
                </v:shape>
                <v:shape id="Надпись 215" o:spid="_x0000_s1105" type="#_x0000_t202" style="position:absolute;left:1295;top:53568;width:15018;height:6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lDgxAAAANwAAAAPAAAAZHJzL2Rvd25yZXYueG1sRI/dasJA&#10;FITvC32H5RR6Vzex1Gh0ldIiFEREW+8P2WMSmj0bdjc/vr1bKHg5zMw3zGozmkb05HxtWUE6SUAQ&#10;F1bXXCr4+d6+zEH4gKyxsUwKruRhs358WGGu7cBH6k+hFBHCPkcFVQhtLqUvKjLoJ7Yljt7FOoMh&#10;SldK7XCIcNPIaZLMpMGa40KFLX1UVPyeOqOAHGbn10U33y32nyFt9CHzx4tSz0/j+xJEoDHcw//t&#10;L61gmr7B35l4BOT6BgAA//8DAFBLAQItABQABgAIAAAAIQDb4fbL7gAAAIUBAAATAAAAAAAAAAAA&#10;AAAAAAAAAABbQ29udGVudF9UeXBlc10ueG1sUEsBAi0AFAAGAAgAAAAhAFr0LFu/AAAAFQEAAAsA&#10;AAAAAAAAAAAAAAAAHwEAAF9yZWxzLy5yZWxzUEsBAi0AFAAGAAgAAAAhAGM6UODEAAAA3AAAAA8A&#10;AAAAAAAAAAAAAAAABwIAAGRycy9kb3ducmV2LnhtbFBLBQYAAAAAAwADALcAAAD4AgAAAAA=&#10;" fillcolor="#bfbfbf [2412]" strokeweight=".5pt">
                  <v:fill opacity="17733f"/>
                  <v:textbox>
                    <w:txbxContent>
                      <w:p w14:paraId="686B70F5"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Инструментальная матрица</w:t>
                        </w:r>
                      </w:p>
                    </w:txbxContent>
                  </v:textbox>
                </v:shape>
                <v:shape id="Надпись 216" o:spid="_x0000_s1106" type="#_x0000_t202" style="position:absolute;left:19431;top:53568;width:15017;height:6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M6XxAAAANwAAAAPAAAAZHJzL2Rvd25yZXYueG1sRI9Ba8JA&#10;FITvBf/D8gRvdZMIGqOrSIsglFJM6/2RfSbB7Nuwu9H033cLhR6HmfmG2e5H04k7Od9aVpDOExDE&#10;ldUt1wq+Po/POQgfkDV2lknBN3nY7yZPWyy0ffCZ7mWoRYSwL1BBE0JfSOmrhgz6ue2Jo3e1zmCI&#10;0tVSO3xEuOlkliRLabDluNBgTy8NVbdyMArI4eqyWA/52/r9NaSd/lj581Wp2XQ8bEAEGsN/+K99&#10;0gqydAm/Z+IRkLsfAAAA//8DAFBLAQItABQABgAIAAAAIQDb4fbL7gAAAIUBAAATAAAAAAAAAAAA&#10;AAAAAAAAAABbQ29udGVudF9UeXBlc10ueG1sUEsBAi0AFAAGAAgAAAAhAFr0LFu/AAAAFQEAAAsA&#10;AAAAAAAAAAAAAAAAHwEAAF9yZWxzLy5yZWxzUEsBAi0AFAAGAAgAAAAhAJPozpfEAAAA3AAAAA8A&#10;AAAAAAAAAAAAAAAABwIAAGRycy9kb3ducmV2LnhtbFBLBQYAAAAAAwADALcAAAD4AgAAAAA=&#10;" fillcolor="#bfbfbf [2412]" strokeweight=".5pt">
                  <v:fill opacity="17733f"/>
                  <v:textbox>
                    <w:txbxContent>
                      <w:p w14:paraId="7CD95FB6"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rPr>
                          <w:t>Индекс</w:t>
                        </w:r>
                        <w:r w:rsidRPr="002F33D0">
                          <w:rPr>
                            <w:rFonts w:ascii="Times New Roman" w:hAnsi="Times New Roman" w:cs="Times New Roman"/>
                            <w:sz w:val="24"/>
                            <w:szCs w:val="24"/>
                            <w:lang w:val="kk-KZ"/>
                          </w:rPr>
                          <w:t xml:space="preserve"> </w:t>
                        </w:r>
                        <w:r w:rsidRPr="002F33D0">
                          <w:rPr>
                            <w:rFonts w:ascii="Times New Roman" w:hAnsi="Times New Roman" w:cs="Times New Roman"/>
                            <w:sz w:val="24"/>
                            <w:szCs w:val="24"/>
                          </w:rPr>
                          <w:t>инновационного</w:t>
                        </w:r>
                        <w:r w:rsidRPr="002F33D0">
                          <w:rPr>
                            <w:rFonts w:ascii="Times New Roman" w:hAnsi="Times New Roman" w:cs="Times New Roman"/>
                            <w:sz w:val="24"/>
                            <w:szCs w:val="24"/>
                            <w:lang w:val="kk-KZ"/>
                          </w:rPr>
                          <w:t xml:space="preserve"> потенциала</w:t>
                        </w:r>
                      </w:p>
                    </w:txbxContent>
                  </v:textbox>
                </v:shape>
                <v:shape id="Надпись 217" o:spid="_x0000_s1107" type="#_x0000_t202" style="position:absolute;left:38252;top:53568;width:16980;height:6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GsMxAAAANwAAAAPAAAAZHJzL2Rvd25yZXYueG1sRI9Ba8JA&#10;FITvgv9heUJvZhMLTYyuUloKhVIksb0/ss8kmH0bdldN/323UPA4zMw3zHY/mUFcyfnesoIsSUEQ&#10;N1b33Cr4Or4tCxA+IGscLJOCH/Kw381nWyy1vXFF1zq0IkLYl6igC2EspfRNRwZ9Ykfi6J2sMxii&#10;dK3UDm8Rbga5StMnabDnuNDhSC8dNef6YhSQw/z7cX0pPtafryEb9CH31Umph8X0vAERaAr38H/7&#10;XStYZTn8nYlHQO5+AQAA//8DAFBLAQItABQABgAIAAAAIQDb4fbL7gAAAIUBAAATAAAAAAAAAAAA&#10;AAAAAAAAAABbQ29udGVudF9UeXBlc10ueG1sUEsBAi0AFAAGAAgAAAAhAFr0LFu/AAAAFQEAAAsA&#10;AAAAAAAAAAAAAAAAHwEAAF9yZWxzLy5yZWxzUEsBAi0AFAAGAAgAAAAhAPykawzEAAAA3AAAAA8A&#10;AAAAAAAAAAAAAAAABwIAAGRycy9kb3ducmV2LnhtbFBLBQYAAAAAAwADALcAAAD4AgAAAAA=&#10;" fillcolor="#bfbfbf [2412]" strokeweight=".5pt">
                  <v:fill opacity="17733f"/>
                  <v:textbox>
                    <w:txbxContent>
                      <w:p w14:paraId="3A39BADC" w14:textId="77777777" w:rsidR="001D4931" w:rsidRPr="002F33D0" w:rsidRDefault="001D4931" w:rsidP="002F33D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Цифровые профили и критические зоны</w:t>
                        </w:r>
                      </w:p>
                    </w:txbxContent>
                  </v:textbox>
                </v:shape>
                <v:shape id="Надпись 218" o:spid="_x0000_s1108" type="#_x0000_t202" style="position:absolute;left:6934;top:63669;width:40818;height:6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SOUvQAAANwAAAAPAAAAZHJzL2Rvd25yZXYueG1sRE+7CsIw&#10;FN0F/yFcwUU01UGkGkVEURfxhfOlubbV5qY0sda/N4PgeDjv2aIxhaipcrllBcNBBII4sTrnVMH1&#10;sulPQDiPrLGwTAo+5GAxb7dmGGv75hPVZ5+KEMIuRgWZ92UspUsyMugGtiQO3N1WBn2AVSp1he8Q&#10;bgo5iqKxNJhzaMiwpFVGyfP8MgrGuF9tG1z2nDkaVz8269vBPpXqdprlFISnxv/FP/dOKxgNw9pw&#10;JhwBOf8CAAD//wMAUEsBAi0AFAAGAAgAAAAhANvh9svuAAAAhQEAABMAAAAAAAAAAAAAAAAAAAAA&#10;AFtDb250ZW50X1R5cGVzXS54bWxQSwECLQAUAAYACAAAACEAWvQsW78AAAAVAQAACwAAAAAAAAAA&#10;AAAAAAAfAQAAX3JlbHMvLnJlbHNQSwECLQAUAAYACAAAACEADbkjlL0AAADcAAAADwAAAAAAAAAA&#10;AAAAAAAHAgAAZHJzL2Rvd25yZXYueG1sUEsFBgAAAAADAAMAtwAAAPECAAAAAA==&#10;" fillcolor="#538135 [2409]" strokeweight=".5pt">
                  <v:fill opacity="34181f"/>
                  <v:textbox>
                    <w:txbxContent>
                      <w:p w14:paraId="53C25992" w14:textId="77777777" w:rsidR="001D4931" w:rsidRPr="002F33D0" w:rsidRDefault="001D4931" w:rsidP="002F33D0">
                        <w:pPr>
                          <w:spacing w:after="0" w:line="240" w:lineRule="auto"/>
                          <w:jc w:val="center"/>
                          <w:rPr>
                            <w:rFonts w:ascii="Times New Roman" w:hAnsi="Times New Roman" w:cs="Times New Roman"/>
                            <w:sz w:val="24"/>
                            <w:szCs w:val="24"/>
                          </w:rPr>
                        </w:pPr>
                        <w:r w:rsidRPr="002F33D0">
                          <w:rPr>
                            <w:rFonts w:ascii="Times New Roman" w:hAnsi="Times New Roman" w:cs="Times New Roman"/>
                            <w:sz w:val="24"/>
                            <w:szCs w:val="24"/>
                            <w:lang w:val="kk-KZ"/>
                          </w:rPr>
                          <w:t>ІV</w:t>
                        </w:r>
                        <w:r w:rsidRPr="002F33D0">
                          <w:rPr>
                            <w:rFonts w:ascii="Times New Roman" w:hAnsi="Times New Roman" w:cs="Times New Roman"/>
                            <w:sz w:val="24"/>
                            <w:szCs w:val="24"/>
                          </w:rPr>
                          <w:t>. ПРОЕКТНО-ДИАГНОСТИЧЕСКИЙ УРОВЕНЬ</w:t>
                        </w:r>
                      </w:p>
                      <w:p w14:paraId="61F31319" w14:textId="77777777" w:rsidR="001D4931" w:rsidRPr="002F33D0" w:rsidRDefault="001D4931" w:rsidP="002F33D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 xml:space="preserve"> (траектории развития, рекомендации, сценарии)</w:t>
                        </w:r>
                      </w:p>
                    </w:txbxContent>
                  </v:textbox>
                </v:shape>
                <v:shape id="Надпись 219" o:spid="_x0000_s1109" type="#_x0000_t202" style="position:absolute;left:6934;top:72559;width:40818;height:8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DpixgAAANwAAAAPAAAAZHJzL2Rvd25yZXYueG1sRI9Pa8JA&#10;FMTvBb/D8oReRDembahpVhGhUIQeGgXp7ZF95k+zb0N21fjtXUHocZiZ3zDZajCtOFPvassK5rMI&#10;BHFhdc2lgv3uc/oOwnlkja1lUnAlB6vl6CnDVNsL/9A596UIEHYpKqi871IpXVGRQTezHXHwjrY3&#10;6IPsS6l7vAS4aWUcRYk0WHNYqLCjTUXFX34yCnL70nxv1rE9bfVh0vz65M28Jko9j4f1BwhPg/8P&#10;P9pfWkE8X8D9TDgCcnkDAAD//wMAUEsBAi0AFAAGAAgAAAAhANvh9svuAAAAhQEAABMAAAAAAAAA&#10;AAAAAAAAAAAAAFtDb250ZW50X1R5cGVzXS54bWxQSwECLQAUAAYACAAAACEAWvQsW78AAAAVAQAA&#10;CwAAAAAAAAAAAAAAAAAfAQAAX3JlbHMvLnJlbHNQSwECLQAUAAYACAAAACEALtQ6YsYAAADcAAAA&#10;DwAAAAAAAAAAAAAAAAAHAgAAZHJzL2Rvd25yZXYueG1sUEsFBgAAAAADAAMAtwAAAPoCAAAAAA==&#10;" fillcolor="#a8d08d [1945]" strokeweight=".5pt">
                  <v:fill opacity="13107f"/>
                  <v:textbox>
                    <w:txbxContent>
                      <w:p w14:paraId="453096D9" w14:textId="77777777" w:rsidR="001D4931" w:rsidRPr="002F33D0" w:rsidRDefault="001D4931" w:rsidP="002F33D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caps/>
                            <w:sz w:val="24"/>
                            <w:szCs w:val="24"/>
                            <w:lang w:val="kk-KZ"/>
                          </w:rPr>
                          <w:t>РЕЗУЛЬТАТ</w:t>
                        </w:r>
                        <w:r w:rsidRPr="002F33D0">
                          <w:rPr>
                            <w:rFonts w:ascii="Times New Roman" w:hAnsi="Times New Roman" w:cs="Times New Roman"/>
                            <w:sz w:val="24"/>
                            <w:szCs w:val="24"/>
                            <w:lang w:val="kk-KZ"/>
                          </w:rPr>
                          <w:t xml:space="preserve">: </w:t>
                        </w:r>
                      </w:p>
                      <w:p w14:paraId="7417EAD4" w14:textId="77777777" w:rsidR="001D4931" w:rsidRPr="002F33D0" w:rsidRDefault="001D4931" w:rsidP="002F33D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Учёт размерности предприятия, цифровой зрелости, институциональной среды, ресурсной обеспеченности и кадрового профиля</w:t>
                        </w:r>
                      </w:p>
                    </w:txbxContent>
                  </v:textbox>
                </v:shape>
                <v:line id="Прямая соединительная линия 220" o:spid="_x0000_s1110" style="position:absolute;visibility:visible;mso-wrap-style:square" from="6172,6629" to="50368,6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wX0wwAAANwAAAAPAAAAZHJzL2Rvd25yZXYueG1sRE9da8Iw&#10;FH0X/A/hCnuRNV0F0a5RRDYYOHTWsOdLc9cWm5vSZNr9++VhsMfD+S62o+3EjQbfOlbwlKQgiCtn&#10;Wq4V6Mvr4wqED8gGO8ek4Ic8bDfTSYG5cXc+060MtYgh7HNU0ITQ51L6qiGLPnE9ceS+3GAxRDjU&#10;0gx4j+G2k1maLqXFlmNDgz3tG6qu5bdVcNDrz/nitNLaXsojfuj25fS+V+phNu6eQQQaw7/4z/1m&#10;FGRZnB/PxCMgN78AAAD//wMAUEsBAi0AFAAGAAgAAAAhANvh9svuAAAAhQEAABMAAAAAAAAAAAAA&#10;AAAAAAAAAFtDb250ZW50X1R5cGVzXS54bWxQSwECLQAUAAYACAAAACEAWvQsW78AAAAVAQAACwAA&#10;AAAAAAAAAAAAAAAfAQAAX3JlbHMvLnJlbHNQSwECLQAUAAYACAAAACEAEFcF9MMAAADcAAAADwAA&#10;AAAAAAAAAAAAAAAHAgAAZHJzL2Rvd25yZXYueG1sUEsFBgAAAAADAAMAtwAAAPcCAAAAAA==&#10;" strokecolor="black [3200]" strokeweight=".5pt">
                  <v:stroke joinstyle="miter"/>
                </v:line>
                <v:shape id="Прямая со стрелкой 221" o:spid="_x0000_s1111" type="#_x0000_t32" style="position:absolute;left:6172;top:6781;width:0;height:1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BbNwgAAANwAAAAPAAAAZHJzL2Rvd25yZXYueG1sRI/NqsIw&#10;FIT3F3yHcAR319SCcq1G8QdB3V0V14fm2Babk9pEW9/eCILLYWa+Yabz1pTiQbUrLCsY9CMQxKnV&#10;BWcKTsfN7x8I55E1lpZJwZMczGednykm2jb8T4+Dz0SAsEtQQe59lUjp0pwMur6tiIN3sbVBH2Sd&#10;SV1jE+CmlHEUjaTBgsNCjhWtckqvh7tR0KA/j5eL7LZarnfbdljeRsfTXqlet11MQHhq/Tf8aW+1&#10;gjgewPtMOAJy9gIAAP//AwBQSwECLQAUAAYACAAAACEA2+H2y+4AAACFAQAAEwAAAAAAAAAAAAAA&#10;AAAAAAAAW0NvbnRlbnRfVHlwZXNdLnhtbFBLAQItABQABgAIAAAAIQBa9CxbvwAAABUBAAALAAAA&#10;AAAAAAAAAAAAAB8BAABfcmVscy8ucmVsc1BLAQItABQABgAIAAAAIQCknBbNwgAAANwAAAAPAAAA&#10;AAAAAAAAAAAAAAcCAABkcnMvZG93bnJldi54bWxQSwUGAAAAAAMAAwC3AAAA9gIAAAAA&#10;" strokecolor="black [3200]" strokeweight=".5pt">
                  <v:stroke endarrow="block" joinstyle="miter"/>
                </v:shape>
                <v:shape id="Прямая со стрелкой 222" o:spid="_x0000_s1112" type="#_x0000_t32" style="position:absolute;left:20269;top:6781;width:109;height:15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SW7xQAAANwAAAAPAAAAZHJzL2Rvd25yZXYueG1sRI9BS8NA&#10;FITvBf/D8gpeit24KVVit0UUqdemInp7Zp9JaPZtyFvb9N+7gtDjMDPfMKvN6Dt1pEHawBZu5xko&#10;4iq4lmsLb/uXm3tQEpEddoHJwpkENuuryQoLF068o2MZa5UgLAVaaGLsC62lasijzENPnLzvMHiM&#10;SQ61dgOeEtx32mTZUntsOS002NNTQ9Wh/PEW8rgQs1t83En5WX/N3HOey/vW2uvp+PgAKtIYL+H/&#10;9quzYIyBvzPpCOj1LwAAAP//AwBQSwECLQAUAAYACAAAACEA2+H2y+4AAACFAQAAEwAAAAAAAAAA&#10;AAAAAAAAAAAAW0NvbnRlbnRfVHlwZXNdLnhtbFBLAQItABQABgAIAAAAIQBa9CxbvwAAABUBAAAL&#10;AAAAAAAAAAAAAAAAAB8BAABfcmVscy8ucmVsc1BLAQItABQABgAIAAAAIQBweSW7xQAAANwAAAAP&#10;AAAAAAAAAAAAAAAAAAcCAABkcnMvZG93bnJldi54bWxQSwUGAAAAAAMAAwC3AAAA+QIAAAAA&#10;" strokecolor="black [3200]" strokeweight=".5pt">
                  <v:stroke endarrow="block" joinstyle="miter"/>
                </v:shape>
                <v:shape id="Прямая со стрелкой 223" o:spid="_x0000_s1113" type="#_x0000_t32" style="position:absolute;left:35052;top:6781;width:108;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0hxAAAANwAAAAPAAAAZHJzL2Rvd25yZXYueG1sRI9Pi8Iw&#10;FMTvgt8hvIW9abqVFe0axT8sqDer7PnRPNti81KbaLvf3giCx2FmfsPMFp2pxJ0aV1pW8DWMQBBn&#10;VpecKzgdfwcTEM4ja6wsk4J/crCY93szTLRt+UD31OciQNglqKDwvk6kdFlBBt3Q1sTBO9vGoA+y&#10;yaVusA1wU8k4isbSYMlhocCa1gVll/RmFLTo/6arZX5drza7bfddXcfH016pz49u+QPCU+ff4Vd7&#10;qxXE8QieZ8IRkPMHAAAA//8DAFBLAQItABQABgAIAAAAIQDb4fbL7gAAAIUBAAATAAAAAAAAAAAA&#10;AAAAAAAAAABbQ29udGVudF9UeXBlc10ueG1sUEsBAi0AFAAGAAgAAAAhAFr0LFu/AAAAFQEAAAsA&#10;AAAAAAAAAAAAAAAAHwEAAF9yZWxzLy5yZWxzUEsBAi0AFAAGAAgAAAAhADsCLSHEAAAA3AAAAA8A&#10;AAAAAAAAAAAAAAAABwIAAGRycy9kb3ducmV2LnhtbFBLBQYAAAAAAwADALcAAAD4AgAAAAA=&#10;" strokecolor="black [3200]" strokeweight=".5pt">
                  <v:stroke endarrow="block" joinstyle="miter"/>
                </v:shape>
                <v:shape id="Прямая со стрелкой 224" o:spid="_x0000_s1114" type="#_x0000_t32" style="position:absolute;left:50368;top:6781;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7VVxAAAANwAAAAPAAAAZHJzL2Rvd25yZXYueG1sRI9Pi8Iw&#10;FMTvgt8hvIW9abrFFe0axT8sqDer7PnRPNti81KbaLvf3giCx2FmfsPMFp2pxJ0aV1pW8DWMQBBn&#10;VpecKzgdfwcTEM4ja6wsk4J/crCY93szTLRt+UD31OciQNglqKDwvk6kdFlBBt3Q1sTBO9vGoA+y&#10;yaVusA1wU8k4isbSYMlhocCa1gVll/RmFLTo/6arZX5drza7bfddXcfH016pz49u+QPCU+ff4Vd7&#10;qxXE8QieZ8IRkPMHAAAA//8DAFBLAQItABQABgAIAAAAIQDb4fbL7gAAAIUBAAATAAAAAAAAAAAA&#10;AAAAAAAAAABbQ29udGVudF9UeXBlc10ueG1sUEsBAi0AFAAGAAgAAAAhAFr0LFu/AAAAFQEAAAsA&#10;AAAAAAAAAAAAAAAAHwEAAF9yZWxzLy5yZWxzUEsBAi0AFAAGAAgAAAAhALTrtVXEAAAA3AAAAA8A&#10;AAAAAAAAAAAAAAAABwIAAGRycy9kb3ducmV2LnhtbFBLBQYAAAAAAwADALcAAAD4AgAAAAA=&#10;" strokecolor="black [3200]" strokeweight=".5pt">
                  <v:stroke endarrow="block" joinstyle="miter"/>
                </v:shape>
                <v:line id="Прямая соединительная линия 225" o:spid="_x0000_s1115" style="position:absolute;flip:y;visibility:visible;mso-wrap-style:square" from="27813,5410" to="27813,6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hlsvgAAANwAAAAPAAAAZHJzL2Rvd25yZXYueG1sRI/NCsIw&#10;EITvgu8QVvCmqQVFqlFEUDwp/jzA0qxpsdmUJtb69kYQPA4z8w2zXHe2Ei01vnSsYDJOQBDnTpds&#10;FNyuu9EchA/IGivHpOBNHtarfm+JmXYvPlN7CUZECPsMFRQh1JmUPi/Ioh+7mjh6d9dYDFE2RuoG&#10;XxFuK5kmyUxaLDkuFFjTtqD8cXlaBdocSW6caacTM7vtcnPC475VajjoNgsQgbrwD//aB60gTafw&#10;PROPgFx9AAAA//8DAFBLAQItABQABgAIAAAAIQDb4fbL7gAAAIUBAAATAAAAAAAAAAAAAAAAAAAA&#10;AABbQ29udGVudF9UeXBlc10ueG1sUEsBAi0AFAAGAAgAAAAhAFr0LFu/AAAAFQEAAAsAAAAAAAAA&#10;AAAAAAAAHwEAAF9yZWxzLy5yZWxzUEsBAi0AFAAGAAgAAAAhAN0uGWy+AAAA3AAAAA8AAAAAAAAA&#10;AAAAAAAABwIAAGRycy9kb3ducmV2LnhtbFBLBQYAAAAAAwADALcAAADyAgAAAAA=&#10;" strokecolor="black [3200]" strokeweight=".5pt">
                  <v:stroke joinstyle="miter"/>
                </v:line>
                <v:line id="Прямая соединительная линия 226" o:spid="_x0000_s1116" style="position:absolute;visibility:visible;mso-wrap-style:square" from="6172,14706" to="50368,1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jgbxQAAANwAAAAPAAAAZHJzL2Rvd25yZXYueG1sRI9Ba8JA&#10;FITvgv9heUIvopumIDZ1FZEWhEq1cfH8yL4mwezbkF01/fddoeBxmJlvmMWqt424UudrxwqepwkI&#10;4sKZmksF+vgxmYPwAdlg45gU/JKH1XI4WGBm3I2/6ZqHUkQI+wwVVCG0mZS+qMiin7qWOHo/rrMY&#10;ouxKaTq8RbhtZJokM2mx5rhQYUubiopzfrEKPvXrafyyn2ttj/kXHnT9vt9tlHoa9es3EIH68Aj/&#10;t7dGQZrO4H4mHgG5/AMAAP//AwBQSwECLQAUAAYACAAAACEA2+H2y+4AAACFAQAAEwAAAAAAAAAA&#10;AAAAAAAAAAAAW0NvbnRlbnRfVHlwZXNdLnhtbFBLAQItABQABgAIAAAAIQBa9CxbvwAAABUBAAAL&#10;AAAAAAAAAAAAAAAAAB8BAABfcmVscy8ucmVsc1BLAQItABQABgAIAAAAIQDw8jgbxQAAANwAAAAP&#10;AAAAAAAAAAAAAAAAAAcCAABkcnMvZG93bnJldi54bWxQSwUGAAAAAAMAAwC3AAAA+QIAAAAA&#10;" strokecolor="black [3200]" strokeweight=".5pt">
                  <v:stroke joinstyle="miter"/>
                </v:line>
                <v:line id="Прямая соединительная линия 227" o:spid="_x0000_s1117" style="position:absolute;visibility:visible;mso-wrap-style:square" from="6172,13639" to="6172,14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p2AxgAAANwAAAAPAAAAZHJzL2Rvd25yZXYueG1sRI9Ba8JA&#10;FITvBf/D8gQvpW6M0GrqKkUUBEtt4+L5kX1NQrNvQ3bV+O/dQqHHYWa+YRar3jbiQp2vHSuYjBMQ&#10;xIUzNZcK9HH7NAPhA7LBxjEpuJGH1XLwsMDMuCt/0SUPpYgQ9hkqqEJoMyl9UZFFP3YtcfS+XWcx&#10;RNmV0nR4jXDbyDRJnqXFmuNChS2tKyp+8rNVsNfz0+P0MNPaHvMP/NT15vC+Vmo07N9eQQTqw3/4&#10;r70zCtL0BX7PxCMgl3cAAAD//wMAUEsBAi0AFAAGAAgAAAAhANvh9svuAAAAhQEAABMAAAAAAAAA&#10;AAAAAAAAAAAAAFtDb250ZW50X1R5cGVzXS54bWxQSwECLQAUAAYACAAAACEAWvQsW78AAAAVAQAA&#10;CwAAAAAAAAAAAAAAAAAfAQAAX3JlbHMvLnJlbHNQSwECLQAUAAYACAAAACEAn76dgMYAAADcAAAA&#10;DwAAAAAAAAAAAAAAAAAHAgAAZHJzL2Rvd25yZXYueG1sUEsFBgAAAAADAAMAtwAAAPoCAAAAAA==&#10;" strokecolor="black [3200]" strokeweight=".5pt">
                  <v:stroke joinstyle="miter"/>
                </v:line>
                <v:line id="Прямая соединительная линия 228" o:spid="_x0000_s1118" style="position:absolute;visibility:visible;mso-wrap-style:square" from="34975,13639" to="34975,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QnywwAAANwAAAAPAAAAZHJzL2Rvd25yZXYueG1sRE9da8Iw&#10;FH0X/A/hCnuRNV0F0a5RRDYYOHTWsOdLc9cWm5vSZNr9++VhsMfD+S62o+3EjQbfOlbwlKQgiCtn&#10;Wq4V6Mvr4wqED8gGO8ek4Ic8bDfTSYG5cXc+060MtYgh7HNU0ITQ51L6qiGLPnE9ceS+3GAxRDjU&#10;0gx4j+G2k1maLqXFlmNDgz3tG6qu5bdVcNDrz/nitNLaXsojfuj25fS+V+phNu6eQQQaw7/4z/1m&#10;FGRZXBvPxCMgN78AAAD//wMAUEsBAi0AFAAGAAgAAAAhANvh9svuAAAAhQEAABMAAAAAAAAAAAAA&#10;AAAAAAAAAFtDb250ZW50X1R5cGVzXS54bWxQSwECLQAUAAYACAAAACEAWvQsW78AAAAVAQAACwAA&#10;AAAAAAAAAAAAAAAfAQAAX3JlbHMvLnJlbHNQSwECLQAUAAYACAAAACEA7iEJ8sMAAADcAAAADwAA&#10;AAAAAAAAAAAAAAAHAgAAZHJzL2Rvd25yZXYueG1sUEsFBgAAAAADAAMAtwAAAPcCAAAAAA==&#10;" strokecolor="black [3200]" strokeweight=".5pt">
                  <v:stroke joinstyle="miter"/>
                </v:line>
                <v:line id="Прямая соединительная линия 229" o:spid="_x0000_s1119" style="position:absolute;visibility:visible;mso-wrap-style:square" from="50368,13639" to="50368,14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axpxgAAANwAAAAPAAAAZHJzL2Rvd25yZXYueG1sRI9Ba8JA&#10;FITvgv9heUIvUjemIDG6ikgLhRZt4+L5kX1NQrNvQ3ar6b/vCkKPw8x8w6y3g23FhXrfOFYwnyUg&#10;iEtnGq4U6NPLYwbCB2SDrWNS8EsetpvxaI25cVf+pEsRKhEh7HNUUIfQ5VL6siaLfuY64uh9ud5i&#10;iLKvpOnxGuG2lWmSLKTFhuNCjR3tayq/ix+r4E0vz9OnY6a1PRUH/NDN8/F9r9TDZNitQAQawn/4&#10;3n41CtJ0Cbcz8QjIzR8AAAD//wMAUEsBAi0AFAAGAAgAAAAhANvh9svuAAAAhQEAABMAAAAAAAAA&#10;AAAAAAAAAAAAAFtDb250ZW50X1R5cGVzXS54bWxQSwECLQAUAAYACAAAACEAWvQsW78AAAAVAQAA&#10;CwAAAAAAAAAAAAAAAAAfAQAAX3JlbHMvLnJlbHNQSwECLQAUAAYACAAAACEAgW2sacYAAADcAAAA&#10;DwAAAAAAAAAAAAAAAAAHAgAAZHJzL2Rvd25yZXYueG1sUEsFBgAAAAADAAMAtwAAAPoCAAAAAA==&#10;" strokecolor="black [3200]" strokeweight=".5pt">
                  <v:stroke joinstyle="miter"/>
                </v:line>
                <v:line id="Прямая соединительная линия 230" o:spid="_x0000_s1120" style="position:absolute;visibility:visible;mso-wrap-style:square" from="20269,13639" to="20269,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pMpwwAAANwAAAAPAAAAZHJzL2Rvd25yZXYueG1sRE9da8Iw&#10;FH0f+B/CFXwZmqowtDYVkQ0GG1Nr8PnS3LVlzU1ponb/fnkY+Hg439l2sK24Ue8bxwrmswQEcelM&#10;w5UCfX6brkD4gGywdUwKfsnDNh89ZZgad+cT3YpQiRjCPkUFdQhdKqUva7LoZ64jjty36y2GCPtK&#10;mh7vMdy2cpEkL9Jiw7Ghxo72NZU/xdUq+NDry/PysNLanosvPOrm9fC5V2oyHnYbEIGG8BD/u9+N&#10;gsUyzo9n4hGQ+R8AAAD//wMAUEsBAi0AFAAGAAgAAAAhANvh9svuAAAAhQEAABMAAAAAAAAAAAAA&#10;AAAAAAAAAFtDb250ZW50X1R5cGVzXS54bWxQSwECLQAUAAYACAAAACEAWvQsW78AAAAVAQAACwAA&#10;AAAAAAAAAAAAAAAfAQAAX3JlbHMvLnJlbHNQSwECLQAUAAYACAAAACEAlY6TKcMAAADcAAAADwAA&#10;AAAAAAAAAAAAAAAHAgAAZHJzL2Rvd25yZXYueG1sUEsFBgAAAAADAAMAtwAAAPcCAAAAAA==&#10;" strokecolor="black [3200]" strokeweight=".5pt">
                  <v:stroke joinstyle="miter"/>
                </v:line>
                <v:shape id="Прямая со стрелкой 231" o:spid="_x0000_s1121" type="#_x0000_t32" style="position:absolute;left:27813;top:14782;width:0;height:18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YAQxQAAANwAAAAPAAAAZHJzL2Rvd25yZXYueG1sRI9Ba8JA&#10;FITvBf/D8oTe6iaWSo3ZBE0p2N6q4vmRfSbB7NuYXZP033cLhR6HmfmGSfPJtGKg3jWWFcSLCARx&#10;aXXDlYLT8f3pFYTzyBpby6Tgmxzk2ewhxUTbkb9oOPhKBAi7BBXU3neJlK6syaBb2I44eBfbG/RB&#10;9pXUPY4Bblq5jKKVNNhwWKixo6Km8nq4GwUj+vN6t61uxe7tYz+9tLfV8fSp1ON82m5AeJr8f/iv&#10;vdcKls8x/J4JR0BmPwAAAP//AwBQSwECLQAUAAYACAAAACEA2+H2y+4AAACFAQAAEwAAAAAAAAAA&#10;AAAAAAAAAAAAW0NvbnRlbnRfVHlwZXNdLnhtbFBLAQItABQABgAIAAAAIQBa9CxbvwAAABUBAAAL&#10;AAAAAAAAAAAAAAAAAB8BAABfcmVscy8ucmVsc1BLAQItABQABgAIAAAAIQAhRYAQxQAAANwAAAAP&#10;AAAAAAAAAAAAAAAAAAcCAABkcnMvZG93bnJldi54bWxQSwUGAAAAAAMAAwC3AAAA+QIAAAAA&#10;" strokecolor="black [3200]" strokeweight=".5pt">
                  <v:stroke endarrow="block" joinstyle="miter"/>
                </v:shape>
                <v:line id="Прямая соединительная линия 232" o:spid="_x0000_s1122" style="position:absolute;visibility:visible;mso-wrap-style:square" from="6172,26822" to="50368,26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jFxQAAANwAAAAPAAAAZHJzL2Rvd25yZXYueG1sRI9Ba8JA&#10;FITvBf/D8oReim6MIDZ1FRELQku1cfH8yL4mwezbkF01/ffdguBxmJlvmMWqt424Uudrxwom4wQE&#10;ceFMzaUCfXwfzUH4gGywcUwKfsnDajl4WmBm3I2/6ZqHUkQI+wwVVCG0mZS+qMiiH7uWOHo/rrMY&#10;ouxKaTq8RbhtZJokM2mx5rhQYUubiopzfrEKPvTr6WW6n2ttj/kXHnS93X9ulHoe9us3EIH68Ajf&#10;2zujIJ2m8H8mHgG5/AMAAP//AwBQSwECLQAUAAYACAAAACEA2+H2y+4AAACFAQAAEwAAAAAAAAAA&#10;AAAAAAAAAAAAW0NvbnRlbnRfVHlwZXNdLnhtbFBLAQItABQABgAIAAAAIQBa9CxbvwAAABUBAAAL&#10;AAAAAAAAAAAAAAAAAB8BAABfcmVscy8ucmVsc1BLAQItABQABgAIAAAAIQAKEKjFxQAAANwAAAAP&#10;AAAAAAAAAAAAAAAAAAcCAABkcnMvZG93bnJldi54bWxQSwUGAAAAAAMAAwC3AAAA+QIAAAAA&#10;" strokecolor="black [3200]" strokeweight=".5pt">
                  <v:stroke joinstyle="miter"/>
                </v:line>
                <v:line id="Прямая соединительная линия 233" o:spid="_x0000_s1123" style="position:absolute;visibility:visible;mso-wrap-style:square" from="35052,25679" to="35052,26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1exgAAANwAAAAPAAAAZHJzL2Rvd25yZXYueG1sRI9Ba8JA&#10;FITvBf/D8oReim40UNLUVUQsFCzVxsXzI/uaBLNvQ3ar8d93CwWPw8x8wyxWg23FhXrfOFYwmyYg&#10;iEtnGq4U6OPbJAPhA7LB1jEpuJGH1XL0sMDcuCt/0aUIlYgQ9jkqqEPocil9WZNFP3UdcfS+XW8x&#10;RNlX0vR4jXDbynmSPEuLDceFGjva1FSeix+rYKdfTk/pPtPaHotPPOhmu//YKPU4HtavIAIN4R7+&#10;b78bBfM0hb8z8QjI5S8AAAD//wMAUEsBAi0AFAAGAAgAAAAhANvh9svuAAAAhQEAABMAAAAAAAAA&#10;AAAAAAAAAAAAAFtDb250ZW50X1R5cGVzXS54bWxQSwECLQAUAAYACAAAACEAWvQsW78AAAAVAQAA&#10;CwAAAAAAAAAAAAAAAAAfAQAAX3JlbHMvLnJlbHNQSwECLQAUAAYACAAAACEAZVwNXsYAAADcAAAA&#10;DwAAAAAAAAAAAAAAAAAHAgAAZHJzL2Rvd25yZXYueG1sUEsFBgAAAAADAAMAtwAAAPoCAAAAAA==&#10;" strokecolor="black [3200]" strokeweight=".5pt">
                  <v:stroke joinstyle="miter"/>
                </v:line>
                <v:line id="Прямая соединительная линия 234" o:spid="_x0000_s1124" style="position:absolute;visibility:visible;mso-wrap-style:square" from="20345,25679" to="20345,26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ZUqxgAAANwAAAAPAAAAZHJzL2Rvd25yZXYueG1sRI/dasJA&#10;FITvC77DcoTeFN1UpWh0lSItFCr+xMXrQ/aYBLNnQ3ar6dt3BaGXw8x8wyxWna3FlVpfOVbwOkxA&#10;EOfOVFwo0MfPwRSED8gGa8ek4Jc8rJa9pwWmxt34QNcsFCJC2KeooAyhSaX0eUkW/dA1xNE7u9Zi&#10;iLItpGnxFuG2lqMkeZMWK44LJTa0Lim/ZD9WwbeenV7Gu6nW9phtca+rj91mrdRzv3ufgwjUhf/w&#10;o/1lFIzGE7ifiUdALv8AAAD//wMAUEsBAi0AFAAGAAgAAAAhANvh9svuAAAAhQEAABMAAAAAAAAA&#10;AAAAAAAAAAAAAFtDb250ZW50X1R5cGVzXS54bWxQSwECLQAUAAYACAAAACEAWvQsW78AAAAVAQAA&#10;CwAAAAAAAAAAAAAAAAAfAQAAX3JlbHMvLnJlbHNQSwECLQAUAAYACAAAACEA6rWVKsYAAADcAAAA&#10;DwAAAAAAAAAAAAAAAAAHAgAAZHJzL2Rvd25yZXYueG1sUEsFBgAAAAADAAMAtwAAAPoCAAAAAA==&#10;" strokecolor="black [3200]" strokeweight=".5pt">
                  <v:stroke joinstyle="miter"/>
                </v:line>
                <v:shape id="Прямая со стрелкой 235" o:spid="_x0000_s1125" type="#_x0000_t32" style="position:absolute;left:27813;top:26898;width:0;height:18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oYTxAAAANwAAAAPAAAAZHJzL2Rvd25yZXYueG1sRI9Ba8JA&#10;FITvBf/D8oTe6kaLUlNX0Yhge2sinh/Z1ySYfRuzaxL/fVcQehxm5htmtRlMLTpqXWVZwXQSgSDO&#10;ra64UHDKDm8fIJxH1lhbJgV3crBZj15WGGvb8w91qS9EgLCLUUHpfRNL6fKSDLqJbYiD92tbgz7I&#10;tpC6xT7ATS1nUbSQBisOCyU2lJSUX9KbUdCjPy932+Ka7PZfx2FeXxfZ6Vup1/Gw/QThafD/4Wf7&#10;qBXM3ufwOBOOgFz/AQAA//8DAFBLAQItABQABgAIAAAAIQDb4fbL7gAAAIUBAAATAAAAAAAAAAAA&#10;AAAAAAAAAABbQ29udGVudF9UeXBlc10ueG1sUEsBAi0AFAAGAAgAAAAhAFr0LFu/AAAAFQEAAAsA&#10;AAAAAAAAAAAAAAAAHwEAAF9yZWxzLy5yZWxzUEsBAi0AFAAGAAgAAAAhAF5+hhPEAAAA3AAAAA8A&#10;AAAAAAAAAAAAAAAABwIAAGRycy9kb3ducmV2LnhtbFBLBQYAAAAAAwADALcAAAD4AgAAAAA=&#10;" strokecolor="black [3200]" strokeweight=".5pt">
                  <v:stroke endarrow="block" joinstyle="miter"/>
                </v:shape>
                <v:line id="Прямая соединительная линия 236" o:spid="_x0000_s1126" style="position:absolute;flip:y;visibility:visible;mso-wrap-style:square" from="6172,25679" to="6172,26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RHGwQAAANwAAAAPAAAAZHJzL2Rvd25yZXYueG1sRI/RisIw&#10;FETfhf2HcBd8s6nKFqmmRQTFJ5dVP+DS3E3LNjelibX+vRGEfRxm5gyzKUfbioF63zhWME9SEMSV&#10;0w0bBdfLfrYC4QOyxtYxKXiQh7L4mGww1+7OPzScgxERwj5HBXUIXS6lr2qy6BPXEUfv1/UWQ5S9&#10;kbrHe4TbVi7SNJMWG44LNXa0q6n6O9+sAm1OJLfODF9zk133lfnG02FQavo5btcgAo3hP/xuH7WC&#10;xTKD15l4BGTxBAAA//8DAFBLAQItABQABgAIAAAAIQDb4fbL7gAAAIUBAAATAAAAAAAAAAAAAAAA&#10;AAAAAABbQ29udGVudF9UeXBlc10ueG1sUEsBAi0AFAAGAAgAAAAhAFr0LFu/AAAAFQEAAAsAAAAA&#10;AAAAAAAAAAAAHwEAAF9yZWxzLy5yZWxzUEsBAi0AFAAGAAgAAAAhAKglEcbBAAAA3AAAAA8AAAAA&#10;AAAAAAAAAAAABwIAAGRycy9kb3ducmV2LnhtbFBLBQYAAAAAAwADALcAAAD1AgAAAAA=&#10;" strokecolor="black [3200]" strokeweight=".5pt">
                  <v:stroke joinstyle="miter"/>
                </v:line>
                <v:line id="Прямая соединительная линия 237" o:spid="_x0000_s1127" style="position:absolute;visibility:visible;mso-wrap-style:square" from="50368,25603" to="50368,26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wtdxgAAANwAAAAPAAAAZHJzL2Rvd25yZXYueG1sRI/dasJA&#10;FITvC77DcoTeFN1UwWp0lSItFCr+xMXrQ/aYBLNnQ3ar6dt3BaGXw8x8wyxWna3FlVpfOVbwOkxA&#10;EOfOVFwo0MfPwRSED8gGa8ek4Jc8rJa9pwWmxt34QNcsFCJC2KeooAyhSaX0eUkW/dA1xNE7u9Zi&#10;iLItpGnxFuG2lqMkmUiLFceFEhtal5Rfsh+r4FvPTi/j3VRre8y2uNfVx26zVuq5373PQQTqwn/4&#10;0f4yCkbjN7ifiUdALv8AAAD//wMAUEsBAi0AFAAGAAgAAAAhANvh9svuAAAAhQEAABMAAAAAAAAA&#10;AAAAAAAAAAAAAFtDb250ZW50X1R5cGVzXS54bWxQSwECLQAUAAYACAAAACEAWvQsW78AAAAVAQAA&#10;CwAAAAAAAAAAAAAAAAAfAQAAX3JlbHMvLnJlbHNQSwECLQAUAAYACAAAACEAGmcLXcYAAADcAAAA&#10;DwAAAAAAAAAAAAAAAAAHAgAAZHJzL2Rvd25yZXYueG1sUEsFBgAAAAADAAMAtwAAAPoCAAAAAA==&#10;" strokecolor="black [3200]" strokeweight=".5pt">
                  <v:stroke joinstyle="miter"/>
                </v:line>
                <v:shape id="Прямая со стрелкой 238" o:spid="_x0000_s1128" type="#_x0000_t32" style="position:absolute;left:27813;top:35280;width:0;height:18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ymNwgAAANwAAAAPAAAAZHJzL2Rvd25yZXYueG1sRE9Nb4JA&#10;EL2b+B82Y9KbLrWpadGFgKYJ9VY1PU/YEUjZWWRXoP++e2ji8eV979LJtGKg3jWWFTyvIhDEpdUN&#10;Vwou54/lGwjnkTW2lknBLzlIk/lsh7G2I3/RcPKVCCHsYlRQe9/FUrqyJoNuZTviwF1tb9AH2FdS&#10;9ziGcNPKdRRtpMGGQ0ONHe1rKn9Od6NgRP/9nmfVbZ8fPovptb1tzpejUk+LKduC8DT5h/jfXWgF&#10;65ewNpwJR0AmfwAAAP//AwBQSwECLQAUAAYACAAAACEA2+H2y+4AAACFAQAAEwAAAAAAAAAAAAAA&#10;AAAAAAAAW0NvbnRlbnRfVHlwZXNdLnhtbFBLAQItABQABgAIAAAAIQBa9CxbvwAAABUBAAALAAAA&#10;AAAAAAAAAAAAAB8BAABfcmVscy8ucmVsc1BLAQItABQABgAIAAAAIQCwfymNwgAAANwAAAAPAAAA&#10;AAAAAAAAAAAAAAcCAABkcnMvZG93bnJldi54bWxQSwUGAAAAAAMAAwC3AAAA9gIAAAAA&#10;" strokecolor="black [3200]" strokeweight=".5pt">
                  <v:stroke endarrow="block" joinstyle="miter"/>
                </v:shape>
                <v:shape id="Прямая со стрелкой 239" o:spid="_x0000_s1129" type="#_x0000_t32" style="position:absolute;left:27813;top:40919;width:0;height:21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4wWxQAAANwAAAAPAAAAZHJzL2Rvd25yZXYueG1sRI9Pa8JA&#10;FMTvBb/D8oTe6kZLxaSu4h+E2Fs1eH5kX5Ng9m2SXU389l2h0OMwM79hluvB1OJOnassK5hOIhDE&#10;udUVFwqy8+FtAcJ5ZI21ZVLwIAfr1ehliYm2PX/T/eQLESDsElRQet8kUrq8JINuYhvi4P3YzqAP&#10;siuk7rAPcFPLWRTNpcGKw0KJDe1Kyq+nm1HQo7/E203R7rb7Yzp81O38nH0p9ToeNp8gPA3+P/zX&#10;TrWC2XsMzzPhCMjVLwAAAP//AwBQSwECLQAUAAYACAAAACEA2+H2y+4AAACFAQAAEwAAAAAAAAAA&#10;AAAAAAAAAAAAW0NvbnRlbnRfVHlwZXNdLnhtbFBLAQItABQABgAIAAAAIQBa9CxbvwAAABUBAAAL&#10;AAAAAAAAAAAAAAAAAB8BAABfcmVscy8ucmVsc1BLAQItABQABgAIAAAAIQDfM4wWxQAAANwAAAAP&#10;AAAAAAAAAAAAAAAAAAcCAABkcnMvZG93bnJldi54bWxQSwUGAAAAAAMAAwC3AAAA+QIAAAAA&#10;" strokecolor="black [3200]" strokeweight=".5pt">
                  <v:stroke endarrow="block" joinstyle="miter"/>
                </v:shape>
                <v:line id="Прямая соединительная линия 240" o:spid="_x0000_s1130" style="position:absolute;flip:y;visibility:visible;mso-wrap-style:square" from="8229,51587" to="47309,5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l9UuwAAANwAAAAPAAAAZHJzL2Rvd25yZXYueG1sRE9LCsIw&#10;EN0L3iGM4M6miopUo4iguFL8HGBoxrTYTEoTa729WQguH++/2nS2Ei01vnSsYJykIIhzp0s2Cu63&#10;/WgBwgdkjZVjUvAhD5t1v7fCTLs3X6i9BiNiCPsMFRQh1JmUPi/Iok9cTRy5h2sshggbI3WD7xhu&#10;KzlJ07m0WHJsKLCmXUH58/qyCrQ5kdw6087GZn7f5+aMp0Or1HDQbZcgAnXhL/65j1rBZBrnxzPx&#10;CMj1FwAA//8DAFBLAQItABQABgAIAAAAIQDb4fbL7gAAAIUBAAATAAAAAAAAAAAAAAAAAAAAAABb&#10;Q29udGVudF9UeXBlc10ueG1sUEsBAi0AFAAGAAgAAAAhAFr0LFu/AAAAFQEAAAsAAAAAAAAAAAAA&#10;AAAAHwEAAF9yZWxzLy5yZWxzUEsBAi0AFAAGAAgAAAAhABCGX1S7AAAA3AAAAA8AAAAAAAAAAAAA&#10;AAAABwIAAGRycy9kb3ducmV2LnhtbFBLBQYAAAAAAwADALcAAADvAgAAAAA=&#10;" strokecolor="black [3200]" strokeweight=".5pt">
                  <v:stroke joinstyle="miter"/>
                </v:line>
                <v:shape id="Прямая со стрелкой 241" o:spid="_x0000_s1131" type="#_x0000_t32" style="position:absolute;left:27813;top:49606;width:0;height:39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F5sxQAAANwAAAAPAAAAZHJzL2Rvd25yZXYueG1sRI9BS8NA&#10;FITvBf/D8gQvpd00CSqx2yKK1GtTkXp7Zp9JMPs25K1t+u/dQqHHYWa+YZbr0XXqQIO0ng0s5gko&#10;4srblmsDH7u32SMoCcgWO89k4EQC69XNZImF9Ufe0qEMtYoQlgINNCH0hdZSNeRQ5r4njt6PHxyG&#10;KIda2wGPEe46nSbJvXbYclxosKeXhqrf8s8ZyEIu6TbfP0j5VX9P7WuWyefGmLvb8fkJVKAxXMOX&#10;9rs1kOYLOJ+JR0Cv/gEAAP//AwBQSwECLQAUAAYACAAAACEA2+H2y+4AAACFAQAAEwAAAAAAAAAA&#10;AAAAAAAAAAAAW0NvbnRlbnRfVHlwZXNdLnhtbFBLAQItABQABgAIAAAAIQBa9CxbvwAAABUBAAAL&#10;AAAAAAAAAAAAAAAAAB8BAABfcmVscy8ucmVsc1BLAQItABQABgAIAAAAIQBddF5sxQAAANwAAAAP&#10;AAAAAAAAAAAAAAAAAAcCAABkcnMvZG93bnJldi54bWxQSwUGAAAAAAMAAwC3AAAA+QIAAAAA&#10;" strokecolor="black [3200]" strokeweight=".5pt">
                  <v:stroke endarrow="block" joinstyle="miter"/>
                </v:shape>
                <v:shape id="Прямая со стрелкой 242" o:spid="_x0000_s1132" type="#_x0000_t32" style="position:absolute;left:8229;top:51739;width:0;height:18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W0axAAAANwAAAAPAAAAZHJzL2Rvd25yZXYueG1sRI9Pi8Iw&#10;FMTvgt8hvIW9abrFFe0axT8sqDer7PnRPNti81KbaLvf3giCx2FmfsPMFp2pxJ0aV1pW8DWMQBBn&#10;VpecKzgdfwcTEM4ja6wsk4J/crCY93szTLRt+UD31OciQNglqKDwvk6kdFlBBt3Q1sTBO9vGoA+y&#10;yaVusA1wU8k4isbSYMlhocCa1gVll/RmFLTo/6arZX5drza7bfddXcfH016pz49u+QPCU+ff4Vd7&#10;qxXEoxieZ8IRkPMHAAAA//8DAFBLAQItABQABgAIAAAAIQDb4fbL7gAAAIUBAAATAAAAAAAAAAAA&#10;AAAAAAAAAABbQ29udGVudF9UeXBlc10ueG1sUEsBAi0AFAAGAAgAAAAhAFr0LFu/AAAAFQEAAAsA&#10;AAAAAAAAAAAAAAAAHwEAAF9yZWxzLy5yZWxzUEsBAi0AFAAGAAgAAAAhAImRbRrEAAAA3AAAAA8A&#10;AAAAAAAAAAAAAAAABwIAAGRycy9kb3ducmV2LnhtbFBLBQYAAAAAAwADALcAAAD4AgAAAAA=&#10;" strokecolor="black [3200]" strokeweight=".5pt">
                  <v:stroke endarrow="block" joinstyle="miter"/>
                </v:shape>
                <v:shape id="Прямая со стрелкой 243" o:spid="_x0000_s1133" type="#_x0000_t32" style="position:absolute;left:47307;top:51587;width:10;height:2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ciBxQAAANwAAAAPAAAAZHJzL2Rvd25yZXYueG1sRI9Ba8JA&#10;FITvhf6H5Qne6kZbRWM2YlIK2ltVPD+yzySYfRuzq0n/fbdQ6HGYmW+YZDOYRjyoc7VlBdNJBIK4&#10;sLrmUsHp+PGyBOE8ssbGMin4Jgeb9PkpwVjbnr/ocfClCBB2MSqovG9jKV1RkUE3sS1x8C62M+iD&#10;7EqpO+wD3DRyFkULabDmsFBhS3lFxfVwNwp69OdVti1vefa+3w3z5rY4nj6VGo+G7RqEp8H/h//a&#10;O61g9vYKv2fCEZDpDwAAAP//AwBQSwECLQAUAAYACAAAACEA2+H2y+4AAACFAQAAEwAAAAAAAAAA&#10;AAAAAAAAAAAAW0NvbnRlbnRfVHlwZXNdLnhtbFBLAQItABQABgAIAAAAIQBa9CxbvwAAABUBAAAL&#10;AAAAAAAAAAAAAAAAAB8BAABfcmVscy8ucmVsc1BLAQItABQABgAIAAAAIQDm3ciBxQAAANwAAAAP&#10;AAAAAAAAAAAAAAAAAAcCAABkcnMvZG93bnJldi54bWxQSwUGAAAAAAMAAwC3AAAA+QIAAAAA&#10;" strokecolor="black [3200]" strokeweight=".5pt">
                  <v:stroke endarrow="block" joinstyle="miter"/>
                </v:shape>
                <v:line id="Прямая соединительная линия 244" o:spid="_x0000_s1134" style="position:absolute;flip:y;visibility:visible;mso-wrap-style:square" from="8229,61950" to="47309,62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VlXvgAAANwAAAAPAAAAZHJzL2Rvd25yZXYueG1sRI/NCsIw&#10;EITvgu8QVvCmqaIi1SgiKJ4Ufx5gada02GxKE2t9eyMIHoeZ+YZZrltbioZqXzhWMBomIIgzpws2&#10;Cm7X3WAOwgdkjaVjUvAmD+tVt7PEVLsXn6m5BCMihH2KCvIQqlRKn+Vk0Q9dRRy9u6sthihrI3WN&#10;rwi3pRwnyUxaLDgu5FjRNqfscXlaBdocSW6caaYjM7vtMnPC475Rqt9rNwsQgdrwD//aB61gPJnA&#10;90w8AnL1AQAA//8DAFBLAQItABQABgAIAAAAIQDb4fbL7gAAAIUBAAATAAAAAAAAAAAAAAAAAAAA&#10;AABbQ29udGVudF9UeXBlc10ueG1sUEsBAi0AFAAGAAgAAAAhAFr0LFu/AAAAFQEAAAsAAAAAAAAA&#10;AAAAAAAAHwEAAF9yZWxzLy5yZWxzUEsBAi0AFAAGAAgAAAAhAG+9WVe+AAAA3AAAAA8AAAAAAAAA&#10;AAAAAAAABwIAAGRycy9kb3ducmV2LnhtbFBLBQYAAAAAAwADALcAAADyAgAAAAA=&#10;" strokecolor="black [3200]" strokeweight=".5pt">
                  <v:stroke joinstyle="miter"/>
                </v:line>
                <v:line id="Прямая соединительная линия 245" o:spid="_x0000_s1135" style="position:absolute;visibility:visible;mso-wrap-style:square" from="8229,60198" to="8229,62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PMxgAAANwAAAAPAAAAZHJzL2Rvd25yZXYueG1sRI9Ba8JA&#10;FITvBf/D8oReim5qW9HoKkVaEJSqcfH8yD6T0OzbkN1q/PduodDjMDPfMPNlZ2txodZXjhU8DxMQ&#10;xLkzFRcK9PFzMAHhA7LB2jEpuJGH5aL3MMfUuCsf6JKFQkQI+xQVlCE0qZQ+L8miH7qGOHpn11oM&#10;UbaFNC1eI9zWcpQkY2mx4rhQYkOrkvLv7Mcq2Ojp6ellN9HaHrMv3OvqY7ddKfXY795nIAJ14T/8&#10;114bBaPXN/g9E4+AXNwBAAD//wMAUEsBAi0AFAAGAAgAAAAhANvh9svuAAAAhQEAABMAAAAAAAAA&#10;AAAAAAAAAAAAAFtDb250ZW50X1R5cGVzXS54bWxQSwECLQAUAAYACAAAACEAWvQsW78AAAAVAQAA&#10;CwAAAAAAAAAAAAAAAAAfAQAAX3JlbHMvLnJlbHNQSwECLQAUAAYACAAAACEA3f9DzMYAAADcAAAA&#10;DwAAAAAAAAAAAAAAAAAHAgAAZHJzL2Rvd25yZXYueG1sUEsFBgAAAAADAAMAtwAAAPoCAAAAAA==&#10;" strokecolor="black [3200]" strokeweight=".5pt">
                  <v:stroke joinstyle="miter"/>
                </v:line>
                <v:line id="Прямая соединительная линия 246" o:spid="_x0000_s1136" style="position:absolute;visibility:visible;mso-wrap-style:square" from="47320,60198" to="47322,62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d27xQAAANwAAAAPAAAAZHJzL2Rvd25yZXYueG1sRI9Ba8JA&#10;FITvhf6H5RV6KXWjFtHUVUQUBIvauHh+ZF+TYPZtyG41/nu3UPA4zMw3zHTe2VpcqPWVYwX9XgKC&#10;OHem4kKBPq7fxyB8QDZYOyYFN/Iwnz0/TTE17srfdMlCISKEfYoKyhCaVEqfl2TR91xDHL0f11oM&#10;UbaFNC1eI9zWcpAkI2mx4rhQYkPLkvJz9msVbPXk9Dbcj7W2x2yHB12t9l9LpV5fusUniEBdeIT/&#10;2xujYPAxgr8z8QjI2R0AAP//AwBQSwECLQAUAAYACAAAACEA2+H2y+4AAACFAQAAEwAAAAAAAAAA&#10;AAAAAAAAAAAAW0NvbnRlbnRfVHlwZXNdLnhtbFBLAQItABQABgAIAAAAIQBa9CxbvwAAABUBAAAL&#10;AAAAAAAAAAAAAAAAAB8BAABfcmVscy8ucmVsc1BLAQItABQABgAIAAAAIQAtLd27xQAAANwAAAAP&#10;AAAAAAAAAAAAAAAAAAcCAABkcnMvZG93bnJldi54bWxQSwUGAAAAAAMAAwC3AAAA+QIAAAAA&#10;" strokecolor="black [3200]" strokeweight=".5pt">
                  <v:stroke joinstyle="miter"/>
                </v:line>
                <v:shape id="Прямая со стрелкой 247" o:spid="_x0000_s1137" type="#_x0000_t32" style="position:absolute;left:26898;top:60198;width:22;height:34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s6CxQAAANwAAAAPAAAAZHJzL2Rvd25yZXYueG1sRI9Ba8JA&#10;FITvhf6H5RW8NZuK2hpdRVME600jnh/ZZxKafRuz2yT+e7dQ6HGYmW+Y5XowteiodZVlBW9RDII4&#10;t7riQsE5271+gHAeWWNtmRTcycF69fy0xETbno/UnXwhAoRdggpK75tESpeXZNBFtiEO3tW2Bn2Q&#10;bSF1i32Am1qO43gmDVYcFkpsKC0p/z79GAU9+st8uylu6fbzaz9M69ssOx+UGr0MmwUIT4P/D/+1&#10;91rBePIOv2fCEZCrBwAAAP//AwBQSwECLQAUAAYACAAAACEA2+H2y+4AAACFAQAAEwAAAAAAAAAA&#10;AAAAAAAAAAAAW0NvbnRlbnRfVHlwZXNdLnhtbFBLAQItABQABgAIAAAAIQBa9CxbvwAAABUBAAAL&#10;AAAAAAAAAAAAAAAAAB8BAABfcmVscy8ucmVsc1BLAQItABQABgAIAAAAIQCZ5s6CxQAAANwAAAAP&#10;AAAAAAAAAAAAAAAAAAcCAABkcnMvZG93bnJldi54bWxQSwUGAAAAAAMAAwC3AAAA+QIAAAAA&#10;" strokecolor="black [3200]" strokeweight=".5pt">
                  <v:stroke endarrow="block" joinstyle="miter"/>
                </v:shape>
                <v:shape id="Прямая со стрелкой 248" o:spid="_x0000_s1138" type="#_x0000_t32" style="position:absolute;left:26920;top:70197;width:22;height:23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VrwwgAAANwAAAAPAAAAZHJzL2Rvd25yZXYueG1sRE9Nb4JA&#10;EL2b+B82Y9KbLjWtadGFgKYJ9VY1PU/YEUjZWWRXoP++e2ji8eV979LJtGKg3jWWFTyvIhDEpdUN&#10;Vwou54/lGwjnkTW2lknBLzlIk/lsh7G2I3/RcPKVCCHsYlRQe9/FUrqyJoNuZTviwF1tb9AH2FdS&#10;9ziGcNPKdRRtpMGGQ0ONHe1rKn9Od6NgRP/9nmfVbZ8fPovptb1tzpejUk+LKduC8DT5h/jfXWgF&#10;65ewNpwJR0AmfwAAAP//AwBQSwECLQAUAAYACAAAACEA2+H2y+4AAACFAQAAEwAAAAAAAAAAAAAA&#10;AAAAAAAAW0NvbnRlbnRfVHlwZXNdLnhtbFBLAQItABQABgAIAAAAIQBa9CxbvwAAABUBAAALAAAA&#10;AAAAAAAAAAAAAB8BAABfcmVscy8ucmVsc1BLAQItABQABgAIAAAAIQDoeVrwwgAAANwAAAAPAAAA&#10;AAAAAAAAAAAAAAcCAABkcnMvZG93bnJldi54bWxQSwUGAAAAAAMAAwC3AAAA9gIAAAAA&#10;" strokecolor="black [3200]" strokeweight=".5pt">
                  <v:stroke endarrow="block" joinstyle="miter"/>
                </v:shape>
                <v:shape id="Прямая со стрелкой 249" o:spid="_x0000_s1139" type="#_x0000_t32" style="position:absolute;left:16306;top:56464;width:31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f9rxQAAANwAAAAPAAAAZHJzL2Rvd25yZXYueG1sRI9Pa8JA&#10;FMTvBb/D8oTe6kZpxaSu4h+E2Fs1eH5kX5Ng9m2SXU389l2h0OMwM79hluvB1OJOnassK5hOIhDE&#10;udUVFwqy8+FtAcJ5ZI21ZVLwIAfr1ehliYm2PX/T/eQLESDsElRQet8kUrq8JINuYhvi4P3YzqAP&#10;siuk7rAPcFPLWRTNpcGKw0KJDe1Kyq+nm1HQo7/E203R7rb7Yzp81O38nH0p9ToeNp8gPA3+P/zX&#10;TrWC2XsMzzPhCMjVLwAAAP//AwBQSwECLQAUAAYACAAAACEA2+H2y+4AAACFAQAAEwAAAAAAAAAA&#10;AAAAAAAAAAAAW0NvbnRlbnRfVHlwZXNdLnhtbFBLAQItABQABgAIAAAAIQBa9CxbvwAAABUBAAAL&#10;AAAAAAAAAAAAAAAAAB8BAABfcmVscy8ucmVsc1BLAQItABQABgAIAAAAIQCHNf9rxQAAANwAAAAP&#10;AAAAAAAAAAAAAAAAAAcCAABkcnMvZG93bnJldi54bWxQSwUGAAAAAAMAAwC3AAAA+QIAAAAA&#10;" strokecolor="black [3200]" strokeweight=".5pt">
                  <v:stroke endarrow="block" joinstyle="miter"/>
                </v:shape>
                <v:shape id="Прямая со стрелкой 250" o:spid="_x0000_s1140" type="#_x0000_t32" style="position:absolute;left:34442;top:56540;width:37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sArvQAAANwAAAAPAAAAZHJzL2Rvd25yZXYueG1sRE/JCsIw&#10;EL0L/kMYwZumCopWo7ggqDcXPA/N2BabSW2irX9vDoLHx9vny8YU4k2Vyy0rGPQjEMSJ1TmnCq6X&#10;XW8CwnlkjYVlUvAhB8tFuzXHWNuaT/Q++1SEEHYxKsi8L2MpXZKRQde3JXHg7rYy6AOsUqkrrEO4&#10;KeQwisbSYM6hIcOSNhklj/PLKKjR36brVfrcrLeHfTMqnuPL9ahUt9OsZiA8Nf4v/rn3WsFwFOaH&#10;M+EIyMUXAAD//wMAUEsBAi0AFAAGAAgAAAAhANvh9svuAAAAhQEAABMAAAAAAAAAAAAAAAAAAAAA&#10;AFtDb250ZW50X1R5cGVzXS54bWxQSwECLQAUAAYACAAAACEAWvQsW78AAAAVAQAACwAAAAAAAAAA&#10;AAAAAAAfAQAAX3JlbHMvLnJlbHNQSwECLQAUAAYACAAAACEAk9bAK70AAADcAAAADwAAAAAAAAAA&#10;AAAAAAAHAgAAZHJzL2Rvd25yZXYueG1sUEsFBgAAAAADAAMAtwAAAPECAAAAAA==&#10;" strokecolor="black [3200]" strokeweight=".5pt">
                  <v:stroke endarrow="block" joinstyle="miter"/>
                </v:shape>
                <w10:anchorlock/>
              </v:group>
            </w:pict>
          </mc:Fallback>
        </mc:AlternateContent>
      </w:r>
    </w:p>
    <w:p w14:paraId="19DD3D1F" w14:textId="77777777" w:rsidR="007D4704" w:rsidRDefault="007D4704" w:rsidP="007D4704">
      <w:pPr>
        <w:spacing w:after="0" w:line="240" w:lineRule="auto"/>
        <w:jc w:val="center"/>
        <w:rPr>
          <w:rFonts w:ascii="Times New Roman" w:hAnsi="Times New Roman" w:cs="Times New Roman"/>
          <w:sz w:val="28"/>
          <w:szCs w:val="28"/>
        </w:rPr>
      </w:pPr>
    </w:p>
    <w:p w14:paraId="5E4A91E4" w14:textId="458FD64B" w:rsidR="002F33D0" w:rsidRDefault="002F33D0" w:rsidP="007D4704">
      <w:pPr>
        <w:spacing w:after="0" w:line="240" w:lineRule="auto"/>
        <w:jc w:val="center"/>
        <w:rPr>
          <w:rFonts w:ascii="Times New Roman" w:hAnsi="Times New Roman" w:cs="Times New Roman"/>
          <w:sz w:val="28"/>
          <w:szCs w:val="28"/>
        </w:rPr>
      </w:pPr>
      <w:r w:rsidRPr="002F33D0">
        <w:rPr>
          <w:rFonts w:ascii="Times New Roman" w:hAnsi="Times New Roman" w:cs="Times New Roman"/>
          <w:sz w:val="28"/>
          <w:szCs w:val="28"/>
        </w:rPr>
        <w:t>Рис</w:t>
      </w:r>
      <w:r w:rsidRPr="002F33D0">
        <w:rPr>
          <w:rFonts w:ascii="Times New Roman" w:hAnsi="Times New Roman" w:cs="Times New Roman"/>
          <w:sz w:val="28"/>
          <w:szCs w:val="28"/>
          <w:lang w:val="kk-KZ"/>
        </w:rPr>
        <w:t>унок</w:t>
      </w:r>
      <w:r w:rsidR="004B60DD">
        <w:rPr>
          <w:rFonts w:ascii="Times New Roman" w:hAnsi="Times New Roman" w:cs="Times New Roman"/>
          <w:sz w:val="28"/>
          <w:szCs w:val="28"/>
        </w:rPr>
        <w:t xml:space="preserve"> </w:t>
      </w:r>
      <w:r w:rsidR="00FD618C">
        <w:rPr>
          <w:rFonts w:ascii="Times New Roman" w:hAnsi="Times New Roman" w:cs="Times New Roman"/>
          <w:sz w:val="28"/>
          <w:szCs w:val="28"/>
          <w:lang w:val="kk-KZ"/>
        </w:rPr>
        <w:t>7</w:t>
      </w:r>
      <w:r w:rsidRPr="002F33D0">
        <w:rPr>
          <w:rFonts w:ascii="Times New Roman" w:hAnsi="Times New Roman" w:cs="Times New Roman"/>
          <w:sz w:val="28"/>
          <w:szCs w:val="28"/>
        </w:rPr>
        <w:t xml:space="preserve"> – Концептуальная модель инструмента оценки инновационного потенциала предпринимательских структур</w:t>
      </w:r>
    </w:p>
    <w:p w14:paraId="41A7A8EB" w14:textId="77777777" w:rsidR="00FD618C" w:rsidRDefault="00FD618C" w:rsidP="004B60DD">
      <w:pPr>
        <w:spacing w:after="0" w:line="240" w:lineRule="auto"/>
        <w:rPr>
          <w:rFonts w:ascii="Times New Roman" w:hAnsi="Times New Roman" w:cs="Times New Roman"/>
          <w:sz w:val="24"/>
          <w:szCs w:val="24"/>
        </w:rPr>
      </w:pPr>
    </w:p>
    <w:p w14:paraId="2E61FD9E" w14:textId="50AC7452" w:rsidR="004B60DD" w:rsidRPr="004B60DD" w:rsidRDefault="004B60DD" w:rsidP="00FD618C">
      <w:pPr>
        <w:spacing w:after="0" w:line="240" w:lineRule="auto"/>
        <w:ind w:firstLine="567"/>
        <w:rPr>
          <w:rFonts w:ascii="Times New Roman" w:hAnsi="Times New Roman" w:cs="Times New Roman"/>
          <w:sz w:val="24"/>
          <w:szCs w:val="24"/>
          <w:lang w:val="kk-KZ"/>
        </w:rPr>
      </w:pPr>
      <w:r w:rsidRPr="004B60DD">
        <w:rPr>
          <w:rFonts w:ascii="Times New Roman" w:hAnsi="Times New Roman" w:cs="Times New Roman"/>
          <w:sz w:val="24"/>
          <w:szCs w:val="24"/>
          <w:lang w:val="kk-KZ"/>
        </w:rPr>
        <w:t xml:space="preserve">Примечание – </w:t>
      </w:r>
      <w:r w:rsidR="000F3C80">
        <w:rPr>
          <w:rFonts w:ascii="Times New Roman" w:hAnsi="Times New Roman" w:cs="Times New Roman"/>
          <w:sz w:val="24"/>
          <w:szCs w:val="24"/>
          <w:lang w:val="kk-KZ"/>
        </w:rPr>
        <w:t>С</w:t>
      </w:r>
      <w:r w:rsidRPr="004B60DD">
        <w:rPr>
          <w:rFonts w:ascii="Times New Roman" w:hAnsi="Times New Roman" w:cs="Times New Roman"/>
          <w:sz w:val="24"/>
          <w:szCs w:val="24"/>
          <w:lang w:val="kk-KZ"/>
        </w:rPr>
        <w:t>оставлено автором</w:t>
      </w:r>
    </w:p>
    <w:p w14:paraId="3AD61A02" w14:textId="77777777" w:rsidR="002F33D0" w:rsidRPr="002F33D0" w:rsidRDefault="002F33D0" w:rsidP="002F33D0">
      <w:pPr>
        <w:spacing w:after="0" w:line="240" w:lineRule="auto"/>
        <w:ind w:firstLine="567"/>
        <w:jc w:val="both"/>
        <w:rPr>
          <w:rFonts w:ascii="Times New Roman" w:hAnsi="Times New Roman" w:cs="Times New Roman"/>
          <w:b/>
          <w:sz w:val="28"/>
          <w:szCs w:val="28"/>
        </w:rPr>
      </w:pPr>
      <w:r w:rsidRPr="002F33D0">
        <w:rPr>
          <w:rFonts w:ascii="Times New Roman" w:hAnsi="Times New Roman" w:cs="Times New Roman"/>
          <w:b/>
          <w:sz w:val="28"/>
          <w:szCs w:val="28"/>
        </w:rPr>
        <w:lastRenderedPageBreak/>
        <w:t>3.2.2 Разработка системы вопросов и дифференциация по типу предприятия</w:t>
      </w:r>
    </w:p>
    <w:p w14:paraId="42B0992A" w14:textId="6A4D328D"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Разработка системы вопросов для оценки инновационного потенциала предпринимательских структур основана на принципах структурности, функциональности и эмпирической валидности. В качестве входных данных используется стандартизированный опросник, обеспечивающий сопоставимость измерений и интеграцию собранной информации в единую систему расчёта </w:t>
      </w:r>
      <w:r w:rsidR="00F568E7">
        <w:rPr>
          <w:rFonts w:ascii="Times New Roman" w:hAnsi="Times New Roman" w:cs="Times New Roman"/>
          <w:sz w:val="28"/>
          <w:szCs w:val="28"/>
          <w:lang w:val="kk-KZ"/>
        </w:rPr>
        <w:t>индекса инновационного потенциала предприятий (</w:t>
      </w:r>
      <w:r w:rsidRPr="002F33D0">
        <w:rPr>
          <w:rFonts w:ascii="Times New Roman" w:hAnsi="Times New Roman" w:cs="Times New Roman"/>
          <w:sz w:val="28"/>
          <w:szCs w:val="28"/>
        </w:rPr>
        <w:t>IP-Index</w:t>
      </w:r>
      <w:r w:rsidR="00F568E7">
        <w:rPr>
          <w:rFonts w:ascii="Times New Roman" w:hAnsi="Times New Roman" w:cs="Times New Roman"/>
          <w:sz w:val="28"/>
          <w:szCs w:val="28"/>
          <w:lang w:val="kk-KZ"/>
        </w:rPr>
        <w:t>)</w:t>
      </w:r>
      <w:r w:rsidRPr="002F33D0">
        <w:rPr>
          <w:rFonts w:ascii="Times New Roman" w:hAnsi="Times New Roman" w:cs="Times New Roman"/>
          <w:sz w:val="28"/>
          <w:szCs w:val="28"/>
        </w:rPr>
        <w:t>. Логика построения опросника напрямую опирается на результаты структурного моделирования и регрессионного анализа, представленные во второй главе, что гарантирует соответствие между теоретическими конструкциями модели и реальными диагностическими параметрами.</w:t>
      </w:r>
    </w:p>
    <w:p w14:paraId="0BF0C351" w14:textId="7B8230FE"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Система вопросов</w:t>
      </w:r>
      <w:r w:rsidR="00F568E7">
        <w:rPr>
          <w:rFonts w:ascii="Times New Roman" w:hAnsi="Times New Roman" w:cs="Times New Roman"/>
          <w:sz w:val="28"/>
          <w:szCs w:val="28"/>
          <w:lang w:val="kk-KZ"/>
        </w:rPr>
        <w:t xml:space="preserve"> (таблица </w:t>
      </w:r>
      <w:r w:rsidR="004B60DD">
        <w:rPr>
          <w:rFonts w:ascii="Times New Roman" w:hAnsi="Times New Roman" w:cs="Times New Roman"/>
          <w:sz w:val="28"/>
          <w:szCs w:val="28"/>
          <w:lang w:val="kk-KZ"/>
        </w:rPr>
        <w:t>31</w:t>
      </w:r>
      <w:r w:rsidR="00F568E7">
        <w:rPr>
          <w:rFonts w:ascii="Times New Roman" w:hAnsi="Times New Roman" w:cs="Times New Roman"/>
          <w:sz w:val="28"/>
          <w:szCs w:val="28"/>
          <w:lang w:val="kk-KZ"/>
        </w:rPr>
        <w:t>)</w:t>
      </w:r>
      <w:r w:rsidRPr="002F33D0">
        <w:rPr>
          <w:rFonts w:ascii="Times New Roman" w:hAnsi="Times New Roman" w:cs="Times New Roman"/>
          <w:sz w:val="28"/>
          <w:szCs w:val="28"/>
        </w:rPr>
        <w:t xml:space="preserve"> организована таким образом, чтобы респонденты могли давать ответы без необходимости владения специальной терминологией инновационного менеджмента. Каждый вопрос соответствует определённой ячейке ресурсно-процессной матрицы (R</w:t>
      </w:r>
      <w:r w:rsidR="00F568E7" w:rsidRPr="00F568E7">
        <w:rPr>
          <w:rFonts w:ascii="Times New Roman" w:hAnsi="Times New Roman" w:cs="Times New Roman"/>
          <w:sz w:val="28"/>
          <w:szCs w:val="28"/>
          <w:vertAlign w:val="subscript"/>
          <w:lang w:val="kk-KZ"/>
        </w:rPr>
        <w:t>1</w:t>
      </w:r>
      <w:r w:rsidR="00E27253">
        <w:rPr>
          <w:rFonts w:ascii="Times New Roman" w:hAnsi="Times New Roman" w:cs="Times New Roman"/>
          <w:sz w:val="28"/>
          <w:szCs w:val="28"/>
          <w:lang w:val="kk-KZ"/>
        </w:rPr>
        <w:t>-</w:t>
      </w:r>
      <w:r w:rsidRPr="002F33D0">
        <w:rPr>
          <w:rFonts w:ascii="Times New Roman" w:hAnsi="Times New Roman" w:cs="Times New Roman"/>
          <w:sz w:val="28"/>
          <w:szCs w:val="28"/>
        </w:rPr>
        <w:t>R</w:t>
      </w:r>
      <w:r w:rsidR="00F568E7" w:rsidRPr="00F568E7">
        <w:rPr>
          <w:rFonts w:ascii="Times New Roman" w:hAnsi="Times New Roman" w:cs="Times New Roman"/>
          <w:sz w:val="28"/>
          <w:szCs w:val="28"/>
          <w:vertAlign w:val="subscript"/>
          <w:lang w:val="kk-KZ"/>
        </w:rPr>
        <w:t>7</w:t>
      </w:r>
      <w:r w:rsidRPr="002F33D0">
        <w:rPr>
          <w:rFonts w:ascii="Times New Roman" w:hAnsi="Times New Roman" w:cs="Times New Roman"/>
          <w:sz w:val="28"/>
          <w:szCs w:val="28"/>
        </w:rPr>
        <w:t xml:space="preserve"> × P</w:t>
      </w:r>
      <w:r w:rsidR="00F568E7" w:rsidRPr="00F568E7">
        <w:rPr>
          <w:rFonts w:ascii="Times New Roman" w:hAnsi="Times New Roman" w:cs="Times New Roman"/>
          <w:sz w:val="28"/>
          <w:szCs w:val="28"/>
          <w:vertAlign w:val="subscript"/>
          <w:lang w:val="kk-KZ"/>
        </w:rPr>
        <w:t>1</w:t>
      </w:r>
      <w:r w:rsidR="00E27253">
        <w:rPr>
          <w:rFonts w:ascii="Times New Roman" w:hAnsi="Times New Roman" w:cs="Times New Roman"/>
          <w:sz w:val="28"/>
          <w:szCs w:val="28"/>
          <w:lang w:val="kk-KZ"/>
        </w:rPr>
        <w:t>-</w:t>
      </w:r>
      <w:r w:rsidRPr="002F33D0">
        <w:rPr>
          <w:rFonts w:ascii="Times New Roman" w:hAnsi="Times New Roman" w:cs="Times New Roman"/>
          <w:sz w:val="28"/>
          <w:szCs w:val="28"/>
        </w:rPr>
        <w:t>P</w:t>
      </w:r>
      <w:r w:rsidR="00F568E7" w:rsidRPr="00F568E7">
        <w:rPr>
          <w:rFonts w:ascii="Times New Roman" w:hAnsi="Times New Roman" w:cs="Times New Roman"/>
          <w:sz w:val="28"/>
          <w:szCs w:val="28"/>
          <w:vertAlign w:val="subscript"/>
          <w:lang w:val="kk-KZ"/>
        </w:rPr>
        <w:t>3</w:t>
      </w:r>
      <w:r w:rsidRPr="002F33D0">
        <w:rPr>
          <w:rFonts w:ascii="Times New Roman" w:hAnsi="Times New Roman" w:cs="Times New Roman"/>
          <w:sz w:val="28"/>
          <w:szCs w:val="28"/>
        </w:rPr>
        <w:t>), что обеспечивает автоматическое распределение данных при дальнейшей обработке. Шкала Лайкерта (1</w:t>
      </w:r>
      <w:r w:rsidR="00E27253">
        <w:rPr>
          <w:rFonts w:ascii="Times New Roman" w:hAnsi="Times New Roman" w:cs="Times New Roman"/>
          <w:sz w:val="28"/>
          <w:szCs w:val="28"/>
          <w:lang w:val="kk-KZ"/>
        </w:rPr>
        <w:t>-</w:t>
      </w:r>
      <w:r w:rsidRPr="002F33D0">
        <w:rPr>
          <w:rFonts w:ascii="Times New Roman" w:hAnsi="Times New Roman" w:cs="Times New Roman"/>
          <w:sz w:val="28"/>
          <w:szCs w:val="28"/>
        </w:rPr>
        <w:t>5) позволяет количественно измерять уровень развития каждого элемента инновационного потенциала: от полного отсутствия признака (1 балл) до высокой степени зрелости (5 баллов). Такое шкалирование обеспечивает нормируемость данных и возможность расчёта частных и агрегированных индексов.</w:t>
      </w:r>
    </w:p>
    <w:p w14:paraId="2E81B2D9" w14:textId="77777777"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В отличие от традиционных опросников, ориентированных на стадии инновационного цикла, разработанный инструмент структурирован по функциональным процессам, отражающим реальные механизмы деятельности предприятий:</w:t>
      </w:r>
    </w:p>
    <w:p w14:paraId="4789EF07" w14:textId="6860FE9F" w:rsidR="002F33D0" w:rsidRPr="00F568E7" w:rsidRDefault="002F33D0" w:rsidP="001D5CF3">
      <w:pPr>
        <w:pStyle w:val="a3"/>
        <w:numPr>
          <w:ilvl w:val="0"/>
          <w:numId w:val="25"/>
        </w:numPr>
        <w:tabs>
          <w:tab w:val="left" w:pos="851"/>
        </w:tabs>
        <w:spacing w:after="0" w:line="240" w:lineRule="auto"/>
        <w:ind w:left="0" w:firstLine="567"/>
        <w:jc w:val="both"/>
        <w:rPr>
          <w:rFonts w:ascii="Times New Roman" w:hAnsi="Times New Roman" w:cs="Times New Roman"/>
          <w:sz w:val="28"/>
          <w:szCs w:val="28"/>
        </w:rPr>
      </w:pPr>
      <w:r w:rsidRPr="00F568E7">
        <w:rPr>
          <w:rFonts w:ascii="Times New Roman" w:hAnsi="Times New Roman" w:cs="Times New Roman"/>
          <w:sz w:val="28"/>
          <w:szCs w:val="28"/>
        </w:rPr>
        <w:t>P</w:t>
      </w:r>
      <w:r w:rsidR="00F568E7" w:rsidRPr="00F568E7">
        <w:rPr>
          <w:rFonts w:ascii="Times New Roman" w:hAnsi="Times New Roman" w:cs="Times New Roman"/>
          <w:sz w:val="28"/>
          <w:szCs w:val="28"/>
          <w:vertAlign w:val="subscript"/>
          <w:lang w:val="kk-KZ"/>
        </w:rPr>
        <w:t>1</w:t>
      </w:r>
      <w:r w:rsidRPr="00F568E7">
        <w:rPr>
          <w:rFonts w:ascii="Times New Roman" w:hAnsi="Times New Roman" w:cs="Times New Roman"/>
          <w:sz w:val="28"/>
          <w:szCs w:val="28"/>
        </w:rPr>
        <w:t xml:space="preserve"> </w:t>
      </w:r>
      <w:r w:rsidR="009D20AE" w:rsidRPr="00F568E7">
        <w:rPr>
          <w:rFonts w:ascii="Times New Roman" w:hAnsi="Times New Roman" w:cs="Times New Roman"/>
          <w:sz w:val="28"/>
          <w:szCs w:val="28"/>
        </w:rPr>
        <w:t>–</w:t>
      </w:r>
      <w:r w:rsidRPr="00F568E7">
        <w:rPr>
          <w:rFonts w:ascii="Times New Roman" w:hAnsi="Times New Roman" w:cs="Times New Roman"/>
          <w:sz w:val="28"/>
          <w:szCs w:val="28"/>
        </w:rPr>
        <w:t xml:space="preserve"> формирование и подготовка инноваций</w:t>
      </w:r>
      <w:r w:rsidR="00F568E7">
        <w:rPr>
          <w:rFonts w:ascii="Times New Roman" w:hAnsi="Times New Roman" w:cs="Times New Roman"/>
          <w:sz w:val="28"/>
          <w:szCs w:val="28"/>
          <w:lang w:val="kk-KZ"/>
        </w:rPr>
        <w:t xml:space="preserve"> </w:t>
      </w:r>
      <w:r w:rsidRPr="00F568E7">
        <w:rPr>
          <w:rFonts w:ascii="Times New Roman" w:hAnsi="Times New Roman" w:cs="Times New Roman"/>
          <w:sz w:val="28"/>
          <w:szCs w:val="28"/>
        </w:rPr>
        <w:t>(генерация идей, обучение, когнитивная готовность, поиск технологий);</w:t>
      </w:r>
    </w:p>
    <w:p w14:paraId="5302BFA4" w14:textId="09F83D47" w:rsidR="002F33D0" w:rsidRPr="00F568E7" w:rsidRDefault="002F33D0" w:rsidP="001D5CF3">
      <w:pPr>
        <w:pStyle w:val="a3"/>
        <w:numPr>
          <w:ilvl w:val="0"/>
          <w:numId w:val="25"/>
        </w:numPr>
        <w:tabs>
          <w:tab w:val="left" w:pos="851"/>
        </w:tabs>
        <w:spacing w:after="0" w:line="240" w:lineRule="auto"/>
        <w:ind w:left="0" w:firstLine="567"/>
        <w:jc w:val="both"/>
        <w:rPr>
          <w:rFonts w:ascii="Times New Roman" w:hAnsi="Times New Roman" w:cs="Times New Roman"/>
          <w:sz w:val="28"/>
          <w:szCs w:val="28"/>
        </w:rPr>
      </w:pPr>
      <w:r w:rsidRPr="00F568E7">
        <w:rPr>
          <w:rFonts w:ascii="Times New Roman" w:hAnsi="Times New Roman" w:cs="Times New Roman"/>
          <w:sz w:val="28"/>
          <w:szCs w:val="28"/>
        </w:rPr>
        <w:t>P</w:t>
      </w:r>
      <w:r w:rsidR="00F568E7" w:rsidRPr="00F568E7">
        <w:rPr>
          <w:rFonts w:ascii="Times New Roman" w:hAnsi="Times New Roman" w:cs="Times New Roman"/>
          <w:sz w:val="28"/>
          <w:szCs w:val="28"/>
          <w:vertAlign w:val="subscript"/>
          <w:lang w:val="kk-KZ"/>
        </w:rPr>
        <w:t>2</w:t>
      </w:r>
      <w:r w:rsidRPr="00F568E7">
        <w:rPr>
          <w:rFonts w:ascii="Times New Roman" w:hAnsi="Times New Roman" w:cs="Times New Roman"/>
          <w:sz w:val="28"/>
          <w:szCs w:val="28"/>
        </w:rPr>
        <w:t xml:space="preserve"> </w:t>
      </w:r>
      <w:r w:rsidR="009D20AE" w:rsidRPr="00F568E7">
        <w:rPr>
          <w:rFonts w:ascii="Times New Roman" w:hAnsi="Times New Roman" w:cs="Times New Roman"/>
          <w:sz w:val="28"/>
          <w:szCs w:val="28"/>
        </w:rPr>
        <w:t>–</w:t>
      </w:r>
      <w:r w:rsidRPr="00F568E7">
        <w:rPr>
          <w:rFonts w:ascii="Times New Roman" w:hAnsi="Times New Roman" w:cs="Times New Roman"/>
          <w:sz w:val="28"/>
          <w:szCs w:val="28"/>
        </w:rPr>
        <w:t xml:space="preserve"> реализация и взаимодействие</w:t>
      </w:r>
      <w:r w:rsidR="00F568E7">
        <w:rPr>
          <w:rFonts w:ascii="Times New Roman" w:hAnsi="Times New Roman" w:cs="Times New Roman"/>
          <w:sz w:val="28"/>
          <w:szCs w:val="28"/>
          <w:lang w:val="kk-KZ"/>
        </w:rPr>
        <w:t xml:space="preserve"> </w:t>
      </w:r>
      <w:r w:rsidRPr="00F568E7">
        <w:rPr>
          <w:rFonts w:ascii="Times New Roman" w:hAnsi="Times New Roman" w:cs="Times New Roman"/>
          <w:sz w:val="28"/>
          <w:szCs w:val="28"/>
        </w:rPr>
        <w:t>(управление проектами, командная работа, цифровизация);</w:t>
      </w:r>
    </w:p>
    <w:p w14:paraId="3C253E00" w14:textId="6DA7FF70" w:rsidR="002F33D0" w:rsidRPr="00F568E7" w:rsidRDefault="002F33D0" w:rsidP="001D5CF3">
      <w:pPr>
        <w:pStyle w:val="a3"/>
        <w:numPr>
          <w:ilvl w:val="0"/>
          <w:numId w:val="25"/>
        </w:numPr>
        <w:tabs>
          <w:tab w:val="left" w:pos="851"/>
        </w:tabs>
        <w:spacing w:after="0" w:line="240" w:lineRule="auto"/>
        <w:ind w:left="0" w:firstLine="567"/>
        <w:jc w:val="both"/>
        <w:rPr>
          <w:rFonts w:ascii="Times New Roman" w:hAnsi="Times New Roman" w:cs="Times New Roman"/>
          <w:sz w:val="28"/>
          <w:szCs w:val="28"/>
        </w:rPr>
      </w:pPr>
      <w:r w:rsidRPr="00F568E7">
        <w:rPr>
          <w:rFonts w:ascii="Times New Roman" w:hAnsi="Times New Roman" w:cs="Times New Roman"/>
          <w:sz w:val="28"/>
          <w:szCs w:val="28"/>
        </w:rPr>
        <w:t>P</w:t>
      </w:r>
      <w:r w:rsidR="00F568E7" w:rsidRPr="00F568E7">
        <w:rPr>
          <w:rFonts w:ascii="Times New Roman" w:hAnsi="Times New Roman" w:cs="Times New Roman"/>
          <w:sz w:val="28"/>
          <w:szCs w:val="28"/>
          <w:vertAlign w:val="subscript"/>
          <w:lang w:val="kk-KZ"/>
        </w:rPr>
        <w:t>3</w:t>
      </w:r>
      <w:r w:rsidRPr="00F568E7">
        <w:rPr>
          <w:rFonts w:ascii="Times New Roman" w:hAnsi="Times New Roman" w:cs="Times New Roman"/>
          <w:sz w:val="28"/>
          <w:szCs w:val="28"/>
        </w:rPr>
        <w:t xml:space="preserve"> </w:t>
      </w:r>
      <w:r w:rsidR="009D20AE" w:rsidRPr="00F568E7">
        <w:rPr>
          <w:rFonts w:ascii="Times New Roman" w:hAnsi="Times New Roman" w:cs="Times New Roman"/>
          <w:sz w:val="28"/>
          <w:szCs w:val="28"/>
        </w:rPr>
        <w:t>–</w:t>
      </w:r>
      <w:r w:rsidRPr="00F568E7">
        <w:rPr>
          <w:rFonts w:ascii="Times New Roman" w:hAnsi="Times New Roman" w:cs="Times New Roman"/>
          <w:sz w:val="28"/>
          <w:szCs w:val="28"/>
        </w:rPr>
        <w:t xml:space="preserve"> воспроизводство и развитие</w:t>
      </w:r>
      <w:r w:rsidR="00F568E7">
        <w:rPr>
          <w:rFonts w:ascii="Times New Roman" w:hAnsi="Times New Roman" w:cs="Times New Roman"/>
          <w:sz w:val="28"/>
          <w:szCs w:val="28"/>
          <w:lang w:val="kk-KZ"/>
        </w:rPr>
        <w:t xml:space="preserve"> </w:t>
      </w:r>
      <w:r w:rsidRPr="00F568E7">
        <w:rPr>
          <w:rFonts w:ascii="Times New Roman" w:hAnsi="Times New Roman" w:cs="Times New Roman"/>
          <w:sz w:val="28"/>
          <w:szCs w:val="28"/>
        </w:rPr>
        <w:t>(культура, партнёрства, устойчивость, способность к непрерывному обновлению).</w:t>
      </w:r>
    </w:p>
    <w:p w14:paraId="3779A174" w14:textId="4B40676B" w:rsidR="00FD618C" w:rsidRDefault="00FD618C" w:rsidP="00FD618C">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Опросник имеет единую структуру, однако при цифровой обработке данных применяется дифференцированная система весовых коэффициентов (β), отражающая различия в значимости факторов для крупных, средних и малых предприятий. </w:t>
      </w:r>
    </w:p>
    <w:p w14:paraId="00CC5FEC" w14:textId="6E309758" w:rsidR="00FD618C" w:rsidRDefault="00FD618C" w:rsidP="00FD618C">
      <w:pPr>
        <w:spacing w:after="0" w:line="240" w:lineRule="auto"/>
        <w:ind w:firstLine="567"/>
        <w:jc w:val="both"/>
        <w:rPr>
          <w:rFonts w:ascii="Times New Roman" w:hAnsi="Times New Roman" w:cs="Times New Roman"/>
          <w:sz w:val="28"/>
          <w:szCs w:val="28"/>
        </w:rPr>
      </w:pPr>
    </w:p>
    <w:p w14:paraId="592AF24B" w14:textId="4C9AF316" w:rsidR="00FD618C" w:rsidRDefault="00FD618C" w:rsidP="00FD618C">
      <w:pPr>
        <w:spacing w:after="0" w:line="240" w:lineRule="auto"/>
        <w:ind w:firstLine="567"/>
        <w:jc w:val="both"/>
        <w:rPr>
          <w:rFonts w:ascii="Times New Roman" w:hAnsi="Times New Roman" w:cs="Times New Roman"/>
          <w:sz w:val="28"/>
          <w:szCs w:val="28"/>
        </w:rPr>
      </w:pPr>
    </w:p>
    <w:p w14:paraId="6F6C8328" w14:textId="51ADBDCB" w:rsidR="00FD618C" w:rsidRDefault="00FD618C" w:rsidP="00FD618C">
      <w:pPr>
        <w:spacing w:after="0" w:line="240" w:lineRule="auto"/>
        <w:ind w:firstLine="567"/>
        <w:jc w:val="both"/>
        <w:rPr>
          <w:rFonts w:ascii="Times New Roman" w:hAnsi="Times New Roman" w:cs="Times New Roman"/>
          <w:sz w:val="28"/>
          <w:szCs w:val="28"/>
        </w:rPr>
      </w:pPr>
    </w:p>
    <w:p w14:paraId="1156EC4B" w14:textId="522A7E57" w:rsidR="00FD618C" w:rsidRDefault="00FD618C" w:rsidP="00FD618C">
      <w:pPr>
        <w:spacing w:after="0" w:line="240" w:lineRule="auto"/>
        <w:ind w:firstLine="567"/>
        <w:jc w:val="both"/>
        <w:rPr>
          <w:rFonts w:ascii="Times New Roman" w:hAnsi="Times New Roman" w:cs="Times New Roman"/>
          <w:sz w:val="28"/>
          <w:szCs w:val="28"/>
        </w:rPr>
      </w:pPr>
    </w:p>
    <w:p w14:paraId="433DAF4A" w14:textId="539FAF0C" w:rsidR="00FD618C" w:rsidRDefault="00FD618C" w:rsidP="00FD618C">
      <w:pPr>
        <w:spacing w:after="0" w:line="240" w:lineRule="auto"/>
        <w:ind w:firstLine="567"/>
        <w:jc w:val="both"/>
        <w:rPr>
          <w:rFonts w:ascii="Times New Roman" w:hAnsi="Times New Roman" w:cs="Times New Roman"/>
          <w:sz w:val="28"/>
          <w:szCs w:val="28"/>
        </w:rPr>
      </w:pPr>
    </w:p>
    <w:p w14:paraId="300B3215" w14:textId="56BC8991" w:rsidR="00FD618C" w:rsidRDefault="00FD618C" w:rsidP="00FD618C">
      <w:pPr>
        <w:spacing w:after="0" w:line="240" w:lineRule="auto"/>
        <w:ind w:firstLine="567"/>
        <w:jc w:val="both"/>
        <w:rPr>
          <w:rFonts w:ascii="Times New Roman" w:hAnsi="Times New Roman" w:cs="Times New Roman"/>
          <w:sz w:val="28"/>
          <w:szCs w:val="28"/>
        </w:rPr>
      </w:pPr>
    </w:p>
    <w:p w14:paraId="19F65E17" w14:textId="77777777" w:rsidR="00FD618C" w:rsidRDefault="00FD618C" w:rsidP="00FD618C">
      <w:pPr>
        <w:spacing w:after="0" w:line="240" w:lineRule="auto"/>
        <w:ind w:firstLine="567"/>
        <w:jc w:val="both"/>
        <w:rPr>
          <w:rFonts w:ascii="Times New Roman" w:hAnsi="Times New Roman" w:cs="Times New Roman"/>
          <w:sz w:val="28"/>
          <w:szCs w:val="28"/>
        </w:rPr>
      </w:pPr>
    </w:p>
    <w:p w14:paraId="76891DEB" w14:textId="0DBA19BA" w:rsidR="002F33D0" w:rsidRPr="002F33D0" w:rsidRDefault="004B60DD" w:rsidP="002F33D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lastRenderedPageBreak/>
        <w:t xml:space="preserve">Таблица </w:t>
      </w:r>
      <w:r>
        <w:rPr>
          <w:rFonts w:ascii="Times New Roman" w:hAnsi="Times New Roman" w:cs="Times New Roman"/>
          <w:sz w:val="28"/>
          <w:szCs w:val="28"/>
          <w:lang w:val="kk-KZ"/>
        </w:rPr>
        <w:t>31</w:t>
      </w:r>
      <w:r w:rsidR="002F33D0" w:rsidRPr="002F33D0">
        <w:rPr>
          <w:rFonts w:ascii="Times New Roman" w:hAnsi="Times New Roman" w:cs="Times New Roman"/>
          <w:sz w:val="28"/>
          <w:szCs w:val="28"/>
        </w:rPr>
        <w:t xml:space="preserve"> – Матрица вопросов инструмента оценки инновационного потенциала предпринимательских структур</w:t>
      </w:r>
      <w:r w:rsidR="002F33D0" w:rsidRPr="002F33D0">
        <w:rPr>
          <w:rFonts w:ascii="Times New Roman" w:hAnsi="Times New Roman" w:cs="Times New Roman"/>
          <w:sz w:val="28"/>
          <w:szCs w:val="28"/>
          <w:lang w:val="kk-KZ"/>
        </w:rPr>
        <w:t xml:space="preserve">   </w:t>
      </w:r>
    </w:p>
    <w:p w14:paraId="054DB5DD" w14:textId="77777777" w:rsidR="002F33D0" w:rsidRPr="004B60DD" w:rsidRDefault="002F33D0" w:rsidP="002F33D0">
      <w:pPr>
        <w:spacing w:after="0" w:line="240" w:lineRule="auto"/>
        <w:jc w:val="both"/>
        <w:rPr>
          <w:rFonts w:ascii="Times New Roman" w:hAnsi="Times New Roman" w:cs="Times New Roman"/>
          <w:sz w:val="20"/>
          <w:szCs w:val="20"/>
          <w:lang w:val="kk-KZ"/>
        </w:rPr>
      </w:pPr>
    </w:p>
    <w:tbl>
      <w:tblPr>
        <w:tblStyle w:val="a5"/>
        <w:tblW w:w="0" w:type="auto"/>
        <w:tblLook w:val="04A0" w:firstRow="1" w:lastRow="0" w:firstColumn="1" w:lastColumn="0" w:noHBand="0" w:noVBand="1"/>
      </w:tblPr>
      <w:tblGrid>
        <w:gridCol w:w="2271"/>
        <w:gridCol w:w="2047"/>
        <w:gridCol w:w="2687"/>
        <w:gridCol w:w="2340"/>
      </w:tblGrid>
      <w:tr w:rsidR="002F33D0" w:rsidRPr="002F33D0" w14:paraId="258DD17A" w14:textId="77777777" w:rsidTr="002F33D0">
        <w:tc>
          <w:tcPr>
            <w:tcW w:w="0" w:type="auto"/>
            <w:vAlign w:val="center"/>
            <w:hideMark/>
          </w:tcPr>
          <w:p w14:paraId="11468B92" w14:textId="77777777" w:rsidR="002F33D0" w:rsidRPr="002F33D0" w:rsidRDefault="002F33D0" w:rsidP="002F33D0">
            <w:pPr>
              <w:ind w:firstLine="0"/>
              <w:rPr>
                <w:rFonts w:eastAsia="Times New Roman"/>
                <w:bCs/>
                <w:szCs w:val="24"/>
                <w:lang w:eastAsia="ru-RU"/>
              </w:rPr>
            </w:pPr>
            <w:r w:rsidRPr="002F33D0">
              <w:rPr>
                <w:rFonts w:eastAsia="Times New Roman"/>
                <w:bCs/>
                <w:szCs w:val="24"/>
                <w:lang w:eastAsia="ru-RU"/>
              </w:rPr>
              <w:t>Ресурсные компоненты</w:t>
            </w:r>
          </w:p>
        </w:tc>
        <w:tc>
          <w:tcPr>
            <w:tcW w:w="0" w:type="auto"/>
            <w:vAlign w:val="center"/>
            <w:hideMark/>
          </w:tcPr>
          <w:p w14:paraId="5A6520ED" w14:textId="196B965D" w:rsidR="002F33D0" w:rsidRPr="002F33D0" w:rsidRDefault="002F33D0" w:rsidP="00F568E7">
            <w:pPr>
              <w:ind w:firstLine="0"/>
              <w:rPr>
                <w:rFonts w:eastAsia="Times New Roman"/>
                <w:bCs/>
                <w:szCs w:val="24"/>
                <w:lang w:eastAsia="ru-RU"/>
              </w:rPr>
            </w:pPr>
            <w:r w:rsidRPr="002F33D0">
              <w:rPr>
                <w:rFonts w:eastAsia="Times New Roman"/>
                <w:bCs/>
                <w:szCs w:val="24"/>
                <w:lang w:eastAsia="ru-RU"/>
              </w:rPr>
              <w:t>P</w:t>
            </w:r>
            <w:r w:rsidR="00F568E7" w:rsidRPr="00F568E7">
              <w:rPr>
                <w:rFonts w:eastAsia="Times New Roman"/>
                <w:bCs/>
                <w:szCs w:val="24"/>
                <w:vertAlign w:val="subscript"/>
                <w:lang w:eastAsia="ru-RU"/>
              </w:rPr>
              <w:t>1</w:t>
            </w:r>
            <w:r w:rsidRPr="002F33D0">
              <w:rPr>
                <w:rFonts w:eastAsia="Times New Roman"/>
                <w:bCs/>
                <w:szCs w:val="24"/>
                <w:lang w:eastAsia="ru-RU"/>
              </w:rPr>
              <w:t>.Формирование и подготовка инноваций</w:t>
            </w:r>
          </w:p>
        </w:tc>
        <w:tc>
          <w:tcPr>
            <w:tcW w:w="0" w:type="auto"/>
            <w:vAlign w:val="center"/>
            <w:hideMark/>
          </w:tcPr>
          <w:p w14:paraId="74AD0979" w14:textId="0AEEA914" w:rsidR="002F33D0" w:rsidRPr="002F33D0" w:rsidRDefault="002F33D0" w:rsidP="00F568E7">
            <w:pPr>
              <w:ind w:firstLine="0"/>
              <w:rPr>
                <w:rFonts w:eastAsia="Times New Roman"/>
                <w:bCs/>
                <w:szCs w:val="24"/>
                <w:lang w:eastAsia="ru-RU"/>
              </w:rPr>
            </w:pPr>
            <w:r w:rsidRPr="002F33D0">
              <w:rPr>
                <w:rFonts w:eastAsia="Times New Roman"/>
                <w:bCs/>
                <w:szCs w:val="24"/>
                <w:lang w:eastAsia="ru-RU"/>
              </w:rPr>
              <w:t>P</w:t>
            </w:r>
            <w:r w:rsidR="00F568E7" w:rsidRPr="00F568E7">
              <w:rPr>
                <w:rFonts w:eastAsia="Times New Roman"/>
                <w:bCs/>
                <w:szCs w:val="24"/>
                <w:vertAlign w:val="subscript"/>
                <w:lang w:val="en-US" w:eastAsia="ru-RU"/>
              </w:rPr>
              <w:t>2</w:t>
            </w:r>
            <w:r w:rsidRPr="002F33D0">
              <w:rPr>
                <w:rFonts w:eastAsia="Times New Roman"/>
                <w:bCs/>
                <w:szCs w:val="24"/>
                <w:lang w:eastAsia="ru-RU"/>
              </w:rPr>
              <w:t>. Реализация и взаимодействие</w:t>
            </w:r>
          </w:p>
        </w:tc>
        <w:tc>
          <w:tcPr>
            <w:tcW w:w="0" w:type="auto"/>
            <w:vAlign w:val="center"/>
            <w:hideMark/>
          </w:tcPr>
          <w:p w14:paraId="2D515DF2" w14:textId="66EEDEA9" w:rsidR="002F33D0" w:rsidRPr="002F33D0" w:rsidRDefault="002F33D0" w:rsidP="00F568E7">
            <w:pPr>
              <w:ind w:firstLine="0"/>
              <w:rPr>
                <w:rFonts w:eastAsia="Times New Roman"/>
                <w:bCs/>
                <w:szCs w:val="24"/>
                <w:lang w:eastAsia="ru-RU"/>
              </w:rPr>
            </w:pPr>
            <w:r w:rsidRPr="002F33D0">
              <w:rPr>
                <w:rFonts w:eastAsia="Times New Roman"/>
                <w:bCs/>
                <w:szCs w:val="24"/>
                <w:lang w:eastAsia="ru-RU"/>
              </w:rPr>
              <w:t>P</w:t>
            </w:r>
            <w:r w:rsidR="00F568E7" w:rsidRPr="00F568E7">
              <w:rPr>
                <w:rFonts w:eastAsia="Times New Roman"/>
                <w:bCs/>
                <w:szCs w:val="24"/>
                <w:vertAlign w:val="subscript"/>
                <w:lang w:val="en-US" w:eastAsia="ru-RU"/>
              </w:rPr>
              <w:t>3</w:t>
            </w:r>
            <w:r w:rsidRPr="002F33D0">
              <w:rPr>
                <w:rFonts w:eastAsia="Times New Roman"/>
                <w:bCs/>
                <w:szCs w:val="24"/>
                <w:lang w:eastAsia="ru-RU"/>
              </w:rPr>
              <w:t>. Воспроизводство и развитие</w:t>
            </w:r>
          </w:p>
        </w:tc>
      </w:tr>
      <w:tr w:rsidR="002F33D0" w:rsidRPr="002F33D0" w14:paraId="5DEC1841" w14:textId="77777777" w:rsidTr="002F33D0">
        <w:tc>
          <w:tcPr>
            <w:tcW w:w="0" w:type="auto"/>
            <w:hideMark/>
          </w:tcPr>
          <w:p w14:paraId="4CA9F083" w14:textId="42CF3FE0" w:rsidR="002F33D0" w:rsidRPr="002F33D0" w:rsidRDefault="00F568E7" w:rsidP="002F33D0">
            <w:pPr>
              <w:ind w:firstLine="0"/>
              <w:rPr>
                <w:rFonts w:eastAsia="Times New Roman"/>
                <w:szCs w:val="24"/>
                <w:lang w:eastAsia="ru-RU"/>
              </w:rPr>
            </w:pPr>
            <w:r>
              <w:rPr>
                <w:rFonts w:eastAsia="Times New Roman"/>
                <w:bCs/>
                <w:szCs w:val="24"/>
                <w:lang w:val="en-US" w:eastAsia="ru-RU"/>
              </w:rPr>
              <w:t>R</w:t>
            </w:r>
            <w:r w:rsidR="002F33D0" w:rsidRPr="00F568E7">
              <w:rPr>
                <w:rFonts w:eastAsia="Times New Roman"/>
                <w:bCs/>
                <w:szCs w:val="24"/>
                <w:vertAlign w:val="subscript"/>
                <w:lang w:eastAsia="ru-RU"/>
              </w:rPr>
              <w:t>1</w:t>
            </w:r>
            <w:r w:rsidR="002F33D0" w:rsidRPr="002F33D0">
              <w:rPr>
                <w:rFonts w:eastAsia="Times New Roman"/>
                <w:bCs/>
                <w:szCs w:val="24"/>
                <w:lang w:eastAsia="ru-RU"/>
              </w:rPr>
              <w:t>. Управленческие ресурсы</w:t>
            </w:r>
          </w:p>
        </w:tc>
        <w:tc>
          <w:tcPr>
            <w:tcW w:w="0" w:type="auto"/>
            <w:hideMark/>
          </w:tcPr>
          <w:p w14:paraId="2E7CBE76"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В организации утверждена стратегия инновационного развития?</w:t>
            </w:r>
          </w:p>
        </w:tc>
        <w:tc>
          <w:tcPr>
            <w:tcW w:w="0" w:type="auto"/>
            <w:hideMark/>
          </w:tcPr>
          <w:p w14:paraId="02A38BCA"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Существует ли система мониторинга и оценки инновационных проектов?</w:t>
            </w:r>
          </w:p>
        </w:tc>
        <w:tc>
          <w:tcPr>
            <w:tcW w:w="0" w:type="auto"/>
            <w:hideMark/>
          </w:tcPr>
          <w:p w14:paraId="57366C78"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Насколько гибко руководство реагирует на новые технологические возможности?</w:t>
            </w:r>
          </w:p>
        </w:tc>
      </w:tr>
      <w:tr w:rsidR="002F33D0" w:rsidRPr="002F33D0" w14:paraId="6563AB88" w14:textId="77777777" w:rsidTr="002F33D0">
        <w:tc>
          <w:tcPr>
            <w:tcW w:w="0" w:type="auto"/>
            <w:hideMark/>
          </w:tcPr>
          <w:p w14:paraId="456B4C3B" w14:textId="27333B9C" w:rsidR="002F33D0" w:rsidRPr="002F33D0" w:rsidRDefault="00F568E7" w:rsidP="002F33D0">
            <w:pPr>
              <w:ind w:firstLine="0"/>
              <w:rPr>
                <w:rFonts w:eastAsia="Times New Roman"/>
                <w:szCs w:val="24"/>
                <w:lang w:eastAsia="ru-RU"/>
              </w:rPr>
            </w:pPr>
            <w:r>
              <w:rPr>
                <w:rFonts w:eastAsia="Times New Roman"/>
                <w:bCs/>
                <w:szCs w:val="24"/>
                <w:lang w:val="en-US" w:eastAsia="ru-RU"/>
              </w:rPr>
              <w:t>R</w:t>
            </w:r>
            <w:r w:rsidR="002F33D0" w:rsidRPr="00F568E7">
              <w:rPr>
                <w:rFonts w:eastAsia="Times New Roman"/>
                <w:bCs/>
                <w:szCs w:val="24"/>
                <w:vertAlign w:val="subscript"/>
                <w:lang w:eastAsia="ru-RU"/>
              </w:rPr>
              <w:t>2</w:t>
            </w:r>
            <w:r w:rsidR="002F33D0" w:rsidRPr="002F33D0">
              <w:rPr>
                <w:rFonts w:eastAsia="Times New Roman"/>
                <w:bCs/>
                <w:szCs w:val="24"/>
                <w:lang w:eastAsia="ru-RU"/>
              </w:rPr>
              <w:t>. Технологические ресурсы</w:t>
            </w:r>
          </w:p>
        </w:tc>
        <w:tc>
          <w:tcPr>
            <w:tcW w:w="0" w:type="auto"/>
            <w:hideMark/>
          </w:tcPr>
          <w:p w14:paraId="40584C60"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Проводится ли поиск и внедрение новых технологий?</w:t>
            </w:r>
          </w:p>
        </w:tc>
        <w:tc>
          <w:tcPr>
            <w:tcW w:w="0" w:type="auto"/>
            <w:hideMark/>
          </w:tcPr>
          <w:p w14:paraId="1676C9A8"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Используются ли цифровые инструменты или системы автоматизации?</w:t>
            </w:r>
          </w:p>
        </w:tc>
        <w:tc>
          <w:tcPr>
            <w:tcW w:w="0" w:type="auto"/>
            <w:hideMark/>
          </w:tcPr>
          <w:p w14:paraId="6622F025"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Проводится ли модернизация оборудования на постоянной основе?</w:t>
            </w:r>
          </w:p>
        </w:tc>
      </w:tr>
      <w:tr w:rsidR="002F33D0" w:rsidRPr="002F33D0" w14:paraId="19C1A7E0" w14:textId="77777777" w:rsidTr="002F33D0">
        <w:tc>
          <w:tcPr>
            <w:tcW w:w="0" w:type="auto"/>
            <w:hideMark/>
          </w:tcPr>
          <w:p w14:paraId="3BB8766B" w14:textId="7A9CBE7E" w:rsidR="002F33D0" w:rsidRPr="002F33D0" w:rsidRDefault="00F568E7" w:rsidP="002F33D0">
            <w:pPr>
              <w:ind w:firstLine="0"/>
              <w:rPr>
                <w:rFonts w:eastAsia="Times New Roman"/>
                <w:szCs w:val="24"/>
                <w:lang w:eastAsia="ru-RU"/>
              </w:rPr>
            </w:pPr>
            <w:r>
              <w:rPr>
                <w:rFonts w:eastAsia="Times New Roman"/>
                <w:bCs/>
                <w:szCs w:val="24"/>
                <w:lang w:val="en-US" w:eastAsia="ru-RU"/>
              </w:rPr>
              <w:t>R</w:t>
            </w:r>
            <w:r w:rsidR="002F33D0" w:rsidRPr="00F568E7">
              <w:rPr>
                <w:rFonts w:eastAsia="Times New Roman"/>
                <w:bCs/>
                <w:szCs w:val="24"/>
                <w:vertAlign w:val="subscript"/>
                <w:lang w:eastAsia="ru-RU"/>
              </w:rPr>
              <w:t>3</w:t>
            </w:r>
            <w:r w:rsidR="002F33D0" w:rsidRPr="002F33D0">
              <w:rPr>
                <w:rFonts w:eastAsia="Times New Roman"/>
                <w:bCs/>
                <w:szCs w:val="24"/>
                <w:lang w:eastAsia="ru-RU"/>
              </w:rPr>
              <w:t>. Финансовые ресурсы</w:t>
            </w:r>
          </w:p>
        </w:tc>
        <w:tc>
          <w:tcPr>
            <w:tcW w:w="0" w:type="auto"/>
            <w:hideMark/>
          </w:tcPr>
          <w:p w14:paraId="2EA3C3EF"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Выделяются ли средства на НИОКР и инновации?</w:t>
            </w:r>
          </w:p>
        </w:tc>
        <w:tc>
          <w:tcPr>
            <w:tcW w:w="0" w:type="auto"/>
            <w:hideMark/>
          </w:tcPr>
          <w:p w14:paraId="5BA0723A"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Есть ли опыт привлечения внешних инвестиций или грантов?</w:t>
            </w:r>
          </w:p>
        </w:tc>
        <w:tc>
          <w:tcPr>
            <w:tcW w:w="0" w:type="auto"/>
            <w:hideMark/>
          </w:tcPr>
          <w:p w14:paraId="354B0312"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Существуют ли внутренние механизмы долгосрочного финансирования инноваций?</w:t>
            </w:r>
          </w:p>
        </w:tc>
      </w:tr>
      <w:tr w:rsidR="002F33D0" w:rsidRPr="002F33D0" w14:paraId="0E812032" w14:textId="77777777" w:rsidTr="002F33D0">
        <w:tc>
          <w:tcPr>
            <w:tcW w:w="0" w:type="auto"/>
            <w:hideMark/>
          </w:tcPr>
          <w:p w14:paraId="35520A27" w14:textId="40E1BCC8" w:rsidR="002F33D0" w:rsidRPr="002F33D0" w:rsidRDefault="00F568E7" w:rsidP="002F33D0">
            <w:pPr>
              <w:ind w:firstLine="0"/>
              <w:rPr>
                <w:rFonts w:eastAsia="Times New Roman"/>
                <w:szCs w:val="24"/>
                <w:lang w:eastAsia="ru-RU"/>
              </w:rPr>
            </w:pPr>
            <w:r>
              <w:rPr>
                <w:rFonts w:eastAsia="Times New Roman"/>
                <w:bCs/>
                <w:szCs w:val="24"/>
                <w:lang w:val="en-US" w:eastAsia="ru-RU"/>
              </w:rPr>
              <w:t>R</w:t>
            </w:r>
            <w:r w:rsidR="002F33D0" w:rsidRPr="00F568E7">
              <w:rPr>
                <w:rFonts w:eastAsia="Times New Roman"/>
                <w:bCs/>
                <w:szCs w:val="24"/>
                <w:vertAlign w:val="subscript"/>
                <w:lang w:eastAsia="ru-RU"/>
              </w:rPr>
              <w:t>4</w:t>
            </w:r>
            <w:r w:rsidR="002F33D0" w:rsidRPr="002F33D0">
              <w:rPr>
                <w:rFonts w:eastAsia="Times New Roman"/>
                <w:bCs/>
                <w:szCs w:val="24"/>
                <w:lang w:eastAsia="ru-RU"/>
              </w:rPr>
              <w:t>. Человеческий капитал</w:t>
            </w:r>
          </w:p>
        </w:tc>
        <w:tc>
          <w:tcPr>
            <w:tcW w:w="0" w:type="auto"/>
            <w:hideMark/>
          </w:tcPr>
          <w:p w14:paraId="275C427A"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Осуществляется ли обучение сотрудников в области цифровых и технологических компетенций?</w:t>
            </w:r>
          </w:p>
        </w:tc>
        <w:tc>
          <w:tcPr>
            <w:tcW w:w="0" w:type="auto"/>
            <w:hideMark/>
          </w:tcPr>
          <w:p w14:paraId="196F00AA"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Эффективна ли командная работа при реализации инновационных проектов?</w:t>
            </w:r>
          </w:p>
        </w:tc>
        <w:tc>
          <w:tcPr>
            <w:tcW w:w="0" w:type="auto"/>
            <w:hideMark/>
          </w:tcPr>
          <w:p w14:paraId="52793207"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Поддерживается ли карьерное развитие сотрудников, участвующих в инновациях?</w:t>
            </w:r>
          </w:p>
        </w:tc>
      </w:tr>
      <w:tr w:rsidR="002F33D0" w:rsidRPr="002F33D0" w14:paraId="43C53CFE" w14:textId="77777777" w:rsidTr="002F33D0">
        <w:tc>
          <w:tcPr>
            <w:tcW w:w="0" w:type="auto"/>
            <w:hideMark/>
          </w:tcPr>
          <w:p w14:paraId="0ABCD5FD" w14:textId="3A2FA40D" w:rsidR="002F33D0" w:rsidRPr="002F33D0" w:rsidRDefault="00F568E7" w:rsidP="002F33D0">
            <w:pPr>
              <w:ind w:firstLine="0"/>
              <w:rPr>
                <w:rFonts w:eastAsia="Times New Roman"/>
                <w:szCs w:val="24"/>
                <w:lang w:eastAsia="ru-RU"/>
              </w:rPr>
            </w:pPr>
            <w:r>
              <w:rPr>
                <w:rFonts w:eastAsia="Times New Roman"/>
                <w:bCs/>
                <w:szCs w:val="24"/>
                <w:lang w:val="en-US" w:eastAsia="ru-RU"/>
              </w:rPr>
              <w:t>R</w:t>
            </w:r>
            <w:r w:rsidR="002F33D0" w:rsidRPr="00F568E7">
              <w:rPr>
                <w:rFonts w:eastAsia="Times New Roman"/>
                <w:bCs/>
                <w:szCs w:val="24"/>
                <w:vertAlign w:val="subscript"/>
                <w:lang w:eastAsia="ru-RU"/>
              </w:rPr>
              <w:t>5</w:t>
            </w:r>
            <w:r w:rsidR="002F33D0" w:rsidRPr="002F33D0">
              <w:rPr>
                <w:rFonts w:eastAsia="Times New Roman"/>
                <w:bCs/>
                <w:szCs w:val="24"/>
                <w:lang w:eastAsia="ru-RU"/>
              </w:rPr>
              <w:t>. Инновационная культура</w:t>
            </w:r>
          </w:p>
        </w:tc>
        <w:tc>
          <w:tcPr>
            <w:tcW w:w="0" w:type="auto"/>
            <w:hideMark/>
          </w:tcPr>
          <w:p w14:paraId="096A0AC1"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Поощряются ли новые идеи и инициативы работников?</w:t>
            </w:r>
          </w:p>
        </w:tc>
        <w:tc>
          <w:tcPr>
            <w:tcW w:w="0" w:type="auto"/>
            <w:hideMark/>
          </w:tcPr>
          <w:p w14:paraId="442B384C"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Осуществляется ли регулярная обратная связь по результатам инноваций?</w:t>
            </w:r>
          </w:p>
        </w:tc>
        <w:tc>
          <w:tcPr>
            <w:tcW w:w="0" w:type="auto"/>
            <w:hideMark/>
          </w:tcPr>
          <w:p w14:paraId="491B9F90"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Разрешается ли экспериментировать и допускать ошибки в процессе внедрения новшеств?</w:t>
            </w:r>
          </w:p>
        </w:tc>
      </w:tr>
      <w:tr w:rsidR="002F33D0" w:rsidRPr="002F33D0" w14:paraId="6B5BA179" w14:textId="77777777" w:rsidTr="002F33D0">
        <w:tc>
          <w:tcPr>
            <w:tcW w:w="0" w:type="auto"/>
            <w:hideMark/>
          </w:tcPr>
          <w:p w14:paraId="00C1A269" w14:textId="764CBB01" w:rsidR="002F33D0" w:rsidRPr="002F33D0" w:rsidRDefault="00F568E7" w:rsidP="002F33D0">
            <w:pPr>
              <w:ind w:firstLine="0"/>
              <w:rPr>
                <w:rFonts w:eastAsia="Times New Roman"/>
                <w:szCs w:val="24"/>
                <w:lang w:eastAsia="ru-RU"/>
              </w:rPr>
            </w:pPr>
            <w:r>
              <w:rPr>
                <w:rFonts w:eastAsia="Times New Roman"/>
                <w:bCs/>
                <w:szCs w:val="24"/>
                <w:lang w:val="en-US" w:eastAsia="ru-RU"/>
              </w:rPr>
              <w:t>R</w:t>
            </w:r>
            <w:r w:rsidR="002F33D0" w:rsidRPr="00F568E7">
              <w:rPr>
                <w:rFonts w:eastAsia="Times New Roman"/>
                <w:bCs/>
                <w:szCs w:val="24"/>
                <w:vertAlign w:val="subscript"/>
                <w:lang w:eastAsia="ru-RU"/>
              </w:rPr>
              <w:t>6</w:t>
            </w:r>
            <w:r w:rsidR="002F33D0" w:rsidRPr="002F33D0">
              <w:rPr>
                <w:rFonts w:eastAsia="Times New Roman"/>
                <w:bCs/>
                <w:szCs w:val="24"/>
                <w:lang w:eastAsia="ru-RU"/>
              </w:rPr>
              <w:t>. Цифровая среда</w:t>
            </w:r>
          </w:p>
        </w:tc>
        <w:tc>
          <w:tcPr>
            <w:tcW w:w="0" w:type="auto"/>
            <w:hideMark/>
          </w:tcPr>
          <w:p w14:paraId="1F804A39"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Насколько предприятие стратегически готово внедрять цифровые решения (наличие стратегии цифровизации)?</w:t>
            </w:r>
          </w:p>
        </w:tc>
        <w:tc>
          <w:tcPr>
            <w:tcW w:w="0" w:type="auto"/>
            <w:hideMark/>
          </w:tcPr>
          <w:p w14:paraId="17AC2967"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Используются ли цифровые платформы для внутренних процессов (например, CRM, ERP, Big Data-аналитика)?</w:t>
            </w:r>
          </w:p>
        </w:tc>
        <w:tc>
          <w:tcPr>
            <w:tcW w:w="0" w:type="auto"/>
            <w:hideMark/>
          </w:tcPr>
          <w:p w14:paraId="42BD1857"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Обеспечивается ли защита данных и кибербезопасность (внедрение систем защиты)?</w:t>
            </w:r>
          </w:p>
        </w:tc>
      </w:tr>
      <w:tr w:rsidR="002F33D0" w:rsidRPr="002F33D0" w14:paraId="61A633D3" w14:textId="77777777" w:rsidTr="002F33D0">
        <w:tc>
          <w:tcPr>
            <w:tcW w:w="0" w:type="auto"/>
            <w:hideMark/>
          </w:tcPr>
          <w:p w14:paraId="354E9BA4" w14:textId="4BF98340" w:rsidR="002F33D0" w:rsidRPr="002F33D0" w:rsidRDefault="00F568E7" w:rsidP="002F33D0">
            <w:pPr>
              <w:ind w:firstLine="0"/>
              <w:rPr>
                <w:rFonts w:eastAsia="Times New Roman"/>
                <w:szCs w:val="24"/>
                <w:lang w:eastAsia="ru-RU"/>
              </w:rPr>
            </w:pPr>
            <w:r>
              <w:rPr>
                <w:rFonts w:eastAsia="Times New Roman"/>
                <w:bCs/>
                <w:szCs w:val="24"/>
                <w:lang w:val="en-US" w:eastAsia="ru-RU"/>
              </w:rPr>
              <w:t>R</w:t>
            </w:r>
            <w:r w:rsidR="002F33D0" w:rsidRPr="00F568E7">
              <w:rPr>
                <w:rFonts w:eastAsia="Times New Roman"/>
                <w:bCs/>
                <w:szCs w:val="24"/>
                <w:vertAlign w:val="subscript"/>
                <w:lang w:eastAsia="ru-RU"/>
              </w:rPr>
              <w:t>7</w:t>
            </w:r>
            <w:r w:rsidR="002F33D0" w:rsidRPr="002F33D0">
              <w:rPr>
                <w:rFonts w:eastAsia="Times New Roman"/>
                <w:bCs/>
                <w:szCs w:val="24"/>
                <w:lang w:eastAsia="ru-RU"/>
              </w:rPr>
              <w:t>. Институциональная среда</w:t>
            </w:r>
          </w:p>
        </w:tc>
        <w:tc>
          <w:tcPr>
            <w:tcW w:w="0" w:type="auto"/>
            <w:hideMark/>
          </w:tcPr>
          <w:p w14:paraId="23B59FA6" w14:textId="11127D41" w:rsidR="002F33D0" w:rsidRPr="002F33D0" w:rsidRDefault="002F33D0" w:rsidP="004B60DD">
            <w:pPr>
              <w:ind w:firstLine="0"/>
              <w:rPr>
                <w:rFonts w:eastAsia="Times New Roman"/>
                <w:szCs w:val="24"/>
                <w:lang w:eastAsia="ru-RU"/>
              </w:rPr>
            </w:pPr>
            <w:r w:rsidRPr="002F33D0">
              <w:rPr>
                <w:rFonts w:eastAsia="Times New Roman"/>
                <w:szCs w:val="24"/>
                <w:lang w:eastAsia="ru-RU"/>
              </w:rPr>
              <w:t>Насколько известны предприятию</w:t>
            </w:r>
            <w:r w:rsidR="004B60DD">
              <w:rPr>
                <w:rFonts w:eastAsia="Times New Roman"/>
                <w:szCs w:val="24"/>
                <w:lang w:val="kk-KZ" w:eastAsia="ru-RU"/>
              </w:rPr>
              <w:t xml:space="preserve"> </w:t>
            </w:r>
            <w:r w:rsidR="004B60DD" w:rsidRPr="002F33D0">
              <w:rPr>
                <w:rFonts w:eastAsia="Times New Roman"/>
                <w:szCs w:val="24"/>
                <w:lang w:eastAsia="ru-RU"/>
              </w:rPr>
              <w:t xml:space="preserve">программы государственной поддержки инноваций </w:t>
            </w:r>
            <w:r w:rsidRPr="002F33D0">
              <w:rPr>
                <w:rFonts w:eastAsia="Times New Roman"/>
                <w:szCs w:val="24"/>
                <w:lang w:eastAsia="ru-RU"/>
              </w:rPr>
              <w:t xml:space="preserve"> </w:t>
            </w:r>
          </w:p>
        </w:tc>
        <w:tc>
          <w:tcPr>
            <w:tcW w:w="0" w:type="auto"/>
            <w:hideMark/>
          </w:tcPr>
          <w:p w14:paraId="09BA5835"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Участвовали ли вы в партнёрских проектах или сетевом взаимодействии с ВУЗами/технопарками?</w:t>
            </w:r>
          </w:p>
        </w:tc>
        <w:tc>
          <w:tcPr>
            <w:tcW w:w="0" w:type="auto"/>
            <w:hideMark/>
          </w:tcPr>
          <w:p w14:paraId="4CD6A5DF"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Насколько благоприятна региональная экосистема для инноваций (доступность инфраструктуры)?</w:t>
            </w:r>
          </w:p>
        </w:tc>
      </w:tr>
      <w:tr w:rsidR="004B60DD" w:rsidRPr="002F33D0" w14:paraId="6574BE67" w14:textId="77777777" w:rsidTr="0012594C">
        <w:tc>
          <w:tcPr>
            <w:tcW w:w="0" w:type="auto"/>
            <w:gridSpan w:val="4"/>
          </w:tcPr>
          <w:p w14:paraId="19EE490A" w14:textId="6FA1DC5A" w:rsidR="004B60DD" w:rsidRPr="004B60DD" w:rsidRDefault="004B60DD" w:rsidP="000F3C80">
            <w:pPr>
              <w:ind w:firstLine="455"/>
              <w:rPr>
                <w:rFonts w:eastAsia="Times New Roman"/>
                <w:szCs w:val="24"/>
                <w:lang w:val="kk-KZ" w:eastAsia="ru-RU"/>
              </w:rPr>
            </w:pPr>
            <w:r w:rsidRPr="00EE311D">
              <w:rPr>
                <w:rFonts w:eastAsia="Times New Roman"/>
                <w:szCs w:val="24"/>
                <w:lang w:val="kk-KZ" w:eastAsia="ru-RU"/>
              </w:rPr>
              <w:t xml:space="preserve">Примечание – </w:t>
            </w:r>
            <w:r w:rsidR="000F3C80" w:rsidRPr="00EE311D">
              <w:rPr>
                <w:rFonts w:eastAsia="Times New Roman"/>
                <w:szCs w:val="24"/>
                <w:lang w:val="kk-KZ" w:eastAsia="ru-RU"/>
              </w:rPr>
              <w:t>С</w:t>
            </w:r>
            <w:r w:rsidRPr="00EE311D">
              <w:rPr>
                <w:rFonts w:eastAsia="Times New Roman"/>
                <w:szCs w:val="24"/>
                <w:lang w:val="kk-KZ" w:eastAsia="ru-RU"/>
              </w:rPr>
              <w:t xml:space="preserve">оставлено автором </w:t>
            </w:r>
          </w:p>
        </w:tc>
      </w:tr>
    </w:tbl>
    <w:p w14:paraId="054F9BFE" w14:textId="15BED623"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lastRenderedPageBreak/>
        <w:t>Это позволяет перейти от унифицированной диагностики к адаптивной оценке, учитывающей организационную специфику респондентов</w:t>
      </w:r>
      <w:r w:rsidR="00F568E7" w:rsidRPr="00F568E7">
        <w:rPr>
          <w:rFonts w:ascii="Times New Roman" w:hAnsi="Times New Roman" w:cs="Times New Roman"/>
          <w:sz w:val="28"/>
          <w:szCs w:val="28"/>
        </w:rPr>
        <w:t xml:space="preserve"> </w:t>
      </w:r>
      <w:r w:rsidR="004B60DD">
        <w:rPr>
          <w:rFonts w:ascii="Times New Roman" w:hAnsi="Times New Roman" w:cs="Times New Roman"/>
          <w:sz w:val="28"/>
          <w:szCs w:val="28"/>
          <w:lang w:val="kk-KZ"/>
        </w:rPr>
        <w:t>(таблица 32</w:t>
      </w:r>
      <w:r w:rsidR="00F568E7">
        <w:rPr>
          <w:rFonts w:ascii="Times New Roman" w:hAnsi="Times New Roman" w:cs="Times New Roman"/>
          <w:sz w:val="28"/>
          <w:szCs w:val="28"/>
          <w:lang w:val="kk-KZ"/>
        </w:rPr>
        <w:t>)</w:t>
      </w:r>
      <w:r w:rsidRPr="002F33D0">
        <w:rPr>
          <w:rFonts w:ascii="Times New Roman" w:hAnsi="Times New Roman" w:cs="Times New Roman"/>
          <w:sz w:val="28"/>
          <w:szCs w:val="28"/>
        </w:rPr>
        <w:t>.</w:t>
      </w:r>
    </w:p>
    <w:p w14:paraId="5A202362" w14:textId="77777777" w:rsidR="002F33D0" w:rsidRPr="002F33D0" w:rsidRDefault="002F33D0" w:rsidP="002F33D0">
      <w:pPr>
        <w:spacing w:after="0" w:line="240" w:lineRule="auto"/>
        <w:jc w:val="both"/>
        <w:rPr>
          <w:rFonts w:ascii="Times New Roman" w:hAnsi="Times New Roman" w:cs="Times New Roman"/>
          <w:sz w:val="28"/>
          <w:szCs w:val="28"/>
        </w:rPr>
      </w:pPr>
    </w:p>
    <w:p w14:paraId="1DFA44B7" w14:textId="397E7ED2" w:rsidR="002F33D0" w:rsidRPr="002F33D0" w:rsidRDefault="004B60DD" w:rsidP="002F33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3</w:t>
      </w:r>
      <w:r>
        <w:rPr>
          <w:rFonts w:ascii="Times New Roman" w:hAnsi="Times New Roman" w:cs="Times New Roman"/>
          <w:sz w:val="28"/>
          <w:szCs w:val="28"/>
          <w:lang w:val="kk-KZ"/>
        </w:rPr>
        <w:t>2</w:t>
      </w:r>
      <w:r w:rsidR="002F33D0" w:rsidRPr="002F33D0">
        <w:rPr>
          <w:rFonts w:ascii="Times New Roman" w:hAnsi="Times New Roman" w:cs="Times New Roman"/>
          <w:sz w:val="28"/>
          <w:szCs w:val="28"/>
        </w:rPr>
        <w:t xml:space="preserve"> – Дифференциация весовых коэффициентов ресурсных компонентов инновационного потенциала по размерам предприятий</w:t>
      </w:r>
    </w:p>
    <w:p w14:paraId="252AD95A" w14:textId="77777777" w:rsidR="002F33D0" w:rsidRPr="004B60DD" w:rsidRDefault="002F33D0" w:rsidP="002F33D0">
      <w:pPr>
        <w:spacing w:after="0" w:line="240" w:lineRule="auto"/>
        <w:jc w:val="both"/>
        <w:rPr>
          <w:rFonts w:ascii="Times New Roman" w:hAnsi="Times New Roman" w:cs="Times New Roman"/>
          <w:sz w:val="20"/>
          <w:szCs w:val="20"/>
        </w:rPr>
      </w:pPr>
    </w:p>
    <w:tbl>
      <w:tblPr>
        <w:tblStyle w:val="a5"/>
        <w:tblW w:w="9351" w:type="dxa"/>
        <w:tblLook w:val="04A0" w:firstRow="1" w:lastRow="0" w:firstColumn="1" w:lastColumn="0" w:noHBand="0" w:noVBand="1"/>
      </w:tblPr>
      <w:tblGrid>
        <w:gridCol w:w="2269"/>
        <w:gridCol w:w="1047"/>
        <w:gridCol w:w="1047"/>
        <w:gridCol w:w="1047"/>
        <w:gridCol w:w="3941"/>
      </w:tblGrid>
      <w:tr w:rsidR="002F33D0" w:rsidRPr="002F33D0" w14:paraId="14A42680" w14:textId="77777777" w:rsidTr="002F33D0">
        <w:tc>
          <w:tcPr>
            <w:tcW w:w="2269" w:type="dxa"/>
            <w:hideMark/>
          </w:tcPr>
          <w:p w14:paraId="77E1265C" w14:textId="77777777" w:rsidR="002F33D0" w:rsidRPr="002F33D0" w:rsidRDefault="002F33D0" w:rsidP="002D5680">
            <w:pPr>
              <w:ind w:firstLine="0"/>
              <w:jc w:val="center"/>
              <w:rPr>
                <w:rFonts w:eastAsia="Times New Roman"/>
                <w:bCs/>
                <w:szCs w:val="24"/>
                <w:lang w:eastAsia="ru-RU"/>
              </w:rPr>
            </w:pPr>
            <w:r w:rsidRPr="002F33D0">
              <w:rPr>
                <w:rFonts w:eastAsia="Times New Roman"/>
                <w:bCs/>
                <w:szCs w:val="24"/>
                <w:lang w:eastAsia="ru-RU"/>
              </w:rPr>
              <w:t>Компонент инновационного потенциала</w:t>
            </w:r>
          </w:p>
        </w:tc>
        <w:tc>
          <w:tcPr>
            <w:tcW w:w="1047" w:type="dxa"/>
            <w:hideMark/>
          </w:tcPr>
          <w:p w14:paraId="1389A15E" w14:textId="77777777" w:rsidR="002F33D0" w:rsidRPr="002F33D0" w:rsidRDefault="002F33D0" w:rsidP="002D5680">
            <w:pPr>
              <w:ind w:firstLine="0"/>
              <w:jc w:val="center"/>
              <w:rPr>
                <w:rFonts w:eastAsia="Times New Roman"/>
                <w:bCs/>
                <w:szCs w:val="24"/>
                <w:lang w:eastAsia="ru-RU"/>
              </w:rPr>
            </w:pPr>
            <w:r w:rsidRPr="002F33D0">
              <w:rPr>
                <w:rFonts w:eastAsia="Times New Roman"/>
                <w:bCs/>
                <w:szCs w:val="24"/>
                <w:lang w:eastAsia="ru-RU"/>
              </w:rPr>
              <w:t>Крупн</w:t>
            </w:r>
            <w:r w:rsidRPr="002F33D0">
              <w:rPr>
                <w:rFonts w:eastAsia="Times New Roman"/>
                <w:bCs/>
                <w:szCs w:val="24"/>
                <w:lang w:val="kk-KZ" w:eastAsia="ru-RU"/>
              </w:rPr>
              <w:t>.</w:t>
            </w:r>
            <w:r w:rsidRPr="002F33D0">
              <w:rPr>
                <w:rFonts w:eastAsia="Times New Roman"/>
                <w:bCs/>
                <w:szCs w:val="24"/>
                <w:lang w:eastAsia="ru-RU"/>
              </w:rPr>
              <w:t xml:space="preserve"> Предпр</w:t>
            </w:r>
            <w:r w:rsidRPr="002F33D0">
              <w:rPr>
                <w:rFonts w:eastAsia="Times New Roman"/>
                <w:bCs/>
                <w:szCs w:val="24"/>
                <w:lang w:val="kk-KZ" w:eastAsia="ru-RU"/>
              </w:rPr>
              <w:t>.</w:t>
            </w:r>
            <w:r w:rsidRPr="002F33D0">
              <w:rPr>
                <w:rFonts w:eastAsia="Times New Roman"/>
                <w:bCs/>
                <w:szCs w:val="24"/>
                <w:lang w:eastAsia="ru-RU"/>
              </w:rPr>
              <w:t xml:space="preserve"> (β)</w:t>
            </w:r>
          </w:p>
        </w:tc>
        <w:tc>
          <w:tcPr>
            <w:tcW w:w="1047" w:type="dxa"/>
            <w:hideMark/>
          </w:tcPr>
          <w:p w14:paraId="22005610" w14:textId="77777777" w:rsidR="002F33D0" w:rsidRPr="002F33D0" w:rsidRDefault="002F33D0" w:rsidP="002D5680">
            <w:pPr>
              <w:ind w:firstLine="0"/>
              <w:jc w:val="center"/>
              <w:rPr>
                <w:rFonts w:eastAsia="Times New Roman"/>
                <w:bCs/>
                <w:szCs w:val="24"/>
                <w:lang w:eastAsia="ru-RU"/>
              </w:rPr>
            </w:pPr>
            <w:r w:rsidRPr="002F33D0">
              <w:rPr>
                <w:rFonts w:eastAsia="Times New Roman"/>
                <w:bCs/>
                <w:szCs w:val="24"/>
                <w:lang w:eastAsia="ru-RU"/>
              </w:rPr>
              <w:t>Средн</w:t>
            </w:r>
            <w:r w:rsidRPr="002F33D0">
              <w:rPr>
                <w:rFonts w:eastAsia="Times New Roman"/>
                <w:bCs/>
                <w:szCs w:val="24"/>
                <w:lang w:val="kk-KZ" w:eastAsia="ru-RU"/>
              </w:rPr>
              <w:t>.</w:t>
            </w:r>
            <w:r w:rsidRPr="002F33D0">
              <w:rPr>
                <w:rFonts w:eastAsia="Times New Roman"/>
                <w:bCs/>
                <w:szCs w:val="24"/>
                <w:lang w:eastAsia="ru-RU"/>
              </w:rPr>
              <w:t xml:space="preserve"> Предпр</w:t>
            </w:r>
            <w:r w:rsidRPr="002F33D0">
              <w:rPr>
                <w:rFonts w:eastAsia="Times New Roman"/>
                <w:bCs/>
                <w:szCs w:val="24"/>
                <w:lang w:val="kk-KZ" w:eastAsia="ru-RU"/>
              </w:rPr>
              <w:t>.</w:t>
            </w:r>
            <w:r w:rsidRPr="002F33D0">
              <w:rPr>
                <w:rFonts w:eastAsia="Times New Roman"/>
                <w:bCs/>
                <w:szCs w:val="24"/>
                <w:lang w:eastAsia="ru-RU"/>
              </w:rPr>
              <w:t xml:space="preserve"> (β)</w:t>
            </w:r>
          </w:p>
        </w:tc>
        <w:tc>
          <w:tcPr>
            <w:tcW w:w="1047" w:type="dxa"/>
            <w:hideMark/>
          </w:tcPr>
          <w:p w14:paraId="01F25F29" w14:textId="77777777" w:rsidR="002F33D0" w:rsidRPr="002F33D0" w:rsidRDefault="002F33D0" w:rsidP="002D5680">
            <w:pPr>
              <w:ind w:firstLine="0"/>
              <w:jc w:val="center"/>
              <w:rPr>
                <w:rFonts w:eastAsia="Times New Roman"/>
                <w:bCs/>
                <w:szCs w:val="24"/>
                <w:lang w:eastAsia="ru-RU"/>
              </w:rPr>
            </w:pPr>
            <w:r w:rsidRPr="002F33D0">
              <w:rPr>
                <w:rFonts w:eastAsia="Times New Roman"/>
                <w:bCs/>
                <w:szCs w:val="24"/>
                <w:lang w:eastAsia="ru-RU"/>
              </w:rPr>
              <w:t>Мал</w:t>
            </w:r>
            <w:r w:rsidRPr="002F33D0">
              <w:rPr>
                <w:rFonts w:eastAsia="Times New Roman"/>
                <w:bCs/>
                <w:szCs w:val="24"/>
                <w:lang w:val="kk-KZ" w:eastAsia="ru-RU"/>
              </w:rPr>
              <w:t>.</w:t>
            </w:r>
            <w:r w:rsidRPr="002F33D0">
              <w:rPr>
                <w:rFonts w:eastAsia="Times New Roman"/>
                <w:bCs/>
                <w:szCs w:val="24"/>
                <w:lang w:eastAsia="ru-RU"/>
              </w:rPr>
              <w:t xml:space="preserve"> Предпр</w:t>
            </w:r>
            <w:r w:rsidRPr="002F33D0">
              <w:rPr>
                <w:rFonts w:eastAsia="Times New Roman"/>
                <w:bCs/>
                <w:szCs w:val="24"/>
                <w:lang w:val="kk-KZ" w:eastAsia="ru-RU"/>
              </w:rPr>
              <w:t>.</w:t>
            </w:r>
            <w:r w:rsidRPr="002F33D0">
              <w:rPr>
                <w:rFonts w:eastAsia="Times New Roman"/>
                <w:bCs/>
                <w:szCs w:val="24"/>
                <w:lang w:eastAsia="ru-RU"/>
              </w:rPr>
              <w:t xml:space="preserve"> (β)</w:t>
            </w:r>
          </w:p>
        </w:tc>
        <w:tc>
          <w:tcPr>
            <w:tcW w:w="3941" w:type="dxa"/>
            <w:hideMark/>
          </w:tcPr>
          <w:p w14:paraId="4A3955FA" w14:textId="77777777" w:rsidR="002F33D0" w:rsidRPr="002F33D0" w:rsidRDefault="002F33D0" w:rsidP="002D5680">
            <w:pPr>
              <w:ind w:firstLine="0"/>
              <w:jc w:val="center"/>
              <w:rPr>
                <w:rFonts w:eastAsia="Times New Roman"/>
                <w:bCs/>
                <w:szCs w:val="24"/>
                <w:lang w:eastAsia="ru-RU"/>
              </w:rPr>
            </w:pPr>
            <w:r w:rsidRPr="002F33D0">
              <w:rPr>
                <w:rFonts w:eastAsia="Times New Roman"/>
                <w:bCs/>
                <w:szCs w:val="24"/>
                <w:lang w:eastAsia="ru-RU"/>
              </w:rPr>
              <w:t>Интерпретация влияния</w:t>
            </w:r>
          </w:p>
        </w:tc>
      </w:tr>
      <w:tr w:rsidR="002F33D0" w:rsidRPr="002F33D0" w14:paraId="3223511B" w14:textId="77777777" w:rsidTr="002F33D0">
        <w:tc>
          <w:tcPr>
            <w:tcW w:w="2269" w:type="dxa"/>
            <w:hideMark/>
          </w:tcPr>
          <w:p w14:paraId="7865BC56" w14:textId="60B980D9" w:rsidR="002F33D0" w:rsidRPr="002F33D0" w:rsidRDefault="00F568E7" w:rsidP="002F33D0">
            <w:pPr>
              <w:ind w:firstLine="0"/>
              <w:rPr>
                <w:rFonts w:eastAsia="Times New Roman"/>
                <w:szCs w:val="24"/>
                <w:lang w:eastAsia="ru-RU"/>
              </w:rPr>
            </w:pPr>
            <w:r>
              <w:rPr>
                <w:rFonts w:eastAsia="Times New Roman"/>
                <w:bCs/>
                <w:szCs w:val="24"/>
                <w:lang w:val="en-US" w:eastAsia="ru-RU"/>
              </w:rPr>
              <w:t>R</w:t>
            </w:r>
            <w:r w:rsidR="002F33D0" w:rsidRPr="00F568E7">
              <w:rPr>
                <w:rFonts w:eastAsia="Times New Roman"/>
                <w:bCs/>
                <w:szCs w:val="24"/>
                <w:vertAlign w:val="subscript"/>
                <w:lang w:eastAsia="ru-RU"/>
              </w:rPr>
              <w:t>1</w:t>
            </w:r>
            <w:r w:rsidR="002F33D0" w:rsidRPr="002F33D0">
              <w:rPr>
                <w:rFonts w:eastAsia="Times New Roman"/>
                <w:bCs/>
                <w:szCs w:val="24"/>
                <w:lang w:eastAsia="ru-RU"/>
              </w:rPr>
              <w:t>. Управленческие ресурсы</w:t>
            </w:r>
          </w:p>
        </w:tc>
        <w:tc>
          <w:tcPr>
            <w:tcW w:w="1047" w:type="dxa"/>
            <w:hideMark/>
          </w:tcPr>
          <w:p w14:paraId="71F72627" w14:textId="77777777" w:rsidR="002F33D0" w:rsidRPr="002F33D0" w:rsidRDefault="002F33D0" w:rsidP="002D5680">
            <w:pPr>
              <w:ind w:firstLine="0"/>
              <w:jc w:val="center"/>
              <w:rPr>
                <w:rFonts w:eastAsia="Times New Roman"/>
                <w:szCs w:val="24"/>
                <w:lang w:eastAsia="ru-RU"/>
              </w:rPr>
            </w:pPr>
            <w:r w:rsidRPr="002F33D0">
              <w:rPr>
                <w:rFonts w:eastAsia="Times New Roman"/>
                <w:bCs/>
                <w:szCs w:val="24"/>
                <w:lang w:eastAsia="ru-RU"/>
              </w:rPr>
              <w:t>0,561</w:t>
            </w:r>
          </w:p>
        </w:tc>
        <w:tc>
          <w:tcPr>
            <w:tcW w:w="1047" w:type="dxa"/>
            <w:hideMark/>
          </w:tcPr>
          <w:p w14:paraId="317F8A33" w14:textId="77777777" w:rsidR="002F33D0" w:rsidRPr="002F33D0" w:rsidRDefault="002F33D0" w:rsidP="002D5680">
            <w:pPr>
              <w:ind w:firstLine="0"/>
              <w:jc w:val="center"/>
              <w:rPr>
                <w:rFonts w:eastAsia="Times New Roman"/>
                <w:szCs w:val="24"/>
                <w:lang w:eastAsia="ru-RU"/>
              </w:rPr>
            </w:pPr>
            <w:r w:rsidRPr="002F33D0">
              <w:rPr>
                <w:rFonts w:eastAsia="Times New Roman"/>
                <w:szCs w:val="24"/>
                <w:lang w:eastAsia="ru-RU"/>
              </w:rPr>
              <w:t>0,528</w:t>
            </w:r>
          </w:p>
        </w:tc>
        <w:tc>
          <w:tcPr>
            <w:tcW w:w="1047" w:type="dxa"/>
            <w:hideMark/>
          </w:tcPr>
          <w:p w14:paraId="04E58CE4" w14:textId="77777777" w:rsidR="002F33D0" w:rsidRPr="002F33D0" w:rsidRDefault="002F33D0" w:rsidP="002D5680">
            <w:pPr>
              <w:ind w:firstLine="0"/>
              <w:jc w:val="center"/>
              <w:rPr>
                <w:rFonts w:eastAsia="Times New Roman"/>
                <w:szCs w:val="24"/>
                <w:lang w:eastAsia="ru-RU"/>
              </w:rPr>
            </w:pPr>
            <w:r w:rsidRPr="002F33D0">
              <w:rPr>
                <w:rFonts w:eastAsia="Times New Roman"/>
                <w:szCs w:val="24"/>
                <w:lang w:eastAsia="ru-RU"/>
              </w:rPr>
              <w:t>0,526</w:t>
            </w:r>
          </w:p>
        </w:tc>
        <w:tc>
          <w:tcPr>
            <w:tcW w:w="3941" w:type="dxa"/>
            <w:hideMark/>
          </w:tcPr>
          <w:p w14:paraId="755AA971"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Ключевой фактор управляемости инновационных процессов; значение устойчиво высоко во всех группах</w:t>
            </w:r>
          </w:p>
        </w:tc>
      </w:tr>
      <w:tr w:rsidR="002F33D0" w:rsidRPr="002F33D0" w14:paraId="6E7ECF16" w14:textId="77777777" w:rsidTr="002F33D0">
        <w:tc>
          <w:tcPr>
            <w:tcW w:w="2269" w:type="dxa"/>
            <w:hideMark/>
          </w:tcPr>
          <w:p w14:paraId="0FEB58CC" w14:textId="10CC1358" w:rsidR="002F33D0" w:rsidRPr="002F33D0" w:rsidRDefault="00F568E7" w:rsidP="002F33D0">
            <w:pPr>
              <w:ind w:firstLine="0"/>
              <w:rPr>
                <w:rFonts w:eastAsia="Times New Roman"/>
                <w:szCs w:val="24"/>
                <w:lang w:eastAsia="ru-RU"/>
              </w:rPr>
            </w:pPr>
            <w:r>
              <w:rPr>
                <w:rFonts w:eastAsia="Times New Roman"/>
                <w:bCs/>
                <w:szCs w:val="24"/>
                <w:lang w:val="en-US" w:eastAsia="ru-RU"/>
              </w:rPr>
              <w:t>R</w:t>
            </w:r>
            <w:r w:rsidR="002F33D0" w:rsidRPr="00F568E7">
              <w:rPr>
                <w:rFonts w:eastAsia="Times New Roman"/>
                <w:bCs/>
                <w:szCs w:val="24"/>
                <w:vertAlign w:val="subscript"/>
                <w:lang w:eastAsia="ru-RU"/>
              </w:rPr>
              <w:t>2</w:t>
            </w:r>
            <w:r w:rsidR="002F33D0" w:rsidRPr="002F33D0">
              <w:rPr>
                <w:rFonts w:eastAsia="Times New Roman"/>
                <w:bCs/>
                <w:szCs w:val="24"/>
                <w:lang w:eastAsia="ru-RU"/>
              </w:rPr>
              <w:t>. Технологические ресурсы</w:t>
            </w:r>
          </w:p>
        </w:tc>
        <w:tc>
          <w:tcPr>
            <w:tcW w:w="1047" w:type="dxa"/>
            <w:hideMark/>
          </w:tcPr>
          <w:p w14:paraId="52BA315F" w14:textId="77777777" w:rsidR="002F33D0" w:rsidRPr="002F33D0" w:rsidRDefault="002F33D0" w:rsidP="002D5680">
            <w:pPr>
              <w:ind w:firstLine="0"/>
              <w:jc w:val="center"/>
              <w:rPr>
                <w:rFonts w:eastAsia="Times New Roman"/>
                <w:szCs w:val="24"/>
                <w:lang w:eastAsia="ru-RU"/>
              </w:rPr>
            </w:pPr>
            <w:r w:rsidRPr="002F33D0">
              <w:rPr>
                <w:rFonts w:eastAsia="Times New Roman"/>
                <w:szCs w:val="24"/>
                <w:lang w:eastAsia="ru-RU"/>
              </w:rPr>
              <w:t>0,527</w:t>
            </w:r>
          </w:p>
        </w:tc>
        <w:tc>
          <w:tcPr>
            <w:tcW w:w="1047" w:type="dxa"/>
            <w:hideMark/>
          </w:tcPr>
          <w:p w14:paraId="4C04EA3E" w14:textId="77777777" w:rsidR="002F33D0" w:rsidRPr="002F33D0" w:rsidRDefault="002F33D0" w:rsidP="002D5680">
            <w:pPr>
              <w:ind w:firstLine="0"/>
              <w:jc w:val="center"/>
              <w:rPr>
                <w:rFonts w:eastAsia="Times New Roman"/>
                <w:szCs w:val="24"/>
                <w:lang w:eastAsia="ru-RU"/>
              </w:rPr>
            </w:pPr>
            <w:r w:rsidRPr="002F33D0">
              <w:rPr>
                <w:rFonts w:eastAsia="Times New Roman"/>
                <w:szCs w:val="24"/>
                <w:lang w:eastAsia="ru-RU"/>
              </w:rPr>
              <w:t>0,510</w:t>
            </w:r>
          </w:p>
        </w:tc>
        <w:tc>
          <w:tcPr>
            <w:tcW w:w="1047" w:type="dxa"/>
            <w:hideMark/>
          </w:tcPr>
          <w:p w14:paraId="739B3977" w14:textId="77777777" w:rsidR="002F33D0" w:rsidRPr="002F33D0" w:rsidRDefault="002F33D0" w:rsidP="002D5680">
            <w:pPr>
              <w:ind w:firstLine="0"/>
              <w:jc w:val="center"/>
              <w:rPr>
                <w:rFonts w:eastAsia="Times New Roman"/>
                <w:szCs w:val="24"/>
                <w:lang w:eastAsia="ru-RU"/>
              </w:rPr>
            </w:pPr>
            <w:r w:rsidRPr="002F33D0">
              <w:rPr>
                <w:rFonts w:eastAsia="Times New Roman"/>
                <w:bCs/>
                <w:szCs w:val="24"/>
                <w:lang w:eastAsia="ru-RU"/>
              </w:rPr>
              <w:t>0,531</w:t>
            </w:r>
          </w:p>
        </w:tc>
        <w:tc>
          <w:tcPr>
            <w:tcW w:w="3941" w:type="dxa"/>
            <w:hideMark/>
          </w:tcPr>
          <w:p w14:paraId="24F88E7B"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Определяют технологическую готовность; особенно значимы для малых предприятий</w:t>
            </w:r>
          </w:p>
        </w:tc>
      </w:tr>
      <w:tr w:rsidR="002F33D0" w:rsidRPr="002F33D0" w14:paraId="63EF0383" w14:textId="77777777" w:rsidTr="002F33D0">
        <w:tc>
          <w:tcPr>
            <w:tcW w:w="2269" w:type="dxa"/>
            <w:hideMark/>
          </w:tcPr>
          <w:p w14:paraId="11DB66FF" w14:textId="21BFFD3B" w:rsidR="002F33D0" w:rsidRPr="002F33D0" w:rsidRDefault="00F568E7" w:rsidP="002F33D0">
            <w:pPr>
              <w:ind w:firstLine="0"/>
              <w:rPr>
                <w:rFonts w:eastAsia="Times New Roman"/>
                <w:szCs w:val="24"/>
                <w:lang w:eastAsia="ru-RU"/>
              </w:rPr>
            </w:pPr>
            <w:r>
              <w:rPr>
                <w:rFonts w:eastAsia="Times New Roman"/>
                <w:bCs/>
                <w:szCs w:val="24"/>
                <w:lang w:val="en-US" w:eastAsia="ru-RU"/>
              </w:rPr>
              <w:t>R</w:t>
            </w:r>
            <w:r w:rsidR="002F33D0" w:rsidRPr="00F568E7">
              <w:rPr>
                <w:rFonts w:eastAsia="Times New Roman"/>
                <w:bCs/>
                <w:szCs w:val="24"/>
                <w:vertAlign w:val="subscript"/>
                <w:lang w:eastAsia="ru-RU"/>
              </w:rPr>
              <w:t>3</w:t>
            </w:r>
            <w:r w:rsidR="002F33D0" w:rsidRPr="002F33D0">
              <w:rPr>
                <w:rFonts w:eastAsia="Times New Roman"/>
                <w:bCs/>
                <w:szCs w:val="24"/>
                <w:lang w:eastAsia="ru-RU"/>
              </w:rPr>
              <w:t>. Финансовые ресурсы</w:t>
            </w:r>
          </w:p>
        </w:tc>
        <w:tc>
          <w:tcPr>
            <w:tcW w:w="1047" w:type="dxa"/>
            <w:hideMark/>
          </w:tcPr>
          <w:p w14:paraId="290AFC9C" w14:textId="77777777" w:rsidR="002F33D0" w:rsidRPr="002F33D0" w:rsidRDefault="002F33D0" w:rsidP="002D5680">
            <w:pPr>
              <w:ind w:firstLine="0"/>
              <w:jc w:val="center"/>
              <w:rPr>
                <w:rFonts w:eastAsia="Times New Roman"/>
                <w:szCs w:val="24"/>
                <w:lang w:eastAsia="ru-RU"/>
              </w:rPr>
            </w:pPr>
            <w:r w:rsidRPr="002F33D0">
              <w:rPr>
                <w:rFonts w:eastAsia="Times New Roman"/>
                <w:szCs w:val="24"/>
                <w:lang w:eastAsia="ru-RU"/>
              </w:rPr>
              <w:t>0,425</w:t>
            </w:r>
          </w:p>
        </w:tc>
        <w:tc>
          <w:tcPr>
            <w:tcW w:w="1047" w:type="dxa"/>
            <w:hideMark/>
          </w:tcPr>
          <w:p w14:paraId="2589BA73" w14:textId="77777777" w:rsidR="002F33D0" w:rsidRPr="002F33D0" w:rsidRDefault="002F33D0" w:rsidP="002D5680">
            <w:pPr>
              <w:ind w:firstLine="0"/>
              <w:jc w:val="center"/>
              <w:rPr>
                <w:rFonts w:eastAsia="Times New Roman"/>
                <w:szCs w:val="24"/>
                <w:lang w:eastAsia="ru-RU"/>
              </w:rPr>
            </w:pPr>
            <w:r w:rsidRPr="002F33D0">
              <w:rPr>
                <w:rFonts w:eastAsia="Times New Roman"/>
                <w:szCs w:val="24"/>
                <w:lang w:eastAsia="ru-RU"/>
              </w:rPr>
              <w:t>0,457</w:t>
            </w:r>
          </w:p>
        </w:tc>
        <w:tc>
          <w:tcPr>
            <w:tcW w:w="1047" w:type="dxa"/>
            <w:hideMark/>
          </w:tcPr>
          <w:p w14:paraId="2FC29616" w14:textId="77777777" w:rsidR="002F33D0" w:rsidRPr="002F33D0" w:rsidRDefault="002F33D0" w:rsidP="002D5680">
            <w:pPr>
              <w:ind w:firstLine="0"/>
              <w:jc w:val="center"/>
              <w:rPr>
                <w:rFonts w:eastAsia="Times New Roman"/>
                <w:szCs w:val="24"/>
                <w:lang w:eastAsia="ru-RU"/>
              </w:rPr>
            </w:pPr>
            <w:r w:rsidRPr="002F33D0">
              <w:rPr>
                <w:rFonts w:eastAsia="Times New Roman"/>
                <w:szCs w:val="24"/>
                <w:lang w:eastAsia="ru-RU"/>
              </w:rPr>
              <w:t>0,457</w:t>
            </w:r>
          </w:p>
        </w:tc>
        <w:tc>
          <w:tcPr>
            <w:tcW w:w="3941" w:type="dxa"/>
            <w:hideMark/>
          </w:tcPr>
          <w:p w14:paraId="57048855"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Обеспечивают возможность реализации инноваций; ограничены у МСП</w:t>
            </w:r>
          </w:p>
        </w:tc>
      </w:tr>
      <w:tr w:rsidR="002F33D0" w:rsidRPr="002F33D0" w14:paraId="57E77240" w14:textId="77777777" w:rsidTr="002F33D0">
        <w:tc>
          <w:tcPr>
            <w:tcW w:w="2269" w:type="dxa"/>
            <w:hideMark/>
          </w:tcPr>
          <w:p w14:paraId="6366A23D" w14:textId="6F55EA29" w:rsidR="002F33D0" w:rsidRPr="002F33D0" w:rsidRDefault="00F568E7" w:rsidP="002F33D0">
            <w:pPr>
              <w:ind w:firstLine="0"/>
              <w:rPr>
                <w:rFonts w:eastAsia="Times New Roman"/>
                <w:szCs w:val="24"/>
                <w:lang w:eastAsia="ru-RU"/>
              </w:rPr>
            </w:pPr>
            <w:r>
              <w:rPr>
                <w:rFonts w:eastAsia="Times New Roman"/>
                <w:bCs/>
                <w:szCs w:val="24"/>
                <w:lang w:val="en-US" w:eastAsia="ru-RU"/>
              </w:rPr>
              <w:t>R</w:t>
            </w:r>
            <w:r w:rsidR="002F33D0" w:rsidRPr="00F568E7">
              <w:rPr>
                <w:rFonts w:eastAsia="Times New Roman"/>
                <w:bCs/>
                <w:szCs w:val="24"/>
                <w:vertAlign w:val="subscript"/>
                <w:lang w:eastAsia="ru-RU"/>
              </w:rPr>
              <w:t>4</w:t>
            </w:r>
            <w:r w:rsidR="002F33D0" w:rsidRPr="002F33D0">
              <w:rPr>
                <w:rFonts w:eastAsia="Times New Roman"/>
                <w:bCs/>
                <w:szCs w:val="24"/>
                <w:lang w:eastAsia="ru-RU"/>
              </w:rPr>
              <w:t>. Человеческий капитал (компетенции)</w:t>
            </w:r>
          </w:p>
        </w:tc>
        <w:tc>
          <w:tcPr>
            <w:tcW w:w="1047" w:type="dxa"/>
            <w:hideMark/>
          </w:tcPr>
          <w:p w14:paraId="736ADC58" w14:textId="77777777" w:rsidR="002F33D0" w:rsidRPr="002F33D0" w:rsidRDefault="002F33D0" w:rsidP="002D5680">
            <w:pPr>
              <w:ind w:firstLine="0"/>
              <w:jc w:val="center"/>
              <w:rPr>
                <w:rFonts w:eastAsia="Times New Roman"/>
                <w:szCs w:val="24"/>
                <w:lang w:eastAsia="ru-RU"/>
              </w:rPr>
            </w:pPr>
            <w:r w:rsidRPr="002F33D0">
              <w:rPr>
                <w:rFonts w:eastAsia="Times New Roman"/>
                <w:szCs w:val="24"/>
                <w:lang w:eastAsia="ru-RU"/>
              </w:rPr>
              <w:t>0,378</w:t>
            </w:r>
          </w:p>
        </w:tc>
        <w:tc>
          <w:tcPr>
            <w:tcW w:w="1047" w:type="dxa"/>
            <w:hideMark/>
          </w:tcPr>
          <w:p w14:paraId="6594022B" w14:textId="77777777" w:rsidR="002F33D0" w:rsidRPr="002F33D0" w:rsidRDefault="002F33D0" w:rsidP="002D5680">
            <w:pPr>
              <w:ind w:firstLine="0"/>
              <w:jc w:val="center"/>
              <w:rPr>
                <w:rFonts w:eastAsia="Times New Roman"/>
                <w:szCs w:val="24"/>
                <w:lang w:eastAsia="ru-RU"/>
              </w:rPr>
            </w:pPr>
            <w:r w:rsidRPr="002F33D0">
              <w:rPr>
                <w:rFonts w:eastAsia="Times New Roman"/>
                <w:bCs/>
                <w:szCs w:val="24"/>
                <w:lang w:eastAsia="ru-RU"/>
              </w:rPr>
              <w:t>0,408</w:t>
            </w:r>
          </w:p>
        </w:tc>
        <w:tc>
          <w:tcPr>
            <w:tcW w:w="1047" w:type="dxa"/>
            <w:hideMark/>
          </w:tcPr>
          <w:p w14:paraId="7A242287" w14:textId="77777777" w:rsidR="002F33D0" w:rsidRPr="002F33D0" w:rsidRDefault="002F33D0" w:rsidP="002D5680">
            <w:pPr>
              <w:ind w:firstLine="0"/>
              <w:jc w:val="center"/>
              <w:rPr>
                <w:rFonts w:eastAsia="Times New Roman"/>
                <w:szCs w:val="24"/>
                <w:lang w:eastAsia="ru-RU"/>
              </w:rPr>
            </w:pPr>
            <w:r w:rsidRPr="002F33D0">
              <w:rPr>
                <w:rFonts w:eastAsia="Times New Roman"/>
                <w:szCs w:val="24"/>
                <w:lang w:eastAsia="ru-RU"/>
              </w:rPr>
              <w:t>0,288</w:t>
            </w:r>
          </w:p>
        </w:tc>
        <w:tc>
          <w:tcPr>
            <w:tcW w:w="3941" w:type="dxa"/>
            <w:hideMark/>
          </w:tcPr>
          <w:p w14:paraId="574D9F5C"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Значимость компетенций возрастает при переходе от крупных к средним предприятиям</w:t>
            </w:r>
          </w:p>
        </w:tc>
      </w:tr>
      <w:tr w:rsidR="002F33D0" w:rsidRPr="002F33D0" w14:paraId="36498D81" w14:textId="77777777" w:rsidTr="002F33D0">
        <w:tc>
          <w:tcPr>
            <w:tcW w:w="2269" w:type="dxa"/>
            <w:hideMark/>
          </w:tcPr>
          <w:p w14:paraId="6516D551" w14:textId="3EB3713A" w:rsidR="002F33D0" w:rsidRPr="002F33D0" w:rsidRDefault="00F568E7" w:rsidP="002F33D0">
            <w:pPr>
              <w:ind w:firstLine="0"/>
              <w:rPr>
                <w:rFonts w:eastAsia="Times New Roman"/>
                <w:szCs w:val="24"/>
                <w:lang w:eastAsia="ru-RU"/>
              </w:rPr>
            </w:pPr>
            <w:r>
              <w:rPr>
                <w:rFonts w:eastAsia="Times New Roman"/>
                <w:bCs/>
                <w:szCs w:val="24"/>
                <w:lang w:val="en-US" w:eastAsia="ru-RU"/>
              </w:rPr>
              <w:t>R</w:t>
            </w:r>
            <w:r w:rsidR="002F33D0" w:rsidRPr="00F568E7">
              <w:rPr>
                <w:rFonts w:eastAsia="Times New Roman"/>
                <w:bCs/>
                <w:szCs w:val="24"/>
                <w:vertAlign w:val="subscript"/>
                <w:lang w:eastAsia="ru-RU"/>
              </w:rPr>
              <w:t>5</w:t>
            </w:r>
            <w:r w:rsidR="002F33D0" w:rsidRPr="002F33D0">
              <w:rPr>
                <w:rFonts w:eastAsia="Times New Roman"/>
                <w:bCs/>
                <w:szCs w:val="24"/>
                <w:lang w:eastAsia="ru-RU"/>
              </w:rPr>
              <w:t>. Инновационная культура</w:t>
            </w:r>
          </w:p>
        </w:tc>
        <w:tc>
          <w:tcPr>
            <w:tcW w:w="1047" w:type="dxa"/>
            <w:hideMark/>
          </w:tcPr>
          <w:p w14:paraId="38027CFC" w14:textId="77777777" w:rsidR="002F33D0" w:rsidRPr="002F33D0" w:rsidRDefault="002F33D0" w:rsidP="002D5680">
            <w:pPr>
              <w:ind w:firstLine="0"/>
              <w:jc w:val="center"/>
              <w:rPr>
                <w:rFonts w:eastAsia="Times New Roman"/>
                <w:szCs w:val="24"/>
                <w:lang w:eastAsia="ru-RU"/>
              </w:rPr>
            </w:pPr>
            <w:r w:rsidRPr="002F33D0">
              <w:rPr>
                <w:rFonts w:eastAsia="Times New Roman"/>
                <w:szCs w:val="24"/>
                <w:lang w:eastAsia="ru-RU"/>
              </w:rPr>
              <w:t>0,243</w:t>
            </w:r>
          </w:p>
        </w:tc>
        <w:tc>
          <w:tcPr>
            <w:tcW w:w="1047" w:type="dxa"/>
            <w:hideMark/>
          </w:tcPr>
          <w:p w14:paraId="5281B35A" w14:textId="77777777" w:rsidR="002F33D0" w:rsidRPr="002F33D0" w:rsidRDefault="002F33D0" w:rsidP="002D5680">
            <w:pPr>
              <w:ind w:firstLine="0"/>
              <w:jc w:val="center"/>
              <w:rPr>
                <w:rFonts w:eastAsia="Times New Roman"/>
                <w:szCs w:val="24"/>
                <w:lang w:eastAsia="ru-RU"/>
              </w:rPr>
            </w:pPr>
            <w:r w:rsidRPr="002F33D0">
              <w:rPr>
                <w:rFonts w:eastAsia="Times New Roman"/>
                <w:szCs w:val="24"/>
                <w:lang w:eastAsia="ru-RU"/>
              </w:rPr>
              <w:t>0,252</w:t>
            </w:r>
          </w:p>
        </w:tc>
        <w:tc>
          <w:tcPr>
            <w:tcW w:w="1047" w:type="dxa"/>
            <w:hideMark/>
          </w:tcPr>
          <w:p w14:paraId="54CA5B6F" w14:textId="77777777" w:rsidR="002F33D0" w:rsidRPr="002F33D0" w:rsidRDefault="002F33D0" w:rsidP="002D5680">
            <w:pPr>
              <w:ind w:firstLine="0"/>
              <w:jc w:val="center"/>
              <w:rPr>
                <w:rFonts w:eastAsia="Times New Roman"/>
                <w:szCs w:val="24"/>
                <w:lang w:eastAsia="ru-RU"/>
              </w:rPr>
            </w:pPr>
            <w:r w:rsidRPr="002F33D0">
              <w:rPr>
                <w:rFonts w:eastAsia="Times New Roman"/>
                <w:szCs w:val="24"/>
                <w:lang w:eastAsia="ru-RU"/>
              </w:rPr>
              <w:t>0,219</w:t>
            </w:r>
          </w:p>
        </w:tc>
        <w:tc>
          <w:tcPr>
            <w:tcW w:w="3941" w:type="dxa"/>
            <w:hideMark/>
          </w:tcPr>
          <w:p w14:paraId="7222A60F"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Отражает вовлечённость сотрудников и лидерство; умеренное влияние</w:t>
            </w:r>
          </w:p>
        </w:tc>
      </w:tr>
      <w:tr w:rsidR="002F33D0" w:rsidRPr="002F33D0" w14:paraId="3A195027" w14:textId="77777777" w:rsidTr="002F33D0">
        <w:tc>
          <w:tcPr>
            <w:tcW w:w="2269" w:type="dxa"/>
            <w:hideMark/>
          </w:tcPr>
          <w:p w14:paraId="3EC651AC" w14:textId="0F2F1014" w:rsidR="002F33D0" w:rsidRPr="002F33D0" w:rsidRDefault="00F568E7" w:rsidP="002F33D0">
            <w:pPr>
              <w:ind w:firstLine="0"/>
              <w:rPr>
                <w:rFonts w:eastAsia="Times New Roman"/>
                <w:szCs w:val="24"/>
                <w:lang w:eastAsia="ru-RU"/>
              </w:rPr>
            </w:pPr>
            <w:r>
              <w:rPr>
                <w:rFonts w:eastAsia="Times New Roman"/>
                <w:bCs/>
                <w:szCs w:val="24"/>
                <w:lang w:val="en-US" w:eastAsia="ru-RU"/>
              </w:rPr>
              <w:t>R</w:t>
            </w:r>
            <w:r w:rsidR="002F33D0" w:rsidRPr="00F568E7">
              <w:rPr>
                <w:rFonts w:eastAsia="Times New Roman"/>
                <w:bCs/>
                <w:szCs w:val="24"/>
                <w:vertAlign w:val="subscript"/>
                <w:lang w:eastAsia="ru-RU"/>
              </w:rPr>
              <w:t>6</w:t>
            </w:r>
            <w:r w:rsidR="002F33D0" w:rsidRPr="002F33D0">
              <w:rPr>
                <w:rFonts w:eastAsia="Times New Roman"/>
                <w:bCs/>
                <w:szCs w:val="24"/>
                <w:lang w:eastAsia="ru-RU"/>
              </w:rPr>
              <w:t>. Цифровая среда (цифровизация)</w:t>
            </w:r>
          </w:p>
        </w:tc>
        <w:tc>
          <w:tcPr>
            <w:tcW w:w="1047" w:type="dxa"/>
            <w:hideMark/>
          </w:tcPr>
          <w:p w14:paraId="59381C15" w14:textId="77777777" w:rsidR="002F33D0" w:rsidRPr="002F33D0" w:rsidRDefault="002F33D0" w:rsidP="002D5680">
            <w:pPr>
              <w:ind w:firstLine="0"/>
              <w:jc w:val="center"/>
              <w:rPr>
                <w:rFonts w:eastAsia="Times New Roman"/>
                <w:szCs w:val="24"/>
                <w:lang w:eastAsia="ru-RU"/>
              </w:rPr>
            </w:pPr>
            <w:r w:rsidRPr="002F33D0">
              <w:rPr>
                <w:rFonts w:eastAsia="Times New Roman"/>
                <w:szCs w:val="24"/>
                <w:lang w:eastAsia="ru-RU"/>
              </w:rPr>
              <w:t>0,124</w:t>
            </w:r>
          </w:p>
        </w:tc>
        <w:tc>
          <w:tcPr>
            <w:tcW w:w="1047" w:type="dxa"/>
            <w:hideMark/>
          </w:tcPr>
          <w:p w14:paraId="589A4159" w14:textId="77777777" w:rsidR="002F33D0" w:rsidRPr="002F33D0" w:rsidRDefault="002F33D0" w:rsidP="002D5680">
            <w:pPr>
              <w:ind w:firstLine="0"/>
              <w:jc w:val="center"/>
              <w:rPr>
                <w:rFonts w:eastAsia="Times New Roman"/>
                <w:szCs w:val="24"/>
                <w:lang w:eastAsia="ru-RU"/>
              </w:rPr>
            </w:pPr>
            <w:r w:rsidRPr="002F33D0">
              <w:rPr>
                <w:rFonts w:eastAsia="Times New Roman"/>
                <w:szCs w:val="24"/>
                <w:lang w:eastAsia="ru-RU"/>
              </w:rPr>
              <w:t>0,233</w:t>
            </w:r>
          </w:p>
        </w:tc>
        <w:tc>
          <w:tcPr>
            <w:tcW w:w="1047" w:type="dxa"/>
            <w:hideMark/>
          </w:tcPr>
          <w:p w14:paraId="30C9C681" w14:textId="77777777" w:rsidR="002F33D0" w:rsidRPr="002F33D0" w:rsidRDefault="002F33D0" w:rsidP="002D5680">
            <w:pPr>
              <w:ind w:firstLine="0"/>
              <w:jc w:val="center"/>
              <w:rPr>
                <w:rFonts w:eastAsia="Times New Roman"/>
                <w:szCs w:val="24"/>
                <w:lang w:eastAsia="ru-RU"/>
              </w:rPr>
            </w:pPr>
            <w:r w:rsidRPr="002F33D0">
              <w:rPr>
                <w:rFonts w:eastAsia="Times New Roman"/>
                <w:bCs/>
                <w:szCs w:val="24"/>
                <w:lang w:eastAsia="ru-RU"/>
              </w:rPr>
              <w:t>0,203</w:t>
            </w:r>
          </w:p>
        </w:tc>
        <w:tc>
          <w:tcPr>
            <w:tcW w:w="3941" w:type="dxa"/>
            <w:hideMark/>
          </w:tcPr>
          <w:p w14:paraId="47D10E2B"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Сквозной медиатор; компенсатор ресурсов у МСП</w:t>
            </w:r>
          </w:p>
        </w:tc>
      </w:tr>
      <w:tr w:rsidR="002F33D0" w:rsidRPr="002F33D0" w14:paraId="18AAA97F" w14:textId="77777777" w:rsidTr="002F33D0">
        <w:tc>
          <w:tcPr>
            <w:tcW w:w="2269" w:type="dxa"/>
            <w:hideMark/>
          </w:tcPr>
          <w:p w14:paraId="7824BB69" w14:textId="3BE36824" w:rsidR="002F33D0" w:rsidRPr="002F33D0" w:rsidRDefault="00F568E7" w:rsidP="002F33D0">
            <w:pPr>
              <w:ind w:firstLine="0"/>
              <w:rPr>
                <w:rFonts w:eastAsia="Times New Roman"/>
                <w:szCs w:val="24"/>
                <w:lang w:eastAsia="ru-RU"/>
              </w:rPr>
            </w:pPr>
            <w:r>
              <w:rPr>
                <w:rFonts w:eastAsia="Times New Roman"/>
                <w:bCs/>
                <w:szCs w:val="24"/>
                <w:lang w:val="en-US" w:eastAsia="ru-RU"/>
              </w:rPr>
              <w:t>R</w:t>
            </w:r>
            <w:r w:rsidR="002F33D0" w:rsidRPr="00F568E7">
              <w:rPr>
                <w:rFonts w:eastAsia="Times New Roman"/>
                <w:bCs/>
                <w:szCs w:val="24"/>
                <w:vertAlign w:val="subscript"/>
                <w:lang w:eastAsia="ru-RU"/>
              </w:rPr>
              <w:t>7</w:t>
            </w:r>
            <w:r w:rsidR="002F33D0" w:rsidRPr="002F33D0">
              <w:rPr>
                <w:rFonts w:eastAsia="Times New Roman"/>
                <w:bCs/>
                <w:szCs w:val="24"/>
                <w:lang w:eastAsia="ru-RU"/>
              </w:rPr>
              <w:t>. Институциональная среда</w:t>
            </w:r>
          </w:p>
        </w:tc>
        <w:tc>
          <w:tcPr>
            <w:tcW w:w="1047" w:type="dxa"/>
            <w:hideMark/>
          </w:tcPr>
          <w:p w14:paraId="3436A3C8" w14:textId="77777777" w:rsidR="002F33D0" w:rsidRPr="002F33D0" w:rsidRDefault="002F33D0" w:rsidP="002D5680">
            <w:pPr>
              <w:ind w:firstLine="0"/>
              <w:jc w:val="center"/>
              <w:rPr>
                <w:rFonts w:eastAsia="Times New Roman"/>
                <w:szCs w:val="24"/>
                <w:lang w:eastAsia="ru-RU"/>
              </w:rPr>
            </w:pPr>
            <w:r w:rsidRPr="002F33D0">
              <w:rPr>
                <w:rFonts w:eastAsia="Times New Roman"/>
                <w:szCs w:val="24"/>
                <w:lang w:eastAsia="ru-RU"/>
              </w:rPr>
              <w:t>0,363*</w:t>
            </w:r>
          </w:p>
        </w:tc>
        <w:tc>
          <w:tcPr>
            <w:tcW w:w="1047" w:type="dxa"/>
            <w:hideMark/>
          </w:tcPr>
          <w:p w14:paraId="2F35F438" w14:textId="77777777" w:rsidR="002F33D0" w:rsidRPr="002F33D0" w:rsidRDefault="002F33D0" w:rsidP="002D5680">
            <w:pPr>
              <w:ind w:firstLine="0"/>
              <w:jc w:val="center"/>
              <w:rPr>
                <w:rFonts w:eastAsia="Times New Roman"/>
                <w:szCs w:val="24"/>
                <w:lang w:eastAsia="ru-RU"/>
              </w:rPr>
            </w:pPr>
            <w:r w:rsidRPr="002F33D0">
              <w:rPr>
                <w:rFonts w:eastAsia="Times New Roman"/>
                <w:szCs w:val="24"/>
                <w:lang w:eastAsia="ru-RU"/>
              </w:rPr>
              <w:t>0,363*</w:t>
            </w:r>
          </w:p>
        </w:tc>
        <w:tc>
          <w:tcPr>
            <w:tcW w:w="1047" w:type="dxa"/>
            <w:hideMark/>
          </w:tcPr>
          <w:p w14:paraId="43E6C38A" w14:textId="77777777" w:rsidR="002F33D0" w:rsidRPr="002F33D0" w:rsidRDefault="002F33D0" w:rsidP="002D5680">
            <w:pPr>
              <w:ind w:firstLine="0"/>
              <w:jc w:val="center"/>
              <w:rPr>
                <w:rFonts w:eastAsia="Times New Roman"/>
                <w:szCs w:val="24"/>
                <w:lang w:eastAsia="ru-RU"/>
              </w:rPr>
            </w:pPr>
            <w:r w:rsidRPr="002F33D0">
              <w:rPr>
                <w:rFonts w:eastAsia="Times New Roman"/>
                <w:bCs/>
                <w:szCs w:val="24"/>
                <w:lang w:eastAsia="ru-RU"/>
              </w:rPr>
              <w:t>0,363</w:t>
            </w:r>
            <w:r w:rsidRPr="002F33D0">
              <w:rPr>
                <w:rFonts w:eastAsia="Times New Roman"/>
                <w:szCs w:val="24"/>
                <w:lang w:eastAsia="ru-RU"/>
              </w:rPr>
              <w:t>*</w:t>
            </w:r>
          </w:p>
        </w:tc>
        <w:tc>
          <w:tcPr>
            <w:tcW w:w="3941" w:type="dxa"/>
            <w:hideMark/>
          </w:tcPr>
          <w:p w14:paraId="06E84BA5" w14:textId="77777777" w:rsidR="002F33D0" w:rsidRPr="002F33D0" w:rsidRDefault="002F33D0" w:rsidP="002F33D0">
            <w:pPr>
              <w:ind w:firstLine="0"/>
              <w:rPr>
                <w:rFonts w:eastAsia="Times New Roman"/>
                <w:szCs w:val="24"/>
                <w:lang w:eastAsia="ru-RU"/>
              </w:rPr>
            </w:pPr>
            <w:r w:rsidRPr="002F33D0">
              <w:rPr>
                <w:rFonts w:eastAsia="Times New Roman"/>
                <w:szCs w:val="24"/>
                <w:lang w:eastAsia="ru-RU"/>
              </w:rPr>
              <w:t>Показатель вероятности участия в господдержке; значение нормализовано из Exp(B)=0,736 для сопоставимости с весами SEM</w:t>
            </w:r>
          </w:p>
        </w:tc>
      </w:tr>
      <w:tr w:rsidR="002F33D0" w:rsidRPr="002F33D0" w14:paraId="233BCA27" w14:textId="77777777" w:rsidTr="002F33D0">
        <w:tc>
          <w:tcPr>
            <w:tcW w:w="9351" w:type="dxa"/>
            <w:gridSpan w:val="5"/>
          </w:tcPr>
          <w:p w14:paraId="66353B96" w14:textId="03A4BA8C" w:rsidR="002F33D0" w:rsidRPr="002F33D0" w:rsidRDefault="004B60DD" w:rsidP="00E27253">
            <w:pPr>
              <w:ind w:firstLine="455"/>
              <w:jc w:val="both"/>
              <w:rPr>
                <w:rFonts w:eastAsia="Times New Roman"/>
                <w:szCs w:val="24"/>
                <w:lang w:eastAsia="ru-RU"/>
              </w:rPr>
            </w:pPr>
            <w:r w:rsidRPr="00EE311D">
              <w:rPr>
                <w:szCs w:val="24"/>
              </w:rPr>
              <w:t>Примечание</w:t>
            </w:r>
            <w:r w:rsidRPr="00EE311D">
              <w:rPr>
                <w:szCs w:val="24"/>
                <w:lang w:val="kk-KZ"/>
              </w:rPr>
              <w:t xml:space="preserve"> – </w:t>
            </w:r>
            <w:r w:rsidR="000F3C80" w:rsidRPr="00EE311D">
              <w:rPr>
                <w:szCs w:val="24"/>
                <w:lang w:val="kk-KZ"/>
              </w:rPr>
              <w:t>И</w:t>
            </w:r>
            <w:r w:rsidR="002F33D0" w:rsidRPr="00EE311D">
              <w:rPr>
                <w:szCs w:val="24"/>
              </w:rPr>
              <w:t>сходный коэффициент Exp(B)=0,736 (логит-модель участия в господдержке) нормализован до β=0,363 для согласования ш</w:t>
            </w:r>
            <w:r w:rsidR="00FD618C" w:rsidRPr="00EE311D">
              <w:rPr>
                <w:szCs w:val="24"/>
              </w:rPr>
              <w:t>калы с остальными факторами SEM</w:t>
            </w:r>
          </w:p>
        </w:tc>
      </w:tr>
    </w:tbl>
    <w:p w14:paraId="47C6F9C8" w14:textId="77777777" w:rsidR="002F33D0" w:rsidRPr="002F33D0" w:rsidRDefault="002F33D0" w:rsidP="002F33D0">
      <w:pPr>
        <w:spacing w:after="0" w:line="240" w:lineRule="auto"/>
        <w:jc w:val="both"/>
        <w:rPr>
          <w:rFonts w:ascii="Times New Roman" w:hAnsi="Times New Roman" w:cs="Times New Roman"/>
          <w:i/>
          <w:sz w:val="28"/>
          <w:szCs w:val="28"/>
        </w:rPr>
      </w:pPr>
    </w:p>
    <w:p w14:paraId="37694FAA" w14:textId="77777777" w:rsidR="002F33D0" w:rsidRPr="002F33D0" w:rsidRDefault="002F33D0" w:rsidP="002F33D0">
      <w:pPr>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Следует отметить, что коэффициент по блоку «Институциональная среда» был получен на основе логистической модели вероятности участия предприятий в программах государственной поддержки. Поскольку исходное значение Exp(B)=0,736 отражает относительное изменение шансов, а другие коэффициенты представляют собой стандартизированные эффекты SEM-модели, данное значение было нормализовано до β=0,363. Это обеспечивает сопоставимость всех весов в рамках единой шкалы и корректность последующего расчёта интегрального индекса инновационного потенциала.</w:t>
      </w:r>
    </w:p>
    <w:p w14:paraId="5E21F6B6" w14:textId="77777777" w:rsidR="002F33D0" w:rsidRPr="002F33D0" w:rsidRDefault="002F33D0" w:rsidP="002F33D0">
      <w:pPr>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 xml:space="preserve">Дифференциация весовых коэффициентов подтверждает неоднородность структуры инновационного потенциала в зависимости от масштабов бизнеса. Для крупных предприятий приоритетными остаются управленческо-инновационные и технологические ресурсы, обеспечивающие стратегическую </w:t>
      </w:r>
      <w:r w:rsidRPr="002F33D0">
        <w:rPr>
          <w:rFonts w:ascii="Times New Roman" w:hAnsi="Times New Roman" w:cs="Times New Roman"/>
          <w:sz w:val="28"/>
          <w:szCs w:val="28"/>
          <w:lang w:val="kk-KZ"/>
        </w:rPr>
        <w:lastRenderedPageBreak/>
        <w:t>устойчивость и управляемость инновационных процессов. Для средних предприятий усиливается роль человеческого капитала и цифровой среды, что отражает переход к гибким, адаптивным моделям управления. Малые предприятия демонстрируют высокую зависимость от технологической и цифровой базы при ограниченном доступе к институциональной поддержке, вследствие чего цифровизация становится ключевым компенсатором ресурсных ограничений.</w:t>
      </w:r>
    </w:p>
    <w:p w14:paraId="580288AB" w14:textId="77777777"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lang w:val="kk-KZ"/>
        </w:rPr>
        <w:t>Сформированная система весов позволяет перейти от унифицированной оценки к дифференцированной диагностике инновационного потенциала, обеспечивая учёт структурных особенностей и уровня цифровой зрелости различных групп предприятий. На основе этих коэффициентов рассчитывается интегральный показатель IP-Index.</w:t>
      </w:r>
    </w:p>
    <w:p w14:paraId="309852AD" w14:textId="77777777" w:rsidR="00F568E7" w:rsidRDefault="002F33D0" w:rsidP="00F568E7">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Для наглядного представления логики работы инструмента целесообразно визуализировать его функционирование в виде схемы. Диагностический процесс включает последовательные этапы: ввод данных опросника, автоматическое распределение ответов по ресурсно-процессной матрице (Rᵢ×Pⱼ), нормализацию значений, применение β-весов и расчёт частных индексов по блокам. Итогом является интегральный IP-Index, характеризующий уровень инновационного поте</w:t>
      </w:r>
      <w:r w:rsidR="00F568E7">
        <w:rPr>
          <w:rFonts w:ascii="Times New Roman" w:hAnsi="Times New Roman" w:cs="Times New Roman"/>
          <w:sz w:val="28"/>
          <w:szCs w:val="28"/>
        </w:rPr>
        <w:t>нциала конкретного предприятия.</w:t>
      </w:r>
    </w:p>
    <w:p w14:paraId="426F3797" w14:textId="059C83E1" w:rsidR="002D5680" w:rsidRDefault="002F33D0" w:rsidP="00F568E7">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На следующем этапе разработки инструмента ключевым становится не только формирование набора вопросов и системы весов, но и определение последовательности операций, обеспечивающих преобразование исходных данных в интегральную оценку инновационного потенциала. Поскольку инструмент объединяет элементы статистического, ресурсно-процессного и проектного анализа, важно визуализировать его внутреннюю логику как последовательность взаимосвязанных процессов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от ввода данных опросника до формирования проектных рекомендаций. Такая визуализация позволяет отразить алгоритмическую структуру инструмента, показать движение данных через уровни обработки и подчеркнуть его комплексный характер. Представленная схема</w:t>
      </w:r>
      <w:r w:rsidR="002D5680">
        <w:rPr>
          <w:rFonts w:ascii="Times New Roman" w:hAnsi="Times New Roman" w:cs="Times New Roman"/>
          <w:sz w:val="28"/>
          <w:szCs w:val="28"/>
          <w:lang w:val="kk-KZ"/>
        </w:rPr>
        <w:t xml:space="preserve"> (рисунок </w:t>
      </w:r>
      <w:r w:rsidR="00FD618C">
        <w:rPr>
          <w:rFonts w:ascii="Times New Roman" w:hAnsi="Times New Roman" w:cs="Times New Roman"/>
          <w:sz w:val="28"/>
          <w:szCs w:val="28"/>
          <w:lang w:val="kk-KZ"/>
        </w:rPr>
        <w:t>8</w:t>
      </w:r>
      <w:r w:rsidR="002D5680">
        <w:rPr>
          <w:rFonts w:ascii="Times New Roman" w:hAnsi="Times New Roman" w:cs="Times New Roman"/>
          <w:sz w:val="28"/>
          <w:szCs w:val="28"/>
          <w:lang w:val="kk-KZ"/>
        </w:rPr>
        <w:t>)</w:t>
      </w:r>
      <w:r w:rsidRPr="002F33D0">
        <w:rPr>
          <w:rFonts w:ascii="Times New Roman" w:hAnsi="Times New Roman" w:cs="Times New Roman"/>
          <w:sz w:val="28"/>
          <w:szCs w:val="28"/>
        </w:rPr>
        <w:t xml:space="preserve"> демонстрирует, каким образом теоретические элементы модели, весовые коэффициенты и результаты опроса объединяются в единую диагностико-проектную систему, обеспечивающую объективность измерений и возможность дальнейшего проектирования инновационного</w:t>
      </w:r>
      <w:r w:rsidR="002D5680">
        <w:rPr>
          <w:rFonts w:ascii="Times New Roman" w:hAnsi="Times New Roman" w:cs="Times New Roman"/>
          <w:sz w:val="28"/>
          <w:szCs w:val="28"/>
          <w:lang w:val="kk-KZ"/>
        </w:rPr>
        <w:t xml:space="preserve"> </w:t>
      </w:r>
      <w:r w:rsidR="002D5680" w:rsidRPr="002F33D0">
        <w:rPr>
          <w:rFonts w:ascii="Times New Roman" w:hAnsi="Times New Roman" w:cs="Times New Roman"/>
          <w:sz w:val="28"/>
          <w:szCs w:val="28"/>
        </w:rPr>
        <w:t>потенциала предпринимательских структур.</w:t>
      </w:r>
    </w:p>
    <w:p w14:paraId="22E7799B" w14:textId="7625F127" w:rsidR="002F33D0" w:rsidRPr="002F33D0" w:rsidRDefault="002F33D0" w:rsidP="002D568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 </w:t>
      </w:r>
      <w:r w:rsidR="00FD618C" w:rsidRPr="002F33D0">
        <w:rPr>
          <w:rFonts w:ascii="Times New Roman" w:hAnsi="Times New Roman" w:cs="Times New Roman"/>
          <w:sz w:val="28"/>
          <w:szCs w:val="28"/>
        </w:rPr>
        <w:t>После выполнения всех этапов обработки данных инструмент формирует визуальное представление результатов в виде графиков, диаграмм и сравнительных таблиц, что позволяет выявить сильные и слабые стороны инновационной системы предприятия. На основе полученного профиля инновационного потенциала цифровая платформа генерирует адресные управленческие рекомендации, учитывая тип предприятия, уровень его цифровой зрелости, структуру ресурсного обеспечения и институциональные условия деятельности.</w:t>
      </w:r>
    </w:p>
    <w:p w14:paraId="7A1E708C" w14:textId="7F43BB4F" w:rsidR="002F33D0" w:rsidRPr="006A1CC9" w:rsidRDefault="00545A2C" w:rsidP="002D5680">
      <w:pPr>
        <w:pStyle w:val="af2"/>
        <w:spacing w:before="0" w:beforeAutospacing="0" w:after="0" w:afterAutospacing="0"/>
        <w:ind w:firstLine="284"/>
        <w:jc w:val="both"/>
        <w:rPr>
          <w:sz w:val="28"/>
          <w:szCs w:val="28"/>
        </w:rPr>
      </w:pPr>
      <w:r w:rsidRPr="006A1CC9">
        <w:rPr>
          <w:sz w:val="28"/>
          <w:szCs w:val="28"/>
        </w:rPr>
        <w:lastRenderedPageBreak/>
        <w:t xml:space="preserve"> </w:t>
      </w:r>
      <w:r w:rsidR="002D5680" w:rsidRPr="002F33D0">
        <w:rPr>
          <w:noProof/>
          <w:sz w:val="28"/>
          <w:szCs w:val="28"/>
        </w:rPr>
        <mc:AlternateContent>
          <mc:Choice Requires="wpg">
            <w:drawing>
              <wp:inline distT="0" distB="0" distL="0" distR="0" wp14:anchorId="6475D4E3" wp14:editId="7B021BC4">
                <wp:extent cx="5543550" cy="6905625"/>
                <wp:effectExtent l="0" t="0" r="19050" b="28575"/>
                <wp:docPr id="113" name="Группа 113"/>
                <wp:cNvGraphicFramePr/>
                <a:graphic xmlns:a="http://schemas.openxmlformats.org/drawingml/2006/main">
                  <a:graphicData uri="http://schemas.microsoft.com/office/word/2010/wordprocessingGroup">
                    <wpg:wgp>
                      <wpg:cNvGrpSpPr/>
                      <wpg:grpSpPr>
                        <a:xfrm>
                          <a:off x="0" y="0"/>
                          <a:ext cx="5543550" cy="6905625"/>
                          <a:chOff x="0" y="0"/>
                          <a:chExt cx="5543550" cy="6905625"/>
                        </a:xfrm>
                      </wpg:grpSpPr>
                      <wps:wsp>
                        <wps:cNvPr id="86" name="Надпись 86"/>
                        <wps:cNvSpPr txBox="1"/>
                        <wps:spPr>
                          <a:xfrm>
                            <a:off x="0" y="0"/>
                            <a:ext cx="5543550" cy="504825"/>
                          </a:xfrm>
                          <a:prstGeom prst="rect">
                            <a:avLst/>
                          </a:prstGeom>
                          <a:solidFill>
                            <a:schemeClr val="bg1">
                              <a:lumMod val="85000"/>
                            </a:schemeClr>
                          </a:solidFill>
                          <a:ln w="6350">
                            <a:solidFill>
                              <a:prstClr val="black"/>
                            </a:solidFill>
                          </a:ln>
                        </wps:spPr>
                        <wps:txbx>
                          <w:txbxContent>
                            <w:p w14:paraId="06D433AB" w14:textId="77777777" w:rsidR="001D4931" w:rsidRPr="002F33D0" w:rsidRDefault="001D4931" w:rsidP="002D5680">
                              <w:pPr>
                                <w:pStyle w:val="a3"/>
                                <w:tabs>
                                  <w:tab w:val="left" w:pos="284"/>
                                </w:tabs>
                                <w:spacing w:after="0" w:line="240" w:lineRule="auto"/>
                                <w:ind w:left="0"/>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1 ВВОД ВХОДНЫХ ДАННЫХ</w:t>
                              </w:r>
                            </w:p>
                            <w:p w14:paraId="15CED79A" w14:textId="35ED9396" w:rsidR="001D4931" w:rsidRPr="002F33D0" w:rsidRDefault="001D4931" w:rsidP="002D568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(ответы на вопросы матрицы R₁-R₇ × P₁-P₃, шкала 1-</w:t>
                              </w:r>
                              <w:r w:rsidRPr="002F33D0">
                                <w:rPr>
                                  <w:rFonts w:ascii="Times New Roman" w:hAnsi="Times New Roman" w:cs="Times New Roman"/>
                                  <w:sz w:val="24"/>
                                  <w:szCs w:val="24"/>
                                  <w:lang w:val="kk-KZ"/>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 name="Надпись 87"/>
                        <wps:cNvSpPr txBox="1"/>
                        <wps:spPr>
                          <a:xfrm>
                            <a:off x="0" y="742950"/>
                            <a:ext cx="5543550" cy="466725"/>
                          </a:xfrm>
                          <a:prstGeom prst="rect">
                            <a:avLst/>
                          </a:prstGeom>
                          <a:solidFill>
                            <a:schemeClr val="bg1">
                              <a:lumMod val="85000"/>
                            </a:schemeClr>
                          </a:solidFill>
                          <a:ln w="6350">
                            <a:solidFill>
                              <a:prstClr val="black"/>
                            </a:solidFill>
                          </a:ln>
                        </wps:spPr>
                        <wps:txbx>
                          <w:txbxContent>
                            <w:p w14:paraId="3B31F66D" w14:textId="77777777" w:rsidR="001D4931" w:rsidRPr="002F33D0" w:rsidRDefault="001D4931" w:rsidP="002D5680">
                              <w:pPr>
                                <w:pStyle w:val="a3"/>
                                <w:tabs>
                                  <w:tab w:val="left" w:pos="284"/>
                                </w:tabs>
                                <w:spacing w:after="0" w:line="240" w:lineRule="auto"/>
                                <w:ind w:left="0"/>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2 АВТОМАТИЧЕСКОЕ РАСПРЕДЕЛЕНИЕ ДАННЫХ ПО МАТРИЦЕ Rᵢ × Pⱼ</w:t>
                              </w:r>
                            </w:p>
                            <w:p w14:paraId="06C79861" w14:textId="77777777" w:rsidR="001D4931" w:rsidRPr="002F33D0" w:rsidRDefault="001D4931" w:rsidP="002D568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(каждый вопрос привязывается к ресурсному и процессному блоку)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 name="Надпись 88"/>
                        <wps:cNvSpPr txBox="1"/>
                        <wps:spPr>
                          <a:xfrm>
                            <a:off x="0" y="1209675"/>
                            <a:ext cx="2305050" cy="495300"/>
                          </a:xfrm>
                          <a:prstGeom prst="rect">
                            <a:avLst/>
                          </a:prstGeom>
                          <a:solidFill>
                            <a:schemeClr val="lt1"/>
                          </a:solidFill>
                          <a:ln w="6350">
                            <a:solidFill>
                              <a:prstClr val="black"/>
                            </a:solidFill>
                          </a:ln>
                        </wps:spPr>
                        <wps:txbx>
                          <w:txbxContent>
                            <w:p w14:paraId="322D807B" w14:textId="77777777" w:rsidR="001D4931" w:rsidRPr="002F33D0" w:rsidRDefault="001D4931" w:rsidP="002D568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R₁…R₇ – ресурсные компоненты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Надпись 89"/>
                        <wps:cNvSpPr txBox="1"/>
                        <wps:spPr>
                          <a:xfrm>
                            <a:off x="2305050" y="1209675"/>
                            <a:ext cx="3238500" cy="495300"/>
                          </a:xfrm>
                          <a:prstGeom prst="rect">
                            <a:avLst/>
                          </a:prstGeom>
                          <a:solidFill>
                            <a:schemeClr val="lt1"/>
                          </a:solidFill>
                          <a:ln w="6350">
                            <a:solidFill>
                              <a:prstClr val="black"/>
                            </a:solidFill>
                          </a:ln>
                        </wps:spPr>
                        <wps:txbx>
                          <w:txbxContent>
                            <w:p w14:paraId="16A6ADDA" w14:textId="77777777" w:rsidR="001D4931" w:rsidRPr="002F33D0" w:rsidRDefault="001D4931" w:rsidP="002D5680">
                              <w:pPr>
                                <w:spacing w:after="0" w:line="240" w:lineRule="auto"/>
                                <w:ind w:firstLine="142"/>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P₁…P₃ – процессы инновационной активности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Надпись 90"/>
                        <wps:cNvSpPr txBox="1"/>
                        <wps:spPr>
                          <a:xfrm>
                            <a:off x="0" y="1943100"/>
                            <a:ext cx="5543550" cy="504825"/>
                          </a:xfrm>
                          <a:prstGeom prst="rect">
                            <a:avLst/>
                          </a:prstGeom>
                          <a:solidFill>
                            <a:schemeClr val="bg1">
                              <a:lumMod val="85000"/>
                            </a:schemeClr>
                          </a:solidFill>
                          <a:ln w="6350">
                            <a:solidFill>
                              <a:prstClr val="black"/>
                            </a:solidFill>
                          </a:ln>
                        </wps:spPr>
                        <wps:txbx>
                          <w:txbxContent>
                            <w:p w14:paraId="13683C65" w14:textId="77777777" w:rsidR="001D4931" w:rsidRPr="002F33D0" w:rsidRDefault="001D4931" w:rsidP="002D5680">
                              <w:pPr>
                                <w:pStyle w:val="a3"/>
                                <w:tabs>
                                  <w:tab w:val="left" w:pos="284"/>
                                </w:tabs>
                                <w:spacing w:after="0" w:line="240" w:lineRule="auto"/>
                                <w:ind w:left="0"/>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3 НОРМАЛИЗАЦИЯ ЗНАЧЕНИЙ</w:t>
                              </w:r>
                            </w:p>
                            <w:p w14:paraId="20E1AB03" w14:textId="77777777" w:rsidR="001D4931" w:rsidRPr="002F33D0" w:rsidRDefault="001D4931" w:rsidP="002D568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(приведение шкалы оценок к общему диапазону для расчётов)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Надпись 91"/>
                        <wps:cNvSpPr txBox="1"/>
                        <wps:spPr>
                          <a:xfrm>
                            <a:off x="0" y="2695575"/>
                            <a:ext cx="5543550" cy="466725"/>
                          </a:xfrm>
                          <a:prstGeom prst="rect">
                            <a:avLst/>
                          </a:prstGeom>
                          <a:solidFill>
                            <a:schemeClr val="bg1">
                              <a:lumMod val="85000"/>
                            </a:schemeClr>
                          </a:solidFill>
                          <a:ln w="6350">
                            <a:solidFill>
                              <a:prstClr val="black"/>
                            </a:solidFill>
                          </a:ln>
                        </wps:spPr>
                        <wps:txbx>
                          <w:txbxContent>
                            <w:p w14:paraId="0C6A4E09" w14:textId="77777777" w:rsidR="001D4931" w:rsidRPr="002F33D0" w:rsidRDefault="001D4931" w:rsidP="002D5680">
                              <w:pPr>
                                <w:pStyle w:val="a3"/>
                                <w:tabs>
                                  <w:tab w:val="left" w:pos="284"/>
                                </w:tabs>
                                <w:spacing w:after="0" w:line="240" w:lineRule="auto"/>
                                <w:ind w:left="0"/>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4 ПРИМЕНЕНИЕ β-ВЕСОВ</w:t>
                              </w:r>
                            </w:p>
                            <w:p w14:paraId="65406EBB" w14:textId="77777777" w:rsidR="001D4931" w:rsidRPr="002F33D0" w:rsidRDefault="001D4931" w:rsidP="002D568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(дифференциация по размерам предприятий: крупные, средние, малые)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Надпись 92"/>
                        <wps:cNvSpPr txBox="1"/>
                        <wps:spPr>
                          <a:xfrm>
                            <a:off x="0" y="3162300"/>
                            <a:ext cx="2571750" cy="495300"/>
                          </a:xfrm>
                          <a:prstGeom prst="rect">
                            <a:avLst/>
                          </a:prstGeom>
                          <a:solidFill>
                            <a:schemeClr val="lt1"/>
                          </a:solidFill>
                          <a:ln w="6350">
                            <a:solidFill>
                              <a:prstClr val="black"/>
                            </a:solidFill>
                          </a:ln>
                        </wps:spPr>
                        <wps:txbx>
                          <w:txbxContent>
                            <w:p w14:paraId="73E4F65D" w14:textId="77777777" w:rsidR="001D4931" w:rsidRPr="002F33D0" w:rsidRDefault="001D4931" w:rsidP="002D568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умножение нормализованных значений на β₁…β₇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Надпись 93"/>
                        <wps:cNvSpPr txBox="1"/>
                        <wps:spPr>
                          <a:xfrm>
                            <a:off x="2571750" y="3162300"/>
                            <a:ext cx="2971800" cy="495300"/>
                          </a:xfrm>
                          <a:prstGeom prst="rect">
                            <a:avLst/>
                          </a:prstGeom>
                          <a:solidFill>
                            <a:schemeClr val="lt1"/>
                          </a:solidFill>
                          <a:ln w="6350">
                            <a:solidFill>
                              <a:prstClr val="black"/>
                            </a:solidFill>
                          </a:ln>
                        </wps:spPr>
                        <wps:txbx>
                          <w:txbxContent>
                            <w:p w14:paraId="31CC4659" w14:textId="77777777" w:rsidR="001D4931" w:rsidRPr="002F33D0" w:rsidRDefault="001D4931" w:rsidP="002D568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учёт весов ресурсных и цифровых факторов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Надпись 94"/>
                        <wps:cNvSpPr txBox="1"/>
                        <wps:spPr>
                          <a:xfrm>
                            <a:off x="0" y="3895725"/>
                            <a:ext cx="5543550" cy="457200"/>
                          </a:xfrm>
                          <a:prstGeom prst="rect">
                            <a:avLst/>
                          </a:prstGeom>
                          <a:solidFill>
                            <a:schemeClr val="bg1">
                              <a:lumMod val="85000"/>
                            </a:schemeClr>
                          </a:solidFill>
                          <a:ln w="6350">
                            <a:solidFill>
                              <a:prstClr val="black"/>
                            </a:solidFill>
                          </a:ln>
                        </wps:spPr>
                        <wps:txbx>
                          <w:txbxContent>
                            <w:p w14:paraId="04B381DA" w14:textId="77777777" w:rsidR="001D4931" w:rsidRPr="002F33D0" w:rsidRDefault="001D4931" w:rsidP="002D5680">
                              <w:pPr>
                                <w:pStyle w:val="a3"/>
                                <w:tabs>
                                  <w:tab w:val="left" w:pos="284"/>
                                </w:tabs>
                                <w:spacing w:after="0" w:line="240" w:lineRule="auto"/>
                                <w:ind w:left="0"/>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5 РАСЧЁТ ЧАСТНЫХ ИНДЕКСОВ</w:t>
                              </w:r>
                            </w:p>
                            <w:p w14:paraId="7589408A" w14:textId="77777777" w:rsidR="001D4931" w:rsidRPr="002F33D0" w:rsidRDefault="001D4931" w:rsidP="002D568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(по ресурсным и процессным блокам)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Надпись 95"/>
                        <wps:cNvSpPr txBox="1"/>
                        <wps:spPr>
                          <a:xfrm>
                            <a:off x="0" y="4591050"/>
                            <a:ext cx="5543550" cy="504825"/>
                          </a:xfrm>
                          <a:prstGeom prst="rect">
                            <a:avLst/>
                          </a:prstGeom>
                          <a:solidFill>
                            <a:schemeClr val="bg1">
                              <a:lumMod val="85000"/>
                            </a:schemeClr>
                          </a:solidFill>
                          <a:ln w="6350">
                            <a:solidFill>
                              <a:prstClr val="black"/>
                            </a:solidFill>
                          </a:ln>
                        </wps:spPr>
                        <wps:txbx>
                          <w:txbxContent>
                            <w:p w14:paraId="2D7DDEC0" w14:textId="77777777" w:rsidR="001D4931" w:rsidRPr="002F33D0" w:rsidRDefault="001D4931" w:rsidP="002D5680">
                              <w:pPr>
                                <w:pStyle w:val="a3"/>
                                <w:tabs>
                                  <w:tab w:val="left" w:pos="284"/>
                                </w:tabs>
                                <w:spacing w:after="0" w:line="240" w:lineRule="auto"/>
                                <w:ind w:left="0"/>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6 РАСЧЁТ IP-INDEX</w:t>
                              </w:r>
                            </w:p>
                            <w:p w14:paraId="50D745E3" w14:textId="77777777" w:rsidR="001D4931" w:rsidRPr="002F33D0" w:rsidRDefault="001D4931" w:rsidP="002D568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(интегральный показатель инновационного потенциала)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Надпись 96"/>
                        <wps:cNvSpPr txBox="1"/>
                        <wps:spPr>
                          <a:xfrm>
                            <a:off x="0" y="5334000"/>
                            <a:ext cx="5543550" cy="666750"/>
                          </a:xfrm>
                          <a:prstGeom prst="rect">
                            <a:avLst/>
                          </a:prstGeom>
                          <a:solidFill>
                            <a:schemeClr val="bg1">
                              <a:lumMod val="85000"/>
                            </a:schemeClr>
                          </a:solidFill>
                          <a:ln w="6350">
                            <a:solidFill>
                              <a:prstClr val="black"/>
                            </a:solidFill>
                          </a:ln>
                        </wps:spPr>
                        <wps:txbx>
                          <w:txbxContent>
                            <w:p w14:paraId="6DA10302" w14:textId="77777777" w:rsidR="001D4931" w:rsidRPr="002F33D0" w:rsidRDefault="001D4931" w:rsidP="002D5680">
                              <w:pPr>
                                <w:pStyle w:val="a3"/>
                                <w:tabs>
                                  <w:tab w:val="left" w:pos="284"/>
                                </w:tabs>
                                <w:spacing w:after="0" w:line="240" w:lineRule="auto"/>
                                <w:ind w:left="0"/>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7 ВИЗУАЛИЗАЦИЯ РЕЗУЛЬТАТОВ</w:t>
                              </w:r>
                            </w:p>
                            <w:p w14:paraId="54FD52FE" w14:textId="77777777" w:rsidR="001D4931" w:rsidRPr="002F33D0" w:rsidRDefault="001D4931" w:rsidP="002D568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(графики, профили, диаграммы, сравнительные таблицы, определение сильных и слабых зон инновационного потенциала)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 name="Надпись 97"/>
                        <wps:cNvSpPr txBox="1"/>
                        <wps:spPr>
                          <a:xfrm>
                            <a:off x="0" y="6238875"/>
                            <a:ext cx="5543550" cy="666750"/>
                          </a:xfrm>
                          <a:prstGeom prst="rect">
                            <a:avLst/>
                          </a:prstGeom>
                          <a:solidFill>
                            <a:schemeClr val="bg1">
                              <a:lumMod val="85000"/>
                            </a:schemeClr>
                          </a:solidFill>
                          <a:ln w="6350">
                            <a:solidFill>
                              <a:prstClr val="black"/>
                            </a:solidFill>
                          </a:ln>
                        </wps:spPr>
                        <wps:txbx>
                          <w:txbxContent>
                            <w:p w14:paraId="1565D070" w14:textId="77777777" w:rsidR="001D4931" w:rsidRPr="002F33D0" w:rsidRDefault="001D4931" w:rsidP="002D5680">
                              <w:pPr>
                                <w:pStyle w:val="a3"/>
                                <w:tabs>
                                  <w:tab w:val="left" w:pos="284"/>
                                </w:tabs>
                                <w:spacing w:after="0" w:line="240" w:lineRule="auto"/>
                                <w:ind w:left="0"/>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8 ПРОЕКТНЫЕ РЕКОМЕНДАЦИИ</w:t>
                              </w:r>
                            </w:p>
                            <w:p w14:paraId="7DFA1D52" w14:textId="77777777" w:rsidR="001D4931" w:rsidRPr="002F33D0" w:rsidRDefault="001D4931" w:rsidP="002D568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(траектории развития, приоритеты,  меры усиления инновационного  потенциала предприятия)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 name="Прямая со стрелкой 106"/>
                        <wps:cNvCnPr/>
                        <wps:spPr>
                          <a:xfrm>
                            <a:off x="590550" y="504825"/>
                            <a:ext cx="0" cy="2381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07" name="Прямая со стрелкой 107"/>
                        <wps:cNvCnPr/>
                        <wps:spPr>
                          <a:xfrm>
                            <a:off x="590550" y="1704975"/>
                            <a:ext cx="0" cy="2381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08" name="Прямая со стрелкой 108"/>
                        <wps:cNvCnPr/>
                        <wps:spPr>
                          <a:xfrm>
                            <a:off x="590550" y="2447925"/>
                            <a:ext cx="0" cy="2381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09" name="Прямая со стрелкой 109"/>
                        <wps:cNvCnPr/>
                        <wps:spPr>
                          <a:xfrm>
                            <a:off x="590550" y="3657600"/>
                            <a:ext cx="0" cy="2381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10" name="Прямая со стрелкой 110"/>
                        <wps:cNvCnPr/>
                        <wps:spPr>
                          <a:xfrm>
                            <a:off x="590550" y="4352925"/>
                            <a:ext cx="0" cy="2381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11" name="Прямая со стрелкой 111"/>
                        <wps:cNvCnPr/>
                        <wps:spPr>
                          <a:xfrm>
                            <a:off x="590550" y="5095875"/>
                            <a:ext cx="0" cy="2381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12" name="Прямая со стрелкой 112"/>
                        <wps:cNvCnPr/>
                        <wps:spPr>
                          <a:xfrm>
                            <a:off x="590550" y="6000750"/>
                            <a:ext cx="0" cy="2381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wgp>
                  </a:graphicData>
                </a:graphic>
              </wp:inline>
            </w:drawing>
          </mc:Choice>
          <mc:Fallback>
            <w:pict>
              <v:group w14:anchorId="6475D4E3" id="Группа 113" o:spid="_x0000_s1141" style="width:436.5pt;height:543.75pt;mso-position-horizontal-relative:char;mso-position-vertical-relative:line" coordsize="55435,69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qqd/wUAAC87AAAOAAAAZHJzL2Uyb0RvYy54bWzsW8tu20YU3RfoPxDc1+KbomA5cJ3YKOAm&#10;Rp0i6zFFSkTIGXY4suSuknZbIIuui/6CFy3QF9JfoP6od4bk0JKlRJKbICAJAzI577lzz33N5eGj&#10;eRIr1wHNIoKHqn6gqUqAfTKK8Hiofvv89Iu+qmQM4RGKCQ6G6k2QqY+OPv/scJYOAoNMSDwKqAKD&#10;4GwwS4fqhLF00Otl/iRIUHZA0gBDZUhoghi80nFvRNEMRk/inqFpTm9G6CilxA+yDEofF5XqkRg/&#10;DAOfPQvDLGBKPFRhbUz8UvF7xX97R4doMKYonUR+uQy0xyoSFGGYVA71GDGkTGl0b6gk8inJSMgO&#10;fJL0SBhGfiD2ALvRtZXdnFEyTcVexoPZOJVkAtKu0GnvYf2n1xdUiUZwdrqpKhglcEj5z4tXix/z&#10;f+HvVuHlQKVZOh5A4zOaXqYXtCwYF2984/OQJvw/bEmZC/reSPoGc6b4UGjblmnbcAw+1DmeZjuG&#10;XZyAP4FjutfPnzx5T89eNXGPr08uZ5YCN2U1wbKHEexygtJAnEPGaVASrO9Iev2S3+a/AbX+WLxe&#10;/KRAhaCPaMyppbD5lwT2r1flGRTuRTRbs/oFzeTO0SClGTsLSKLwh6FKgekFL6Lr84zBSqBp1YRP&#10;mpE4Gp1GcSxeONCCk5gq1wggcjXWRdd4mnxNRkVZ39Y0ARQYR+CSNxejLo0UY2UGp2rC+d6bhU9f&#10;zxEj/yWnBB+vXgu8xRgK+dkV9OFPbH41F+xpl1yYDa7I6AZoSkkB5iz1TyMY/xxl7AJRQC8wGEgk&#10;9gx+wpjAokj5pCoTQr9fV87bA49ArarMQBoM1ey7KaKBqsRfYeAeT7csLj7Ei2W7BrzQuzVXd2vw&#10;NDkhQE0dZF/qi0fensXVY0hJ8gIE1zGfFaoQ9mHuocqqxxNWyCgQfH5wfCwagcBIETvHl6nPh+ZE&#10;5nR9Pn+BaFqePQOoPSUVv6LBCgsUbXlPTI6njISR4A9O6IKqJf0BOxzxHwNE7iYQuRVYAHG7g8i1&#10;DA84EbgMDdaKH8tx3JYiyaoo2yGpSUgCS6tU3yvqqF+d915I0g3Nc9xST1dQMkzNhr9Ck1uebUoN&#10;UdkBlcb5H5RSzITiXFYXXFt8WIUjtlyLxkYqHJ/R9qkcbxNQvD2BItEAZu1auJiGya2oRsNFGr0N&#10;1ipthIsHbLtWr0DFQ9wc3bNMvVAbG0y0Fjs70vhtMJja5+x44BCuh5KMDOxlohmOZ9urJtpSsKXF&#10;3o60fjsoNcjb8YxNUDIepJVM3QFrbiVwYNiu7jbc25G2b4Nh0krzrY7qL4cFPBlQ3VHnSDSAt7Me&#10;Lp6r95vt7TjS9u3g0qh4tGdt0isyarojXMB94kDpe3BrsBJFWzbR+K2CYCsIdH2AKNqne7XjSOu3&#10;wWBqobdjb4KSjKzuBSXL9nQee958t9PewIEjrd8OSk3ydjalGngy6roXlGzTtMrL/Q0xOAeuSQus&#10;tU4rSfu4g1KToLQp4cCTMde9oARhg37/nTG4FkNJ2s4dlBoEJV2r1dKvkDH4Jv8nv128URav87fw&#10;s/hh8Sr/Pf87/yt/m/+p8Nb1fdEJLpMIq2Sv2ucpMwhtyA/kMTdwnmp7rtZS5WUqoE5/XxpPxiiK&#10;xhN2QjCG3DhCi+SpldwonkHHs4V4EhoaMBTFT/BIYTcpJEQyGiE8jgO+gfV5ahm7iYOi+zdBCBlr&#10;kO5nFolwyxl2o5dVMkOMoSXvEkIunuxUZs9t6lS25d0Ckd4qOxrvnk22FjMSzGTHJMKEruvM5tVS&#10;w6J9lZ1X7LVOjeBUKbPFPlLamK7VYnwb1rsr23diPd3VLG9VrHe8J7mp4PSW8V6dabUN78kLKLAr&#10;duI9w7JcbzVm1PFeu3mvTl7ahvfkrc6uvGc6tuus3oN1vNdq3tPh/Mv0hS14D1rvae7BRyJGJ/cK&#10;U7Oz98qPk+rUmW14T94o7Cr3bM2z77nxndxrt9yrc0224T0Zgt+V90DfamWwtfNzC5/4E/ZzxReH&#10;8FWmiAiUX5Dyzz7vvgu/uP7O9eg/AAAA//8DAFBLAwQUAAYACAAAACEA0uCYY9wAAAAGAQAADwAA&#10;AGRycy9kb3ducmV2LnhtbEyPQUvDQBCF74L/YRnBm93EUhtiNqUU9VQEW0G8TZNpEpqdDdltkv57&#10;Ry/1MvB4jzffy1aTbdVAvW8cG4hnESjiwpUNVwY+968PCSgfkEtsHZOBC3lY5bc3GaalG/mDhl2o&#10;lJSwT9FAHUKXau2Lmiz6meuIxTu63mIQ2Ve67HGUctvqxyh60hYblg81drSpqTjtztbA24jjeh6/&#10;DNvTcXP53i/ev7YxGXN/N62fQQWawjUMv/iCDrkwHdyZS69aAzIk/F3xkuVc5EFCUbJcgM4z/R8/&#10;/wEAAP//AwBQSwECLQAUAAYACAAAACEAtoM4kv4AAADhAQAAEwAAAAAAAAAAAAAAAAAAAAAAW0Nv&#10;bnRlbnRfVHlwZXNdLnhtbFBLAQItABQABgAIAAAAIQA4/SH/1gAAAJQBAAALAAAAAAAAAAAAAAAA&#10;AC8BAABfcmVscy8ucmVsc1BLAQItABQABgAIAAAAIQArRqqd/wUAAC87AAAOAAAAAAAAAAAAAAAA&#10;AC4CAABkcnMvZTJvRG9jLnhtbFBLAQItABQABgAIAAAAIQDS4Jhj3AAAAAYBAAAPAAAAAAAAAAAA&#10;AAAAAFkIAABkcnMvZG93bnJldi54bWxQSwUGAAAAAAQABADzAAAAYgkAAAAA&#10;">
                <v:shape id="Надпись 86" o:spid="_x0000_s1142" type="#_x0000_t202" style="position:absolute;width:55435;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P1wwAAANsAAAAPAAAAZHJzL2Rvd25yZXYueG1sRI9fa8Iw&#10;FMXfhX2HcAd7kTV1gpTOKGMwEBTBP7A9Xpq7NtjclCTa+u2NIPh4OOf8Dme+HGwrLuSDcaxgkuUg&#10;iCunDdcKjoef9wJEiMgaW8ek4EoBlouX0RxL7Xre0WUfa5EgHEpU0MTYlVKGqiGLIXMdcfL+nbcY&#10;k/S11B77BLet/MjzmbRoOC002NF3Q9Vpf7YKDOUn0/uN/R1vJ8V07Nb+b+2Vensdvj5BRBriM/xo&#10;r7SCYgb3L+kHyMUNAAD//wMAUEsBAi0AFAAGAAgAAAAhANvh9svuAAAAhQEAABMAAAAAAAAAAAAA&#10;AAAAAAAAAFtDb250ZW50X1R5cGVzXS54bWxQSwECLQAUAAYACAAAACEAWvQsW78AAAAVAQAACwAA&#10;AAAAAAAAAAAAAAAfAQAAX3JlbHMvLnJlbHNQSwECLQAUAAYACAAAACEAVEUz9cMAAADbAAAADwAA&#10;AAAAAAAAAAAAAAAHAgAAZHJzL2Rvd25yZXYueG1sUEsFBgAAAAADAAMAtwAAAPcCAAAAAA==&#10;" fillcolor="#d8d8d8 [2732]" strokeweight=".5pt">
                  <v:textbox>
                    <w:txbxContent>
                      <w:p w14:paraId="06D433AB" w14:textId="77777777" w:rsidR="001D4931" w:rsidRPr="002F33D0" w:rsidRDefault="001D4931" w:rsidP="002D5680">
                        <w:pPr>
                          <w:pStyle w:val="a3"/>
                          <w:tabs>
                            <w:tab w:val="left" w:pos="284"/>
                          </w:tabs>
                          <w:spacing w:after="0" w:line="240" w:lineRule="auto"/>
                          <w:ind w:left="0"/>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1 ВВОД ВХОДНЫХ ДАННЫХ</w:t>
                        </w:r>
                      </w:p>
                      <w:p w14:paraId="15CED79A" w14:textId="35ED9396" w:rsidR="001D4931" w:rsidRPr="002F33D0" w:rsidRDefault="001D4931" w:rsidP="002D568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(ответы на вопросы матрицы R₁-R₇ × P₁-P₃, шкала 1-</w:t>
                        </w:r>
                        <w:r w:rsidRPr="002F33D0">
                          <w:rPr>
                            <w:rFonts w:ascii="Times New Roman" w:hAnsi="Times New Roman" w:cs="Times New Roman"/>
                            <w:sz w:val="24"/>
                            <w:szCs w:val="24"/>
                            <w:lang w:val="kk-KZ"/>
                          </w:rPr>
                          <w:t>5)</w:t>
                        </w:r>
                      </w:p>
                    </w:txbxContent>
                  </v:textbox>
                </v:shape>
                <v:shape id="Надпись 87" o:spid="_x0000_s1143" type="#_x0000_t202" style="position:absolute;top:7429;width:55435;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ZZuxAAAANsAAAAPAAAAZHJzL2Rvd25yZXYueG1sRI9Ra8Iw&#10;FIXfB/6HcIW9iKZ1sJVqFBEGgmMwJ+jjpbm2weamJFnb/ftlMNjj4ZzzHc56O9pW9OSDcawgX2Qg&#10;iCunDdcKzp+v8wJEiMgaW8ek4JsCbDeThzWW2g38Qf0p1iJBOJSooImxK6UMVUMWw8J1xMm7OW8x&#10;JulrqT0OCW5bucyyZ2nRcFposKN9Q9X99GUVGMruZvBv9jJ7z4unmTv669Er9TgddysQkcb4H/5r&#10;H7SC4gV+v6QfIDc/AAAA//8DAFBLAQItABQABgAIAAAAIQDb4fbL7gAAAIUBAAATAAAAAAAAAAAA&#10;AAAAAAAAAABbQ29udGVudF9UeXBlc10ueG1sUEsBAi0AFAAGAAgAAAAhAFr0LFu/AAAAFQEAAAsA&#10;AAAAAAAAAAAAAAAAHwEAAF9yZWxzLy5yZWxzUEsBAi0AFAAGAAgAAAAhADsJlm7EAAAA2wAAAA8A&#10;AAAAAAAAAAAAAAAABwIAAGRycy9kb3ducmV2LnhtbFBLBQYAAAAAAwADALcAAAD4AgAAAAA=&#10;" fillcolor="#d8d8d8 [2732]" strokeweight=".5pt">
                  <v:textbox>
                    <w:txbxContent>
                      <w:p w14:paraId="3B31F66D" w14:textId="77777777" w:rsidR="001D4931" w:rsidRPr="002F33D0" w:rsidRDefault="001D4931" w:rsidP="002D5680">
                        <w:pPr>
                          <w:pStyle w:val="a3"/>
                          <w:tabs>
                            <w:tab w:val="left" w:pos="284"/>
                          </w:tabs>
                          <w:spacing w:after="0" w:line="240" w:lineRule="auto"/>
                          <w:ind w:left="0"/>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2 АВТОМАТИЧЕСКОЕ РАСПРЕДЕЛЕНИЕ ДАННЫХ ПО МАТРИЦЕ Rᵢ × Pⱼ</w:t>
                        </w:r>
                      </w:p>
                      <w:p w14:paraId="06C79861" w14:textId="77777777" w:rsidR="001D4931" w:rsidRPr="002F33D0" w:rsidRDefault="001D4931" w:rsidP="002D568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(каждый вопрос привязывается к ресурсному и процессному блоку)</w:t>
                        </w:r>
                      </w:p>
                    </w:txbxContent>
                  </v:textbox>
                </v:shape>
                <v:shape id="Надпись 88" o:spid="_x0000_s1144" type="#_x0000_t202" style="position:absolute;top:12096;width:23050;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NKTwQAAANsAAAAPAAAAZHJzL2Rvd25yZXYueG1sRE/LagIx&#10;FN0X/IdwBXc1YylVRqNoqbTSleNjfZlcZ4KTmzGJOv17syi4PJz3bNHZRtzIB+NYwWiYgSAunTZc&#10;Kdjv1q8TECEia2wck4I/CrCY915mmGt35y3diliJFMIhRwV1jG0uZShrshiGriVO3Ml5izFBX0nt&#10;8Z7CbSPfsuxDWjScGmps6bOm8lxcrYLLwe/eR+bruG42hbmMz7+rbxwrNeh3yymISF18iv/dP1rB&#10;JI1NX9IPkPMHAAAA//8DAFBLAQItABQABgAIAAAAIQDb4fbL7gAAAIUBAAATAAAAAAAAAAAAAAAA&#10;AAAAAABbQ29udGVudF9UeXBlc10ueG1sUEsBAi0AFAAGAAgAAAAhAFr0LFu/AAAAFQEAAAsAAAAA&#10;AAAAAAAAAAAAHwEAAF9yZWxzLy5yZWxzUEsBAi0AFAAGAAgAAAAhABtA0pPBAAAA2wAAAA8AAAAA&#10;AAAAAAAAAAAABwIAAGRycy9kb3ducmV2LnhtbFBLBQYAAAAAAwADALcAAAD1AgAAAAA=&#10;" fillcolor="white [3201]" strokeweight=".5pt">
                  <v:textbox>
                    <w:txbxContent>
                      <w:p w14:paraId="322D807B" w14:textId="77777777" w:rsidR="001D4931" w:rsidRPr="002F33D0" w:rsidRDefault="001D4931" w:rsidP="002D568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R₁…R₇ – ресурсные компоненты</w:t>
                        </w:r>
                      </w:p>
                    </w:txbxContent>
                  </v:textbox>
                </v:shape>
                <v:shape id="Надпись 89" o:spid="_x0000_s1145" type="#_x0000_t202" style="position:absolute;left:23050;top:12096;width:32385;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HcIxAAAANsAAAAPAAAAZHJzL2Rvd25yZXYueG1sRI9BawIx&#10;FITvQv9DeAVvmlWK2q1RVCq2eHJte35sXneDm5c1ibr9902h4HGYmW+Y+bKzjbiSD8axgtEwA0Fc&#10;Om24UvBx3A5mIEJE1tg4JgU/FGC5eOjNMdfuxge6FrESCcIhRwV1jG0uZShrshiGriVO3rfzFmOS&#10;vpLa4y3BbSPHWTaRFg2nhRpb2tRUnoqLVXD+9MenkXn92jbvhTlPT/v1DqdK9R+71QuISF28h//b&#10;b1rB7Bn+vqQfIBe/AAAA//8DAFBLAQItABQABgAIAAAAIQDb4fbL7gAAAIUBAAATAAAAAAAAAAAA&#10;AAAAAAAAAABbQ29udGVudF9UeXBlc10ueG1sUEsBAi0AFAAGAAgAAAAhAFr0LFu/AAAAFQEAAAsA&#10;AAAAAAAAAAAAAAAAHwEAAF9yZWxzLy5yZWxzUEsBAi0AFAAGAAgAAAAhAHQMdwjEAAAA2wAAAA8A&#10;AAAAAAAAAAAAAAAABwIAAGRycy9kb3ducmV2LnhtbFBLBQYAAAAAAwADALcAAAD4AgAAAAA=&#10;" fillcolor="white [3201]" strokeweight=".5pt">
                  <v:textbox>
                    <w:txbxContent>
                      <w:p w14:paraId="16A6ADDA" w14:textId="77777777" w:rsidR="001D4931" w:rsidRPr="002F33D0" w:rsidRDefault="001D4931" w:rsidP="002D5680">
                        <w:pPr>
                          <w:spacing w:after="0" w:line="240" w:lineRule="auto"/>
                          <w:ind w:firstLine="142"/>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P₁…P₃ – процессы инновационной активности</w:t>
                        </w:r>
                      </w:p>
                    </w:txbxContent>
                  </v:textbox>
                </v:shape>
                <v:shape id="Надпись 90" o:spid="_x0000_s1146" type="#_x0000_t202" style="position:absolute;top:19431;width:55435;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ZjHwAAAANsAAAAPAAAAZHJzL2Rvd25yZXYueG1sRE9Ni8Iw&#10;EL0L+x/CLHgRTVUQ7RplEQRBEdSF3ePQzLbBZlKSaOu/NwfB4+N9L9edrcWdfDCOFYxHGQjiwmnD&#10;pYKfy3Y4BxEissbaMSl4UID16qO3xFy7lk90P8dSpBAOOSqoYmxyKUNRkcUwcg1x4v6dtxgT9KXU&#10;HtsUbms5ybKZtGg4NVTY0Kai4nq+WQWGsqtp/cH+Do7j+XTg9v5v75Xqf3bfXyAidfEtfrl3WsEi&#10;rU9f0g+QqycAAAD//wMAUEsBAi0AFAAGAAgAAAAhANvh9svuAAAAhQEAABMAAAAAAAAAAAAAAAAA&#10;AAAAAFtDb250ZW50X1R5cGVzXS54bWxQSwECLQAUAAYACAAAACEAWvQsW78AAAAVAQAACwAAAAAA&#10;AAAAAAAAAAAfAQAAX3JlbHMvLnJlbHNQSwECLQAUAAYACAAAACEAMTmYx8AAAADbAAAADwAAAAAA&#10;AAAAAAAAAAAHAgAAZHJzL2Rvd25yZXYueG1sUEsFBgAAAAADAAMAtwAAAPQCAAAAAA==&#10;" fillcolor="#d8d8d8 [2732]" strokeweight=".5pt">
                  <v:textbox>
                    <w:txbxContent>
                      <w:p w14:paraId="13683C65" w14:textId="77777777" w:rsidR="001D4931" w:rsidRPr="002F33D0" w:rsidRDefault="001D4931" w:rsidP="002D5680">
                        <w:pPr>
                          <w:pStyle w:val="a3"/>
                          <w:tabs>
                            <w:tab w:val="left" w:pos="284"/>
                          </w:tabs>
                          <w:spacing w:after="0" w:line="240" w:lineRule="auto"/>
                          <w:ind w:left="0"/>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3 НОРМАЛИЗАЦИЯ ЗНАЧЕНИЙ</w:t>
                        </w:r>
                      </w:p>
                      <w:p w14:paraId="20E1AB03" w14:textId="77777777" w:rsidR="001D4931" w:rsidRPr="002F33D0" w:rsidRDefault="001D4931" w:rsidP="002D568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(приведение шкалы оценок к общему диапазону для расчётов)</w:t>
                        </w:r>
                      </w:p>
                    </w:txbxContent>
                  </v:textbox>
                </v:shape>
                <v:shape id="Надпись 91" o:spid="_x0000_s1147" type="#_x0000_t202" style="position:absolute;top:26955;width:55435;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T1cwwAAANsAAAAPAAAAZHJzL2Rvd25yZXYueG1sRI9BawIx&#10;FITvQv9DeAUvotmtIHY1SikIBUWoLdTjY/PcDW5eliS66783gtDjMDPfMMt1bxtxJR+MYwX5JANB&#10;XDptuFLw+7MZz0GEiKyxcUwKbhRgvXoZLLHQruNvuh5iJRKEQ4EK6hjbQspQ1mQxTFxLnLyT8xZj&#10;kr6S2mOX4LaRb1k2kxYNp4UaW/qsqTwfLlaBoexsOr+zf6N9Pp+O3NYft16p4Wv/sQARqY//4Wf7&#10;Syt4z+HxJf0AuboDAAD//wMAUEsBAi0AFAAGAAgAAAAhANvh9svuAAAAhQEAABMAAAAAAAAAAAAA&#10;AAAAAAAAAFtDb250ZW50X1R5cGVzXS54bWxQSwECLQAUAAYACAAAACEAWvQsW78AAAAVAQAACwAA&#10;AAAAAAAAAAAAAAAfAQAAX3JlbHMvLnJlbHNQSwECLQAUAAYACAAAACEAXnU9XMMAAADbAAAADwAA&#10;AAAAAAAAAAAAAAAHAgAAZHJzL2Rvd25yZXYueG1sUEsFBgAAAAADAAMAtwAAAPcCAAAAAA==&#10;" fillcolor="#d8d8d8 [2732]" strokeweight=".5pt">
                  <v:textbox>
                    <w:txbxContent>
                      <w:p w14:paraId="0C6A4E09" w14:textId="77777777" w:rsidR="001D4931" w:rsidRPr="002F33D0" w:rsidRDefault="001D4931" w:rsidP="002D5680">
                        <w:pPr>
                          <w:pStyle w:val="a3"/>
                          <w:tabs>
                            <w:tab w:val="left" w:pos="284"/>
                          </w:tabs>
                          <w:spacing w:after="0" w:line="240" w:lineRule="auto"/>
                          <w:ind w:left="0"/>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4 ПРИМЕНЕНИЕ β-ВЕСОВ</w:t>
                        </w:r>
                      </w:p>
                      <w:p w14:paraId="65406EBB" w14:textId="77777777" w:rsidR="001D4931" w:rsidRPr="002F33D0" w:rsidRDefault="001D4931" w:rsidP="002D568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(дифференциация по размерам предприятий: крупные, средние, малые)</w:t>
                        </w:r>
                      </w:p>
                    </w:txbxContent>
                  </v:textbox>
                </v:shape>
                <v:shape id="Надпись 92" o:spid="_x0000_s1148" type="#_x0000_t202" style="position:absolute;top:31623;width:25717;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OkxAAAANsAAAAPAAAAZHJzL2Rvd25yZXYueG1sRI9BawIx&#10;FITvhf6H8Aq9aVYp2m6NoqJU8dS17fmxed0Nbl7WJNX13xtB6HGYmW+YyayzjTiRD8axgkE/A0Fc&#10;Om24UvC1X/deQYSIrLFxTAouFGA2fXyYYK7dmT/pVMRKJAiHHBXUMba5lKGsyWLou5Y4eb/OW4xJ&#10;+kpqj+cEt40cZtlIWjScFmpsaVlTeSj+rILjt9+/DMzqZ91sC3McH3aLDxwr9fzUzd9BROrif/je&#10;3mgFb0O4fUk/QE6vAAAA//8DAFBLAQItABQABgAIAAAAIQDb4fbL7gAAAIUBAAATAAAAAAAAAAAA&#10;AAAAAAAAAABbQ29udGVudF9UeXBlc10ueG1sUEsBAi0AFAAGAAgAAAAhAFr0LFu/AAAAFQEAAAsA&#10;AAAAAAAAAAAAAAAAHwEAAF9yZWxzLy5yZWxzUEsBAi0AFAAGAAgAAAAhAP9xc6TEAAAA2wAAAA8A&#10;AAAAAAAAAAAAAAAABwIAAGRycy9kb3ducmV2LnhtbFBLBQYAAAAAAwADALcAAAD4AgAAAAA=&#10;" fillcolor="white [3201]" strokeweight=".5pt">
                  <v:textbox>
                    <w:txbxContent>
                      <w:p w14:paraId="73E4F65D" w14:textId="77777777" w:rsidR="001D4931" w:rsidRPr="002F33D0" w:rsidRDefault="001D4931" w:rsidP="002D568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умножение нормализованных значений на β₁…β₇</w:t>
                        </w:r>
                      </w:p>
                    </w:txbxContent>
                  </v:textbox>
                </v:shape>
                <v:shape id="Надпись 93" o:spid="_x0000_s1149" type="#_x0000_t202" style="position:absolute;left:25717;top:31623;width:29718;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dY/xAAAANsAAAAPAAAAZHJzL2Rvd25yZXYueG1sRI9BawIx&#10;FITvgv8hPKE3zWqLtlujqFRa8dS17fmxed0Nbl7WJNXtv28KgsdhZr5h5svONuJMPhjHCsajDARx&#10;6bThSsHHYTt8BBEissbGMSn4pQDLRb83x1y7C7/TuYiVSBAOOSqoY2xzKUNZk8Uwci1x8r6dtxiT&#10;9JXUHi8Jbhs5ybKptGg4LdTY0qam8lj8WAWnT394GJuXr22zK8xpdtyvX3Gm1N2gWz2DiNTFW/ja&#10;ftMKnu7h/0v6AXLxBwAA//8DAFBLAQItABQABgAIAAAAIQDb4fbL7gAAAIUBAAATAAAAAAAAAAAA&#10;AAAAAAAAAABbQ29udGVudF9UeXBlc10ueG1sUEsBAi0AFAAGAAgAAAAhAFr0LFu/AAAAFQEAAAsA&#10;AAAAAAAAAAAAAAAAHwEAAF9yZWxzLy5yZWxzUEsBAi0AFAAGAAgAAAAhAJA91j/EAAAA2wAAAA8A&#10;AAAAAAAAAAAAAAAABwIAAGRycy9kb3ducmV2LnhtbFBLBQYAAAAAAwADALcAAAD4AgAAAAA=&#10;" fillcolor="white [3201]" strokeweight=".5pt">
                  <v:textbox>
                    <w:txbxContent>
                      <w:p w14:paraId="31CC4659" w14:textId="77777777" w:rsidR="001D4931" w:rsidRPr="002F33D0" w:rsidRDefault="001D4931" w:rsidP="002D568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учёт весов ресурсных и цифровых факторов</w:t>
                        </w:r>
                      </w:p>
                    </w:txbxContent>
                  </v:textbox>
                </v:shape>
                <v:shape id="Надпись 94" o:spid="_x0000_s1150" type="#_x0000_t202" style="position:absolute;top:38957;width:5543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p7EwwAAANsAAAAPAAAAZHJzL2Rvd25yZXYueG1sRI9BawIx&#10;FITvhf6H8ApepGbVUnQ1ShEEQSloC3p8bF53g5uXJYnu+u+NIPQ4zMw3zHzZ2VpcyQfjWMFwkIEg&#10;Lpw2XCr4/Vm/T0CEiKyxdkwKbhRguXh9mWOuXct7uh5iKRKEQ44KqhibXMpQVGQxDFxDnLw/5y3G&#10;JH0ptcc2wW0tR1n2KS0aTgsVNrSqqDgfLlaBoexsWr+zx/73cDLuu60/bb1SvbfuawYiUhf/w8/2&#10;RiuYfsDjS/oBcnEHAAD//wMAUEsBAi0AFAAGAAgAAAAhANvh9svuAAAAhQEAABMAAAAAAAAAAAAA&#10;AAAAAAAAAFtDb250ZW50X1R5cGVzXS54bWxQSwECLQAUAAYACAAAACEAWvQsW78AAAAVAQAACwAA&#10;AAAAAAAAAAAAAAAfAQAAX3JlbHMvLnJlbHNQSwECLQAUAAYACAAAACEATgKexMMAAADbAAAADwAA&#10;AAAAAAAAAAAAAAAHAgAAZHJzL2Rvd25yZXYueG1sUEsFBgAAAAADAAMAtwAAAPcCAAAAAA==&#10;" fillcolor="#d8d8d8 [2732]" strokeweight=".5pt">
                  <v:textbox>
                    <w:txbxContent>
                      <w:p w14:paraId="04B381DA" w14:textId="77777777" w:rsidR="001D4931" w:rsidRPr="002F33D0" w:rsidRDefault="001D4931" w:rsidP="002D5680">
                        <w:pPr>
                          <w:pStyle w:val="a3"/>
                          <w:tabs>
                            <w:tab w:val="left" w:pos="284"/>
                          </w:tabs>
                          <w:spacing w:after="0" w:line="240" w:lineRule="auto"/>
                          <w:ind w:left="0"/>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5 РАСЧЁТ ЧАСТНЫХ ИНДЕКСОВ</w:t>
                        </w:r>
                      </w:p>
                      <w:p w14:paraId="7589408A" w14:textId="77777777" w:rsidR="001D4931" w:rsidRPr="002F33D0" w:rsidRDefault="001D4931" w:rsidP="002D568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(по ресурсным и процессным блокам)</w:t>
                        </w:r>
                      </w:p>
                    </w:txbxContent>
                  </v:textbox>
                </v:shape>
                <v:shape id="Надпись 95" o:spid="_x0000_s1151" type="#_x0000_t202" style="position:absolute;top:45910;width:55435;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tfwwAAANsAAAAPAAAAZHJzL2Rvd25yZXYueG1sRI9BawIx&#10;FITvhf6H8ApepGZVWnQ1ShEEQSloC3p8bF53g5uXJYnu+u+NIPQ4zMw3zHzZ2VpcyQfjWMFwkIEg&#10;Lpw2XCr4/Vm/T0CEiKyxdkwKbhRguXh9mWOuXct7uh5iKRKEQ44KqhibXMpQVGQxDFxDnLw/5y3G&#10;JH0ptcc2wW0tR1n2KS0aTgsVNrSqqDgfLlaBoexsWr+zx/73cDLuu60/bb1SvbfuawYiUhf/w8/2&#10;RiuYfsDjS/oBcnEHAAD//wMAUEsBAi0AFAAGAAgAAAAhANvh9svuAAAAhQEAABMAAAAAAAAAAAAA&#10;AAAAAAAAAFtDb250ZW50X1R5cGVzXS54bWxQSwECLQAUAAYACAAAACEAWvQsW78AAAAVAQAACwAA&#10;AAAAAAAAAAAAAAAfAQAAX3JlbHMvLnJlbHNQSwECLQAUAAYACAAAACEAIU47X8MAAADbAAAADwAA&#10;AAAAAAAAAAAAAAAHAgAAZHJzL2Rvd25yZXYueG1sUEsFBgAAAAADAAMAtwAAAPcCAAAAAA==&#10;" fillcolor="#d8d8d8 [2732]" strokeweight=".5pt">
                  <v:textbox>
                    <w:txbxContent>
                      <w:p w14:paraId="2D7DDEC0" w14:textId="77777777" w:rsidR="001D4931" w:rsidRPr="002F33D0" w:rsidRDefault="001D4931" w:rsidP="002D5680">
                        <w:pPr>
                          <w:pStyle w:val="a3"/>
                          <w:tabs>
                            <w:tab w:val="left" w:pos="284"/>
                          </w:tabs>
                          <w:spacing w:after="0" w:line="240" w:lineRule="auto"/>
                          <w:ind w:left="0"/>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6 РАСЧЁТ IP-INDEX</w:t>
                        </w:r>
                      </w:p>
                      <w:p w14:paraId="50D745E3" w14:textId="77777777" w:rsidR="001D4931" w:rsidRPr="002F33D0" w:rsidRDefault="001D4931" w:rsidP="002D568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(интегральный показатель инновационного потенциала)</w:t>
                        </w:r>
                      </w:p>
                    </w:txbxContent>
                  </v:textbox>
                </v:shape>
                <v:shape id="Надпись 96" o:spid="_x0000_s1152" type="#_x0000_t202" style="position:absolute;top:53340;width:55435;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KUoxAAAANsAAAAPAAAAZHJzL2Rvd25yZXYueG1sRI9Ra8Iw&#10;FIXfB/6HcIW9iKZuIFobRQaDgWMwFfTx0lzb0OamJJnt/v0yEHw8nHO+wym2g23FjXwwjhXMZxkI&#10;4tJpw5WC0/F9ugQRIrLG1jEp+KUA283oqcBcu56/6XaIlUgQDjkqqGPscilDWZPFMHMdcfKuzluM&#10;SfpKao99gttWvmTZQlo0nBZq7OitprI5/FgFhrLG9P7Tnidf8+XrxO39Ze+Veh4PuzWISEN8hO/t&#10;D61gtYD/L+kHyM0fAAAA//8DAFBLAQItABQABgAIAAAAIQDb4fbL7gAAAIUBAAATAAAAAAAAAAAA&#10;AAAAAAAAAABbQ29udGVudF9UeXBlc10ueG1sUEsBAi0AFAAGAAgAAAAhAFr0LFu/AAAAFQEAAAsA&#10;AAAAAAAAAAAAAAAAHwEAAF9yZWxzLy5yZWxzUEsBAi0AFAAGAAgAAAAhANGcpSjEAAAA2wAAAA8A&#10;AAAAAAAAAAAAAAAABwIAAGRycy9kb3ducmV2LnhtbFBLBQYAAAAAAwADALcAAAD4AgAAAAA=&#10;" fillcolor="#d8d8d8 [2732]" strokeweight=".5pt">
                  <v:textbox>
                    <w:txbxContent>
                      <w:p w14:paraId="6DA10302" w14:textId="77777777" w:rsidR="001D4931" w:rsidRPr="002F33D0" w:rsidRDefault="001D4931" w:rsidP="002D5680">
                        <w:pPr>
                          <w:pStyle w:val="a3"/>
                          <w:tabs>
                            <w:tab w:val="left" w:pos="284"/>
                          </w:tabs>
                          <w:spacing w:after="0" w:line="240" w:lineRule="auto"/>
                          <w:ind w:left="0"/>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7 ВИЗУАЛИЗАЦИЯ РЕЗУЛЬТАТОВ</w:t>
                        </w:r>
                      </w:p>
                      <w:p w14:paraId="54FD52FE" w14:textId="77777777" w:rsidR="001D4931" w:rsidRPr="002F33D0" w:rsidRDefault="001D4931" w:rsidP="002D568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(графики, профили, диаграммы, сравнительные таблицы, определение сильных и слабых зон инновационного потенциала)</w:t>
                        </w:r>
                      </w:p>
                    </w:txbxContent>
                  </v:textbox>
                </v:shape>
                <v:shape id="Надпись 97" o:spid="_x0000_s1153" type="#_x0000_t202" style="position:absolute;top:62388;width:55435;height:6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CzwwAAANsAAAAPAAAAZHJzL2Rvd25yZXYueG1sRI9BawIx&#10;FITvhf6H8ApepGZVaHU1ShEEQSloC3p8bF53g5uXJYnu+u+NIPQ4zMw3zHzZ2VpcyQfjWMFwkIEg&#10;Lpw2XCr4/Vm/T0CEiKyxdkwKbhRguXh9mWOuXct7uh5iKRKEQ44KqhibXMpQVGQxDFxDnLw/5y3G&#10;JH0ptcc2wW0tR1n2IS0aTgsVNrSqqDgfLlaBoexsWr+zx/73cDLuu60/bb1SvbfuawYiUhf/w8/2&#10;RiuYfsLjS/oBcnEHAAD//wMAUEsBAi0AFAAGAAgAAAAhANvh9svuAAAAhQEAABMAAAAAAAAAAAAA&#10;AAAAAAAAAFtDb250ZW50X1R5cGVzXS54bWxQSwECLQAUAAYACAAAACEAWvQsW78AAAAVAQAACwAA&#10;AAAAAAAAAAAAAAAfAQAAX3JlbHMvLnJlbHNQSwECLQAUAAYACAAAACEAvtAAs8MAAADbAAAADwAA&#10;AAAAAAAAAAAAAAAHAgAAZHJzL2Rvd25yZXYueG1sUEsFBgAAAAADAAMAtwAAAPcCAAAAAA==&#10;" fillcolor="#d8d8d8 [2732]" strokeweight=".5pt">
                  <v:textbox>
                    <w:txbxContent>
                      <w:p w14:paraId="1565D070" w14:textId="77777777" w:rsidR="001D4931" w:rsidRPr="002F33D0" w:rsidRDefault="001D4931" w:rsidP="002D5680">
                        <w:pPr>
                          <w:pStyle w:val="a3"/>
                          <w:tabs>
                            <w:tab w:val="left" w:pos="284"/>
                          </w:tabs>
                          <w:spacing w:after="0" w:line="240" w:lineRule="auto"/>
                          <w:ind w:left="0"/>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8 ПРОЕКТНЫЕ РЕКОМЕНДАЦИИ</w:t>
                        </w:r>
                      </w:p>
                      <w:p w14:paraId="7DFA1D52" w14:textId="77777777" w:rsidR="001D4931" w:rsidRPr="002F33D0" w:rsidRDefault="001D4931" w:rsidP="002D5680">
                        <w:pPr>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(траектории развития, приоритеты,  меры усиления инновационного  потенциала предприятия)</w:t>
                        </w:r>
                      </w:p>
                    </w:txbxContent>
                  </v:textbox>
                </v:shape>
                <v:shape id="Прямая со стрелкой 106" o:spid="_x0000_s1154" type="#_x0000_t32" style="position:absolute;left:5905;top:5048;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Dz/wgAAANwAAAAPAAAAZHJzL2Rvd25yZXYueG1sRE9Li8Iw&#10;EL4L+x/CLHjTdAVFqlGWFfGBB+0u6nFoxrZrMylN1PrvjSB4m4/vOeNpY0pxpdoVlhV8dSMQxKnV&#10;BWcK/n7nnSEI55E1lpZJwZ0cTCcfrTHG2t54R9fEZyKEsItRQe59FUvp0pwMuq6tiAN3srVBH2Cd&#10;SV3jLYSbUvaiaCANFhwacqzoJ6f0nFyMgs1xu9iv+7OCD6k+L8vd/+rEM6Xan833CISnxr/FL/dS&#10;h/nRAJ7PhAvk5AEAAP//AwBQSwECLQAUAAYACAAAACEA2+H2y+4AAACFAQAAEwAAAAAAAAAAAAAA&#10;AAAAAAAAW0NvbnRlbnRfVHlwZXNdLnhtbFBLAQItABQABgAIAAAAIQBa9CxbvwAAABUBAAALAAAA&#10;AAAAAAAAAAAAAB8BAABfcmVscy8ucmVsc1BLAQItABQABgAIAAAAIQCNNDz/wgAAANwAAAAPAAAA&#10;AAAAAAAAAAAAAAcCAABkcnMvZG93bnJldi54bWxQSwUGAAAAAAMAAwC3AAAA9gIAAAAA&#10;" strokecolor="black [3200]" strokeweight="1.5pt">
                  <v:stroke endarrow="block" joinstyle="miter"/>
                </v:shape>
                <v:shape id="Прямая со стрелкой 107" o:spid="_x0000_s1155" type="#_x0000_t32" style="position:absolute;left:5905;top:17049;width:0;height:2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JlkwgAAANwAAAAPAAAAZHJzL2Rvd25yZXYueG1sRE9Li8Iw&#10;EL4L/ocwC3vTdIV1pRplUcQHHnyhexyasa02k9JErf/eCAve5uN7zmBUm0LcqHK5ZQVf7QgEcWJ1&#10;zqmC/W7a6oFwHlljYZkUPMjBaNhsDDDW9s4bum19KkIIuxgVZN6XsZQuyciga9uSOHAnWxn0AVap&#10;1BXeQ7gpZCeKutJgzqEhw5LGGSWX7dUoWP2tZ4fl9yTnY6Iv82JzXpx4otTnR/3bB+Gp9m/xv3uu&#10;w/zoB17PhAvk8AkAAP//AwBQSwECLQAUAAYACAAAACEA2+H2y+4AAACFAQAAEwAAAAAAAAAAAAAA&#10;AAAAAAAAW0NvbnRlbnRfVHlwZXNdLnhtbFBLAQItABQABgAIAAAAIQBa9CxbvwAAABUBAAALAAAA&#10;AAAAAAAAAAAAAB8BAABfcmVscy8ucmVsc1BLAQItABQABgAIAAAAIQDieJlkwgAAANwAAAAPAAAA&#10;AAAAAAAAAAAAAAcCAABkcnMvZG93bnJldi54bWxQSwUGAAAAAAMAAwC3AAAA9gIAAAAA&#10;" strokecolor="black [3200]" strokeweight="1.5pt">
                  <v:stroke endarrow="block" joinstyle="miter"/>
                </v:shape>
                <v:shape id="Прямая со стрелкой 108" o:spid="_x0000_s1156" type="#_x0000_t32" style="position:absolute;left:5905;top:24479;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w0WxgAAANwAAAAPAAAAZHJzL2Rvd25yZXYueG1sRI9Pa8JA&#10;EMXvBb/DMkJvdaOglOgqRRFt8VD/YHscsmOSmp0N2a3Gb+8cBG8zvDfv/WYya12lLtSE0rOBfi8B&#10;RZx5W3Ju4LBfvr2DChHZYuWZDNwowGzaeZlgav2Vt3TZxVxJCIcUDRQx1qnWISvIYej5mli0k28c&#10;RlmbXNsGrxLuKj1IkpF2WLI0FFjTvKDsvPt3Bja/36vj13BR8k9mz+tq+/d54oUxr932YwwqUhuf&#10;5sf12gp+IrTyjEygp3cAAAD//wMAUEsBAi0AFAAGAAgAAAAhANvh9svuAAAAhQEAABMAAAAAAAAA&#10;AAAAAAAAAAAAAFtDb250ZW50X1R5cGVzXS54bWxQSwECLQAUAAYACAAAACEAWvQsW78AAAAVAQAA&#10;CwAAAAAAAAAAAAAAAAAfAQAAX3JlbHMvLnJlbHNQSwECLQAUAAYACAAAACEAk+cNFsYAAADcAAAA&#10;DwAAAAAAAAAAAAAAAAAHAgAAZHJzL2Rvd25yZXYueG1sUEsFBgAAAAADAAMAtwAAAPoCAAAAAA==&#10;" strokecolor="black [3200]" strokeweight="1.5pt">
                  <v:stroke endarrow="block" joinstyle="miter"/>
                </v:shape>
                <v:shape id="Прямая со стрелкой 109" o:spid="_x0000_s1157" type="#_x0000_t32" style="position:absolute;left:5905;top:36576;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6iNwgAAANwAAAAPAAAAZHJzL2Rvd25yZXYueG1sRE9Li8Iw&#10;EL4L/ocwC3vTdIWVtRplUcQHHnyhexyasa02k9JErf/eCAve5uN7zmBUm0LcqHK5ZQVf7QgEcWJ1&#10;zqmC/W7a+gHhPLLGwjIpeJCD0bDZGGCs7Z03dNv6VIQQdjEqyLwvYyldkpFB17YlceBOtjLoA6xS&#10;qSu8h3BTyE4UdaXBnENDhiWNM0ou26tRsPpbzw7L70nOx0Rf5sXmvDjxRKnPj/q3D8JT7d/if/dc&#10;h/lRD17PhAvk8AkAAP//AwBQSwECLQAUAAYACAAAACEA2+H2y+4AAACFAQAAEwAAAAAAAAAAAAAA&#10;AAAAAAAAW0NvbnRlbnRfVHlwZXNdLnhtbFBLAQItABQABgAIAAAAIQBa9CxbvwAAABUBAAALAAAA&#10;AAAAAAAAAAAAAB8BAABfcmVscy8ucmVsc1BLAQItABQABgAIAAAAIQD8q6iNwgAAANwAAAAPAAAA&#10;AAAAAAAAAAAAAAcCAABkcnMvZG93bnJldi54bWxQSwUGAAAAAAMAAwC3AAAA9gIAAAAA&#10;" strokecolor="black [3200]" strokeweight="1.5pt">
                  <v:stroke endarrow="block" joinstyle="miter"/>
                </v:shape>
                <v:shape id="Прямая со стрелкой 110" o:spid="_x0000_s1158" type="#_x0000_t32" style="position:absolute;left:5905;top:43529;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JfNxgAAANwAAAAPAAAAZHJzL2Rvd25yZXYueG1sRI9Pa8JA&#10;EMXvQr/DMoXedKPQItFVRJHa0oP/UI9Ddkyi2dmQ3Wr67TsHwdsM7817vxlPW1epGzWh9Gyg30tA&#10;EWfelpwb2O+W3SGoEJEtVp7JwB8FmE5eOmNMrb/zhm7bmCsJ4ZCigSLGOtU6ZAU5DD1fE4t29o3D&#10;KGuTa9vgXcJdpQdJ8qEdliwNBdY0Lyi7bn+dgZ/T+vPw/b4o+ZjZ66raXL7OvDDm7bWdjUBFauPT&#10;/LheWcHvC748IxPoyT8AAAD//wMAUEsBAi0AFAAGAAgAAAAhANvh9svuAAAAhQEAABMAAAAAAAAA&#10;AAAAAAAAAAAAAFtDb250ZW50X1R5cGVzXS54bWxQSwECLQAUAAYACAAAACEAWvQsW78AAAAVAQAA&#10;CwAAAAAAAAAAAAAAAAAfAQAAX3JlbHMvLnJlbHNQSwECLQAUAAYACAAAACEA6EiXzcYAAADcAAAA&#10;DwAAAAAAAAAAAAAAAAAHAgAAZHJzL2Rvd25yZXYueG1sUEsFBgAAAAADAAMAtwAAAPoCAAAAAA==&#10;" strokecolor="black [3200]" strokeweight="1.5pt">
                  <v:stroke endarrow="block" joinstyle="miter"/>
                </v:shape>
                <v:shape id="Прямая со стрелкой 111" o:spid="_x0000_s1159" type="#_x0000_t32" style="position:absolute;left:5905;top:50958;width:0;height:2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DJWwgAAANwAAAAPAAAAZHJzL2Rvd25yZXYueG1sRE9Li8Iw&#10;EL4v+B/CCN7WtILLUo0iiuguHtYH6nFoxrbaTEqT1frvjSB4m4/vOcNxY0pxpdoVlhXE3QgEcWp1&#10;wZmC3Xb++Q3CeWSNpWVScCcH41HrY4iJtjde03XjMxFC2CWoIPe+SqR0aU4GXddWxIE72dqgD7DO&#10;pK7xFsJNKXtR9CUNFhwacqxomlN62fwbBavj32L/258VfEj1ZVmuzz8nninVaTeTAQhPjX+LX+6l&#10;DvPjGJ7PhAvk6AEAAP//AwBQSwECLQAUAAYACAAAACEA2+H2y+4AAACFAQAAEwAAAAAAAAAAAAAA&#10;AAAAAAAAW0NvbnRlbnRfVHlwZXNdLnhtbFBLAQItABQABgAIAAAAIQBa9CxbvwAAABUBAAALAAAA&#10;AAAAAAAAAAAAAB8BAABfcmVscy8ucmVsc1BLAQItABQABgAIAAAAIQCHBDJWwgAAANwAAAAPAAAA&#10;AAAAAAAAAAAAAAcCAABkcnMvZG93bnJldi54bWxQSwUGAAAAAAMAAwC3AAAA9gIAAAAA&#10;" strokecolor="black [3200]" strokeweight="1.5pt">
                  <v:stroke endarrow="block" joinstyle="miter"/>
                </v:shape>
                <v:shape id="Прямая со стрелкой 112" o:spid="_x0000_s1160" type="#_x0000_t32" style="position:absolute;left:5905;top:60007;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qwhwgAAANwAAAAPAAAAZHJzL2Rvd25yZXYueG1sRE9Li8Iw&#10;EL4L/ocwgjdNFVyWahRRRF08rA/U49CMbbWZlCZq/febBcHbfHzPGU1qU4gHVS63rKDXjUAQJ1bn&#10;nCo47BedbxDOI2ssLJOCFzmYjJuNEcbaPnlLj51PRQhhF6OCzPsyltIlGRl0XVsSB+5iK4M+wCqV&#10;usJnCDeF7EfRlzSYc2jIsKRZRsltdzcKNuff5fFnMM/5lOjbqthe1xeeK9Vu1dMhCE+1/4jf7pUO&#10;83t9+H8mXCDHfwAAAP//AwBQSwECLQAUAAYACAAAACEA2+H2y+4AAACFAQAAEwAAAAAAAAAAAAAA&#10;AAAAAAAAW0NvbnRlbnRfVHlwZXNdLnhtbFBLAQItABQABgAIAAAAIQBa9CxbvwAAABUBAAALAAAA&#10;AAAAAAAAAAAAAB8BAABfcmVscy8ucmVsc1BLAQItABQABgAIAAAAIQB31qwhwgAAANwAAAAPAAAA&#10;AAAAAAAAAAAAAAcCAABkcnMvZG93bnJldi54bWxQSwUGAAAAAAMAAwC3AAAA9gIAAAAA&#10;" strokecolor="black [3200]" strokeweight="1.5pt">
                  <v:stroke endarrow="block" joinstyle="miter"/>
                </v:shape>
                <w10:anchorlock/>
              </v:group>
            </w:pict>
          </mc:Fallback>
        </mc:AlternateContent>
      </w:r>
    </w:p>
    <w:p w14:paraId="608B04E8" w14:textId="77777777" w:rsidR="002D5680" w:rsidRDefault="002D5680" w:rsidP="002F33D0">
      <w:pPr>
        <w:pStyle w:val="af2"/>
        <w:spacing w:before="0" w:beforeAutospacing="0" w:after="0" w:afterAutospacing="0"/>
        <w:jc w:val="center"/>
        <w:rPr>
          <w:sz w:val="28"/>
          <w:szCs w:val="28"/>
          <w:lang w:val="kk-KZ"/>
        </w:rPr>
      </w:pPr>
    </w:p>
    <w:p w14:paraId="2530E662" w14:textId="6EA66FA1" w:rsidR="002F33D0" w:rsidRPr="002F33D0" w:rsidRDefault="002D5680" w:rsidP="002F33D0">
      <w:pPr>
        <w:pStyle w:val="af2"/>
        <w:spacing w:before="0" w:beforeAutospacing="0" w:after="0" w:afterAutospacing="0"/>
        <w:jc w:val="center"/>
        <w:rPr>
          <w:sz w:val="28"/>
          <w:szCs w:val="28"/>
          <w:lang w:val="kk-KZ"/>
        </w:rPr>
      </w:pPr>
      <w:r>
        <w:rPr>
          <w:sz w:val="28"/>
          <w:szCs w:val="28"/>
          <w:lang w:val="kk-KZ"/>
        </w:rPr>
        <w:t xml:space="preserve">Рисунок </w:t>
      </w:r>
      <w:r w:rsidR="00FD618C">
        <w:rPr>
          <w:sz w:val="28"/>
          <w:szCs w:val="28"/>
          <w:lang w:val="kk-KZ"/>
        </w:rPr>
        <w:t>8</w:t>
      </w:r>
      <w:r w:rsidR="002F33D0" w:rsidRPr="002F33D0">
        <w:rPr>
          <w:sz w:val="28"/>
          <w:szCs w:val="28"/>
          <w:lang w:val="kk-KZ"/>
        </w:rPr>
        <w:t xml:space="preserve"> – Алгоритмическая модель функционирования инструмента оценки и проектирования инновационного потенциала</w:t>
      </w:r>
    </w:p>
    <w:p w14:paraId="3ED9300C" w14:textId="716FDEC1" w:rsidR="002F33D0" w:rsidRDefault="002F33D0" w:rsidP="002F33D0">
      <w:pPr>
        <w:spacing w:after="0" w:line="240" w:lineRule="auto"/>
        <w:jc w:val="both"/>
        <w:rPr>
          <w:rFonts w:ascii="Times New Roman" w:hAnsi="Times New Roman" w:cs="Times New Roman"/>
          <w:sz w:val="28"/>
          <w:szCs w:val="28"/>
        </w:rPr>
      </w:pPr>
    </w:p>
    <w:p w14:paraId="6BC18C3E" w14:textId="6AA201BB" w:rsidR="002D5680" w:rsidRPr="002D5680" w:rsidRDefault="002D5680" w:rsidP="00FD618C">
      <w:pPr>
        <w:spacing w:after="0" w:line="240" w:lineRule="auto"/>
        <w:ind w:firstLine="567"/>
        <w:jc w:val="both"/>
        <w:rPr>
          <w:rFonts w:ascii="Times New Roman" w:hAnsi="Times New Roman" w:cs="Times New Roman"/>
          <w:sz w:val="24"/>
          <w:szCs w:val="28"/>
          <w:lang w:val="kk-KZ"/>
        </w:rPr>
      </w:pPr>
      <w:r w:rsidRPr="002D5680">
        <w:rPr>
          <w:rFonts w:ascii="Times New Roman" w:hAnsi="Times New Roman" w:cs="Times New Roman"/>
          <w:sz w:val="24"/>
          <w:szCs w:val="28"/>
          <w:lang w:val="kk-KZ"/>
        </w:rPr>
        <w:t xml:space="preserve">Примечание – </w:t>
      </w:r>
      <w:r w:rsidR="000F3C80">
        <w:rPr>
          <w:rFonts w:ascii="Times New Roman" w:hAnsi="Times New Roman" w:cs="Times New Roman"/>
          <w:sz w:val="24"/>
          <w:szCs w:val="28"/>
          <w:lang w:val="kk-KZ"/>
        </w:rPr>
        <w:t>С</w:t>
      </w:r>
      <w:r w:rsidRPr="002D5680">
        <w:rPr>
          <w:rFonts w:ascii="Times New Roman" w:hAnsi="Times New Roman" w:cs="Times New Roman"/>
          <w:sz w:val="24"/>
          <w:szCs w:val="28"/>
          <w:lang w:val="kk-KZ"/>
        </w:rPr>
        <w:t>оставлено автором</w:t>
      </w:r>
    </w:p>
    <w:p w14:paraId="24BA36BE" w14:textId="77777777" w:rsidR="002D5680" w:rsidRPr="002D5680" w:rsidRDefault="002D5680" w:rsidP="00FD618C">
      <w:pPr>
        <w:spacing w:after="0" w:line="240" w:lineRule="auto"/>
        <w:ind w:firstLine="567"/>
        <w:jc w:val="both"/>
        <w:rPr>
          <w:rFonts w:ascii="Times New Roman" w:hAnsi="Times New Roman" w:cs="Times New Roman"/>
          <w:sz w:val="28"/>
          <w:szCs w:val="28"/>
          <w:lang w:val="kk-KZ"/>
        </w:rPr>
      </w:pPr>
    </w:p>
    <w:p w14:paraId="6003047B" w14:textId="7CDEE41B" w:rsidR="002F33D0" w:rsidRPr="002F33D0" w:rsidRDefault="002F33D0" w:rsidP="00FD618C">
      <w:pPr>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rPr>
        <w:t>Таким образом, предложенный инструмент выполняет не только диагностическую, но и проектную функцию, формируя обоснованную траекторию развития инновационного потенциала и обеспечивая соответствие управляющих решений логике проектирования, изложенной в предыдущем подразделе.</w:t>
      </w:r>
    </w:p>
    <w:p w14:paraId="6ECFDC71" w14:textId="77777777" w:rsidR="002F33D0" w:rsidRPr="002F33D0" w:rsidRDefault="002F33D0" w:rsidP="002F33D0">
      <w:pPr>
        <w:spacing w:after="0" w:line="240" w:lineRule="auto"/>
        <w:ind w:firstLine="567"/>
        <w:jc w:val="both"/>
        <w:rPr>
          <w:rFonts w:ascii="Times New Roman" w:hAnsi="Times New Roman" w:cs="Times New Roman"/>
          <w:b/>
          <w:sz w:val="28"/>
          <w:szCs w:val="28"/>
        </w:rPr>
      </w:pPr>
      <w:r w:rsidRPr="002F33D0">
        <w:rPr>
          <w:rFonts w:ascii="Times New Roman" w:hAnsi="Times New Roman" w:cs="Times New Roman"/>
          <w:b/>
          <w:sz w:val="28"/>
          <w:szCs w:val="28"/>
        </w:rPr>
        <w:lastRenderedPageBreak/>
        <w:t xml:space="preserve">3.2.3 Алгоритм эконометрического взвешивания и расчёта интегрального индекса инновационного потенциала </w:t>
      </w:r>
    </w:p>
    <w:p w14:paraId="7C44B581" w14:textId="3D1812C2" w:rsid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Разработка количественного показателя инновационного потенциала предпринимательских структур основана на алгоритме эконометрического взвешивания, обеспечивающем объективность, воспроизводимость и эмпирическую валидность получаемых оценок. </w:t>
      </w:r>
      <w:r w:rsidR="00545A2C">
        <w:rPr>
          <w:rFonts w:ascii="Times New Roman" w:hAnsi="Times New Roman" w:cs="Times New Roman"/>
          <w:sz w:val="28"/>
          <w:szCs w:val="28"/>
          <w:lang w:val="kk-KZ"/>
        </w:rPr>
        <w:t>П</w:t>
      </w:r>
      <w:r w:rsidRPr="002F33D0">
        <w:rPr>
          <w:rFonts w:ascii="Times New Roman" w:hAnsi="Times New Roman" w:cs="Times New Roman"/>
          <w:sz w:val="28"/>
          <w:szCs w:val="28"/>
        </w:rPr>
        <w:t>редложенный индекс опирается на стандартизированные β-коэффициенты, полученные в результате структурного моделирования (SEM) и регрессионного анализа, что делает его чувствительным к реальной силе влияния ресурсных и институциональных факторов.</w:t>
      </w:r>
      <w:r w:rsidR="002D5680">
        <w:rPr>
          <w:rFonts w:ascii="Times New Roman" w:hAnsi="Times New Roman" w:cs="Times New Roman"/>
          <w:sz w:val="28"/>
          <w:szCs w:val="28"/>
          <w:lang w:val="kk-KZ"/>
        </w:rPr>
        <w:t xml:space="preserve"> </w:t>
      </w:r>
      <w:r w:rsidRPr="002F33D0">
        <w:rPr>
          <w:rFonts w:ascii="Times New Roman" w:hAnsi="Times New Roman" w:cs="Times New Roman"/>
          <w:sz w:val="28"/>
          <w:szCs w:val="28"/>
        </w:rPr>
        <w:t>Алгоритм расчёта интегрального IP-Index включает пять последовательно реализуемых этапов</w:t>
      </w:r>
      <w:r w:rsidRPr="002F33D0">
        <w:rPr>
          <w:rFonts w:ascii="Times New Roman" w:hAnsi="Times New Roman" w:cs="Times New Roman"/>
          <w:sz w:val="28"/>
          <w:szCs w:val="28"/>
          <w:lang w:val="kk-KZ"/>
        </w:rPr>
        <w:t>, ко</w:t>
      </w:r>
      <w:r w:rsidR="002D5680">
        <w:rPr>
          <w:rFonts w:ascii="Times New Roman" w:hAnsi="Times New Roman" w:cs="Times New Roman"/>
          <w:sz w:val="28"/>
          <w:szCs w:val="28"/>
          <w:lang w:val="kk-KZ"/>
        </w:rPr>
        <w:t xml:space="preserve">торые представлены в рисунке </w:t>
      </w:r>
      <w:r w:rsidR="00FD618C">
        <w:rPr>
          <w:rFonts w:ascii="Times New Roman" w:hAnsi="Times New Roman" w:cs="Times New Roman"/>
          <w:sz w:val="28"/>
          <w:szCs w:val="28"/>
          <w:lang w:val="kk-KZ"/>
        </w:rPr>
        <w:t>9</w:t>
      </w:r>
      <w:r w:rsidRPr="002F33D0">
        <w:rPr>
          <w:rFonts w:ascii="Times New Roman" w:hAnsi="Times New Roman" w:cs="Times New Roman"/>
          <w:sz w:val="28"/>
          <w:szCs w:val="28"/>
        </w:rPr>
        <w:t xml:space="preserve">. </w:t>
      </w:r>
    </w:p>
    <w:p w14:paraId="50D5FF1F" w14:textId="77777777" w:rsidR="002F33D0" w:rsidRPr="00545A2C" w:rsidRDefault="002F33D0" w:rsidP="002F33D0">
      <w:pPr>
        <w:spacing w:after="0" w:line="240" w:lineRule="auto"/>
        <w:ind w:firstLine="567"/>
        <w:jc w:val="center"/>
        <w:rPr>
          <w:rFonts w:ascii="Times New Roman" w:hAnsi="Times New Roman" w:cs="Times New Roman"/>
          <w:sz w:val="20"/>
          <w:szCs w:val="28"/>
        </w:rPr>
      </w:pPr>
    </w:p>
    <w:p w14:paraId="72F41098" w14:textId="0CBB4028" w:rsidR="002F33D0" w:rsidRPr="002F33D0" w:rsidRDefault="002F33D0" w:rsidP="00545A2C">
      <w:pPr>
        <w:spacing w:after="0" w:line="240" w:lineRule="auto"/>
        <w:ind w:firstLine="851"/>
        <w:jc w:val="both"/>
        <w:rPr>
          <w:rFonts w:ascii="Times New Roman" w:hAnsi="Times New Roman" w:cs="Times New Roman"/>
          <w:sz w:val="28"/>
          <w:szCs w:val="28"/>
        </w:rPr>
      </w:pPr>
      <w:r w:rsidRPr="002F33D0">
        <w:rPr>
          <w:rFonts w:ascii="Times New Roman" w:hAnsi="Times New Roman" w:cs="Times New Roman"/>
          <w:noProof/>
          <w:sz w:val="28"/>
          <w:szCs w:val="28"/>
          <w:lang w:eastAsia="ru-RU"/>
        </w:rPr>
        <mc:AlternateContent>
          <mc:Choice Requires="wpg">
            <w:drawing>
              <wp:inline distT="0" distB="0" distL="0" distR="0" wp14:anchorId="069905A4" wp14:editId="1AF03381">
                <wp:extent cx="5018405" cy="4385310"/>
                <wp:effectExtent l="0" t="0" r="10795" b="15240"/>
                <wp:docPr id="251" name="Группа 251"/>
                <wp:cNvGraphicFramePr/>
                <a:graphic xmlns:a="http://schemas.openxmlformats.org/drawingml/2006/main">
                  <a:graphicData uri="http://schemas.microsoft.com/office/word/2010/wordprocessingGroup">
                    <wpg:wgp>
                      <wpg:cNvGrpSpPr/>
                      <wpg:grpSpPr>
                        <a:xfrm>
                          <a:off x="0" y="0"/>
                          <a:ext cx="5018405" cy="4385310"/>
                          <a:chOff x="-1354" y="0"/>
                          <a:chExt cx="5019668" cy="4386286"/>
                        </a:xfrm>
                      </wpg:grpSpPr>
                      <wps:wsp>
                        <wps:cNvPr id="252" name="Надпись 252"/>
                        <wps:cNvSpPr txBox="1"/>
                        <wps:spPr>
                          <a:xfrm>
                            <a:off x="0" y="0"/>
                            <a:ext cx="5018314" cy="313267"/>
                          </a:xfrm>
                          <a:prstGeom prst="rect">
                            <a:avLst/>
                          </a:prstGeom>
                          <a:solidFill>
                            <a:schemeClr val="bg1">
                              <a:lumMod val="85000"/>
                            </a:schemeClr>
                          </a:solidFill>
                          <a:ln w="6350">
                            <a:solidFill>
                              <a:prstClr val="black"/>
                            </a:solidFill>
                          </a:ln>
                        </wps:spPr>
                        <wps:txbx>
                          <w:txbxContent>
                            <w:p w14:paraId="4814B4C5" w14:textId="77777777" w:rsidR="001D4931" w:rsidRPr="002F33D0" w:rsidRDefault="001D4931" w:rsidP="007F5E68">
                              <w:pPr>
                                <w:pStyle w:val="a3"/>
                                <w:numPr>
                                  <w:ilvl w:val="0"/>
                                  <w:numId w:val="26"/>
                                </w:numPr>
                                <w:tabs>
                                  <w:tab w:val="left" w:pos="284"/>
                                </w:tabs>
                                <w:spacing w:after="0" w:line="240" w:lineRule="auto"/>
                                <w:ind w:left="0" w:firstLine="0"/>
                                <w:jc w:val="center"/>
                                <w:rPr>
                                  <w:rFonts w:ascii="Times New Roman" w:hAnsi="Times New Roman" w:cs="Times New Roman"/>
                                  <w:sz w:val="24"/>
                                  <w:szCs w:val="24"/>
                                </w:rPr>
                              </w:pPr>
                              <w:r w:rsidRPr="002F33D0">
                                <w:rPr>
                                  <w:rFonts w:ascii="Times New Roman" w:hAnsi="Times New Roman" w:cs="Times New Roman"/>
                                  <w:sz w:val="24"/>
                                  <w:szCs w:val="24"/>
                                </w:rPr>
                                <w:t>ВВОД ИСХОДНЫХ ОЦЕНОК</w:t>
                              </w:r>
                              <w:r w:rsidRPr="002F33D0">
                                <w:rPr>
                                  <w:rFonts w:ascii="Times New Roman" w:hAnsi="Times New Roman" w:cs="Times New Roman"/>
                                  <w:sz w:val="24"/>
                                  <w:szCs w:val="24"/>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Надпись 253"/>
                        <wps:cNvSpPr txBox="1"/>
                        <wps:spPr>
                          <a:xfrm>
                            <a:off x="0" y="804298"/>
                            <a:ext cx="5017770" cy="296417"/>
                          </a:xfrm>
                          <a:prstGeom prst="rect">
                            <a:avLst/>
                          </a:prstGeom>
                          <a:solidFill>
                            <a:schemeClr val="bg1">
                              <a:lumMod val="85000"/>
                            </a:schemeClr>
                          </a:solidFill>
                          <a:ln w="6350">
                            <a:solidFill>
                              <a:prstClr val="black"/>
                            </a:solidFill>
                          </a:ln>
                        </wps:spPr>
                        <wps:txbx>
                          <w:txbxContent>
                            <w:p w14:paraId="5D67C773" w14:textId="77777777" w:rsidR="001D4931" w:rsidRPr="002F33D0" w:rsidRDefault="001D4931" w:rsidP="007F5E68">
                              <w:pPr>
                                <w:pStyle w:val="a3"/>
                                <w:numPr>
                                  <w:ilvl w:val="0"/>
                                  <w:numId w:val="26"/>
                                </w:numPr>
                                <w:tabs>
                                  <w:tab w:val="left" w:pos="284"/>
                                </w:tabs>
                                <w:spacing w:after="0" w:line="240" w:lineRule="auto"/>
                                <w:ind w:left="0" w:firstLine="0"/>
                                <w:jc w:val="center"/>
                                <w:rPr>
                                  <w:rFonts w:ascii="Times New Roman" w:hAnsi="Times New Roman" w:cs="Times New Roman"/>
                                  <w:sz w:val="24"/>
                                  <w:szCs w:val="24"/>
                                </w:rPr>
                              </w:pPr>
                              <w:r w:rsidRPr="002F33D0">
                                <w:rPr>
                                  <w:rFonts w:ascii="Times New Roman" w:hAnsi="Times New Roman" w:cs="Times New Roman"/>
                                  <w:sz w:val="24"/>
                                  <w:szCs w:val="24"/>
                                </w:rPr>
                                <w:t>НОРМАЛИЗАЦИЯ ДАННЫХ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4" name="Надпись 254"/>
                        <wps:cNvSpPr txBox="1"/>
                        <wps:spPr>
                          <a:xfrm>
                            <a:off x="0" y="1760820"/>
                            <a:ext cx="5017770" cy="321310"/>
                          </a:xfrm>
                          <a:prstGeom prst="rect">
                            <a:avLst/>
                          </a:prstGeom>
                          <a:solidFill>
                            <a:schemeClr val="bg1">
                              <a:lumMod val="85000"/>
                            </a:schemeClr>
                          </a:solidFill>
                          <a:ln w="6350">
                            <a:solidFill>
                              <a:prstClr val="black"/>
                            </a:solidFill>
                          </a:ln>
                        </wps:spPr>
                        <wps:txbx>
                          <w:txbxContent>
                            <w:p w14:paraId="715B7778" w14:textId="77777777" w:rsidR="001D4931" w:rsidRPr="002F33D0" w:rsidRDefault="001D4931" w:rsidP="007F5E68">
                              <w:pPr>
                                <w:pStyle w:val="a3"/>
                                <w:numPr>
                                  <w:ilvl w:val="0"/>
                                  <w:numId w:val="26"/>
                                </w:numPr>
                                <w:tabs>
                                  <w:tab w:val="left" w:pos="284"/>
                                </w:tabs>
                                <w:spacing w:after="0" w:line="240" w:lineRule="auto"/>
                                <w:ind w:left="0" w:firstLine="0"/>
                                <w:jc w:val="center"/>
                                <w:rPr>
                                  <w:rFonts w:ascii="Times New Roman" w:hAnsi="Times New Roman" w:cs="Times New Roman"/>
                                  <w:sz w:val="24"/>
                                  <w:szCs w:val="24"/>
                                </w:rPr>
                              </w:pPr>
                              <w:r w:rsidRPr="002F33D0">
                                <w:rPr>
                                  <w:rFonts w:ascii="Times New Roman" w:hAnsi="Times New Roman" w:cs="Times New Roman"/>
                                  <w:sz w:val="24"/>
                                  <w:szCs w:val="24"/>
                                </w:rPr>
                                <w:t>АГРЕГИРОВАНИЕ ОЦЕНОК ПО РЕСУРСНЫМ КОМПОНЕНТАМ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Надпись 255"/>
                        <wps:cNvSpPr txBox="1"/>
                        <wps:spPr>
                          <a:xfrm>
                            <a:off x="0" y="2725714"/>
                            <a:ext cx="5017770" cy="279400"/>
                          </a:xfrm>
                          <a:prstGeom prst="rect">
                            <a:avLst/>
                          </a:prstGeom>
                          <a:solidFill>
                            <a:schemeClr val="bg1">
                              <a:lumMod val="85000"/>
                            </a:schemeClr>
                          </a:solidFill>
                          <a:ln w="6350">
                            <a:solidFill>
                              <a:prstClr val="black"/>
                            </a:solidFill>
                          </a:ln>
                        </wps:spPr>
                        <wps:txbx>
                          <w:txbxContent>
                            <w:p w14:paraId="5D0317A0" w14:textId="77777777" w:rsidR="001D4931" w:rsidRPr="002F33D0" w:rsidRDefault="001D4931" w:rsidP="007F5E68">
                              <w:pPr>
                                <w:pStyle w:val="a3"/>
                                <w:numPr>
                                  <w:ilvl w:val="0"/>
                                  <w:numId w:val="26"/>
                                </w:numPr>
                                <w:tabs>
                                  <w:tab w:val="left" w:pos="284"/>
                                </w:tabs>
                                <w:spacing w:after="0" w:line="240" w:lineRule="auto"/>
                                <w:ind w:left="0" w:firstLine="0"/>
                                <w:jc w:val="center"/>
                                <w:rPr>
                                  <w:rFonts w:ascii="Times New Roman" w:hAnsi="Times New Roman" w:cs="Times New Roman"/>
                                  <w:sz w:val="24"/>
                                  <w:szCs w:val="24"/>
                                </w:rPr>
                              </w:pPr>
                              <w:r w:rsidRPr="002F33D0">
                                <w:rPr>
                                  <w:rFonts w:ascii="Times New Roman" w:hAnsi="Times New Roman" w:cs="Times New Roman"/>
                                  <w:sz w:val="24"/>
                                  <w:szCs w:val="24"/>
                                </w:rPr>
                                <w:t>ПРИМЕНЕНИЕ ЭКОНОМЕТРИЧЕСКИХ ВЕСОВ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Надпись 256"/>
                        <wps:cNvSpPr txBox="1"/>
                        <wps:spPr>
                          <a:xfrm>
                            <a:off x="0" y="321733"/>
                            <a:ext cx="5018314" cy="304800"/>
                          </a:xfrm>
                          <a:prstGeom prst="rect">
                            <a:avLst/>
                          </a:prstGeom>
                          <a:solidFill>
                            <a:schemeClr val="lt1"/>
                          </a:solidFill>
                          <a:ln w="6350">
                            <a:solidFill>
                              <a:prstClr val="black"/>
                            </a:solidFill>
                          </a:ln>
                        </wps:spPr>
                        <wps:txbx>
                          <w:txbxContent>
                            <w:p w14:paraId="5AAE37A8" w14:textId="1E9E7D84" w:rsidR="001D4931" w:rsidRPr="002F33D0" w:rsidRDefault="001D4931" w:rsidP="002F33D0">
                              <w:pPr>
                                <w:pStyle w:val="a3"/>
                                <w:tabs>
                                  <w:tab w:val="left" w:pos="284"/>
                                </w:tabs>
                                <w:spacing w:after="0" w:line="240" w:lineRule="auto"/>
                                <w:ind w:left="0"/>
                                <w:jc w:val="center"/>
                                <w:rPr>
                                  <w:rFonts w:ascii="Times New Roman" w:hAnsi="Times New Roman" w:cs="Times New Roman"/>
                                  <w:sz w:val="24"/>
                                  <w:szCs w:val="24"/>
                                </w:rPr>
                              </w:pPr>
                              <w:r w:rsidRPr="002F33D0">
                                <w:rPr>
                                  <w:rFonts w:ascii="Times New Roman" w:hAnsi="Times New Roman" w:cs="Times New Roman"/>
                                  <w:sz w:val="24"/>
                                  <w:szCs w:val="24"/>
                                </w:rPr>
                                <w:t>(ответы на вопросы матрицы «ресурсы × процессы» по шкал</w:t>
                              </w:r>
                              <w:r>
                                <w:rPr>
                                  <w:rFonts w:ascii="Times New Roman" w:hAnsi="Times New Roman" w:cs="Times New Roman"/>
                                  <w:sz w:val="24"/>
                                  <w:szCs w:val="24"/>
                                </w:rPr>
                                <w:t>е 1</w:t>
                              </w:r>
                              <w:r>
                                <w:rPr>
                                  <w:rFonts w:ascii="Times New Roman" w:hAnsi="Times New Roman" w:cs="Times New Roman"/>
                                  <w:sz w:val="24"/>
                                  <w:szCs w:val="24"/>
                                  <w:lang w:val="kk-KZ"/>
                                </w:rPr>
                                <w:t>-</w:t>
                              </w:r>
                              <w:r w:rsidRPr="002F33D0">
                                <w:rPr>
                                  <w:rFonts w:ascii="Times New Roman" w:hAnsi="Times New Roman" w:cs="Times New Roman"/>
                                  <w:sz w:val="24"/>
                                  <w:szCs w:val="24"/>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Надпись 257"/>
                        <wps:cNvSpPr txBox="1"/>
                        <wps:spPr>
                          <a:xfrm>
                            <a:off x="0" y="1100715"/>
                            <a:ext cx="5017770" cy="465455"/>
                          </a:xfrm>
                          <a:prstGeom prst="rect">
                            <a:avLst/>
                          </a:prstGeom>
                          <a:solidFill>
                            <a:schemeClr val="lt1"/>
                          </a:solidFill>
                          <a:ln w="6350">
                            <a:solidFill>
                              <a:prstClr val="black"/>
                            </a:solidFill>
                          </a:ln>
                        </wps:spPr>
                        <wps:txbx>
                          <w:txbxContent>
                            <w:p w14:paraId="6899FC66" w14:textId="0AF71B36" w:rsidR="001D4931" w:rsidRPr="002F33D0" w:rsidRDefault="001D4931" w:rsidP="002F33D0">
                              <w:pPr>
                                <w:pStyle w:val="a3"/>
                                <w:tabs>
                                  <w:tab w:val="left" w:pos="284"/>
                                </w:tabs>
                                <w:spacing w:after="0" w:line="240" w:lineRule="auto"/>
                                <w:ind w:left="0"/>
                                <w:jc w:val="center"/>
                                <w:rPr>
                                  <w:rFonts w:ascii="Times New Roman" w:hAnsi="Times New Roman" w:cs="Times New Roman"/>
                                  <w:sz w:val="24"/>
                                  <w:szCs w:val="24"/>
                                </w:rPr>
                              </w:pPr>
                              <w:r w:rsidRPr="002F33D0">
                                <w:rPr>
                                  <w:rFonts w:ascii="Times New Roman" w:hAnsi="Times New Roman" w:cs="Times New Roman"/>
                                  <w:sz w:val="24"/>
                                  <w:szCs w:val="24"/>
                                </w:rPr>
                                <w:t>преобразовани</w:t>
                              </w:r>
                              <w:r>
                                <w:rPr>
                                  <w:rFonts w:ascii="Times New Roman" w:hAnsi="Times New Roman" w:cs="Times New Roman"/>
                                  <w:sz w:val="24"/>
                                  <w:szCs w:val="24"/>
                                </w:rPr>
                                <w:t>е оценок в безразмерную шкалу 0</w:t>
                              </w:r>
                              <w:r>
                                <w:rPr>
                                  <w:rFonts w:ascii="Times New Roman" w:hAnsi="Times New Roman" w:cs="Times New Roman"/>
                                  <w:sz w:val="24"/>
                                  <w:szCs w:val="24"/>
                                  <w:lang w:val="kk-KZ"/>
                                </w:rPr>
                                <w:t>-</w:t>
                              </w:r>
                              <w:r w:rsidRPr="002F33D0">
                                <w:rPr>
                                  <w:rFonts w:ascii="Times New Roman" w:hAnsi="Times New Roman" w:cs="Times New Roman"/>
                                  <w:sz w:val="24"/>
                                  <w:szCs w:val="24"/>
                                </w:rPr>
                                <w:t>1 для обеспечения сопоставимости показателей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Надпись 258"/>
                        <wps:cNvSpPr txBox="1"/>
                        <wps:spPr>
                          <a:xfrm>
                            <a:off x="0" y="2082130"/>
                            <a:ext cx="5017770" cy="465784"/>
                          </a:xfrm>
                          <a:prstGeom prst="rect">
                            <a:avLst/>
                          </a:prstGeom>
                          <a:solidFill>
                            <a:schemeClr val="lt1"/>
                          </a:solidFill>
                          <a:ln w="6350">
                            <a:solidFill>
                              <a:prstClr val="black"/>
                            </a:solidFill>
                          </a:ln>
                        </wps:spPr>
                        <wps:txbx>
                          <w:txbxContent>
                            <w:p w14:paraId="7674C31F" w14:textId="77777777" w:rsidR="001D4931" w:rsidRPr="002F33D0" w:rsidRDefault="001D4931" w:rsidP="002F33D0">
                              <w:pPr>
                                <w:tabs>
                                  <w:tab w:val="left" w:pos="284"/>
                                </w:tabs>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расчёт обобщённых значений по каждому ресурсному блоку с учётом трёх процессных функций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Надпись 259"/>
                        <wps:cNvSpPr txBox="1"/>
                        <wps:spPr>
                          <a:xfrm>
                            <a:off x="-544" y="3005114"/>
                            <a:ext cx="5018314" cy="440267"/>
                          </a:xfrm>
                          <a:prstGeom prst="rect">
                            <a:avLst/>
                          </a:prstGeom>
                          <a:solidFill>
                            <a:schemeClr val="lt1"/>
                          </a:solidFill>
                          <a:ln w="6350">
                            <a:solidFill>
                              <a:prstClr val="black"/>
                            </a:solidFill>
                          </a:ln>
                        </wps:spPr>
                        <wps:txbx>
                          <w:txbxContent>
                            <w:p w14:paraId="786E75F1" w14:textId="77777777" w:rsidR="001D4931" w:rsidRPr="002F33D0" w:rsidRDefault="001D4931" w:rsidP="002F33D0">
                              <w:pPr>
                                <w:pStyle w:val="a3"/>
                                <w:tabs>
                                  <w:tab w:val="left" w:pos="284"/>
                                </w:tabs>
                                <w:spacing w:after="0" w:line="240" w:lineRule="auto"/>
                                <w:ind w:left="0"/>
                                <w:jc w:val="center"/>
                                <w:rPr>
                                  <w:rFonts w:ascii="Times New Roman" w:eastAsiaTheme="minorEastAsia" w:hAnsi="Times New Roman" w:cs="Times New Roman"/>
                                  <w:sz w:val="24"/>
                                  <w:szCs w:val="24"/>
                                </w:rPr>
                              </w:pPr>
                              <w:r w:rsidRPr="002F33D0">
                                <w:rPr>
                                  <w:rFonts w:ascii="Times New Roman" w:eastAsiaTheme="minorEastAsia" w:hAnsi="Times New Roman" w:cs="Times New Roman"/>
                                  <w:sz w:val="24"/>
                                  <w:szCs w:val="24"/>
                                </w:rPr>
                                <w:t>умножение агрегированных оценок на β-коэффициенты, полученные по результатам SEM и регрессионного анализа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Надпись 260"/>
                        <wps:cNvSpPr txBox="1"/>
                        <wps:spPr>
                          <a:xfrm>
                            <a:off x="-544" y="3631462"/>
                            <a:ext cx="5017770" cy="279400"/>
                          </a:xfrm>
                          <a:prstGeom prst="rect">
                            <a:avLst/>
                          </a:prstGeom>
                          <a:solidFill>
                            <a:schemeClr val="bg1">
                              <a:lumMod val="85000"/>
                            </a:schemeClr>
                          </a:solidFill>
                          <a:ln w="6350">
                            <a:solidFill>
                              <a:prstClr val="black"/>
                            </a:solidFill>
                          </a:ln>
                        </wps:spPr>
                        <wps:txbx>
                          <w:txbxContent>
                            <w:p w14:paraId="40AF9E27" w14:textId="77777777" w:rsidR="001D4931" w:rsidRPr="002F33D0" w:rsidRDefault="001D4931" w:rsidP="007F5E68">
                              <w:pPr>
                                <w:pStyle w:val="a3"/>
                                <w:numPr>
                                  <w:ilvl w:val="0"/>
                                  <w:numId w:val="26"/>
                                </w:numPr>
                                <w:tabs>
                                  <w:tab w:val="left" w:pos="284"/>
                                </w:tabs>
                                <w:spacing w:after="0" w:line="240" w:lineRule="auto"/>
                                <w:ind w:left="0" w:firstLine="0"/>
                                <w:jc w:val="center"/>
                                <w:rPr>
                                  <w:rFonts w:ascii="Times New Roman" w:hAnsi="Times New Roman" w:cs="Times New Roman"/>
                                  <w:sz w:val="24"/>
                                  <w:szCs w:val="24"/>
                                </w:rPr>
                              </w:pPr>
                              <w:r w:rsidRPr="002F33D0">
                                <w:rPr>
                                  <w:rFonts w:ascii="Times New Roman" w:hAnsi="Times New Roman" w:cs="Times New Roman"/>
                                  <w:sz w:val="24"/>
                                  <w:szCs w:val="24"/>
                                </w:rPr>
                                <w:t>РАСЧЁТ ИНТЕГРАЛЬНОГО ИНДЕКСА И ЕГО ИНТЕРПРЕТАЦИЯ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Надпись 261"/>
                        <wps:cNvSpPr txBox="1"/>
                        <wps:spPr>
                          <a:xfrm>
                            <a:off x="-1354" y="3910861"/>
                            <a:ext cx="5018314" cy="475425"/>
                          </a:xfrm>
                          <a:prstGeom prst="rect">
                            <a:avLst/>
                          </a:prstGeom>
                          <a:solidFill>
                            <a:schemeClr val="lt1"/>
                          </a:solidFill>
                          <a:ln w="6350">
                            <a:solidFill>
                              <a:prstClr val="black"/>
                            </a:solidFill>
                          </a:ln>
                        </wps:spPr>
                        <wps:txbx>
                          <w:txbxContent>
                            <w:p w14:paraId="2C5324E5" w14:textId="77777777" w:rsidR="001D4931" w:rsidRPr="002F33D0" w:rsidRDefault="001D4931" w:rsidP="002F33D0">
                              <w:pPr>
                                <w:pStyle w:val="a3"/>
                                <w:tabs>
                                  <w:tab w:val="left" w:pos="284"/>
                                </w:tabs>
                                <w:spacing w:after="0" w:line="240" w:lineRule="auto"/>
                                <w:ind w:left="0"/>
                                <w:jc w:val="center"/>
                                <w:rPr>
                                  <w:rFonts w:ascii="Times New Roman" w:hAnsi="Times New Roman" w:cs="Times New Roman"/>
                                  <w:sz w:val="24"/>
                                  <w:szCs w:val="24"/>
                                </w:rPr>
                              </w:pPr>
                              <w:r w:rsidRPr="002F33D0">
                                <w:rPr>
                                  <w:rFonts w:ascii="Times New Roman" w:hAnsi="Times New Roman" w:cs="Times New Roman"/>
                                  <w:sz w:val="24"/>
                                  <w:szCs w:val="24"/>
                                </w:rPr>
                                <w:t>получение IP-Index и соотнесение его значения с уровнем инновационного потенциала по классификационной шкале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Прямая со стрелкой 262"/>
                        <wps:cNvCnPr/>
                        <wps:spPr>
                          <a:xfrm>
                            <a:off x="2531533" y="626533"/>
                            <a:ext cx="0" cy="1778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263" name="Прямая со стрелкой 263"/>
                        <wps:cNvCnPr/>
                        <wps:spPr>
                          <a:xfrm>
                            <a:off x="2497398" y="1566170"/>
                            <a:ext cx="0" cy="1778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264" name="Прямая со стрелкой 264"/>
                        <wps:cNvCnPr/>
                        <wps:spPr>
                          <a:xfrm>
                            <a:off x="2488930" y="2547915"/>
                            <a:ext cx="0" cy="1778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265" name="Прямая со стрелкой 265"/>
                        <wps:cNvCnPr/>
                        <wps:spPr>
                          <a:xfrm>
                            <a:off x="2472266" y="3445382"/>
                            <a:ext cx="0" cy="1778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wgp>
                  </a:graphicData>
                </a:graphic>
              </wp:inline>
            </w:drawing>
          </mc:Choice>
          <mc:Fallback>
            <w:pict>
              <v:group w14:anchorId="069905A4" id="Группа 251" o:spid="_x0000_s1161" style="width:395.15pt;height:345.3pt;mso-position-horizontal-relative:char;mso-position-vertical-relative:line" coordorigin="-13" coordsize="50196,43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FqnvAUAACYtAAAOAAAAZHJzL2Uyb0RvYy54bWzsWstu20YU3RfoPxDc2yKHTwmWA9eJjQJu&#10;YtQpsh5TpESEnGGHI0vOKmm3BbLouugveNECfSH9BeqPemdIDiXVSmUFTgqaMCCTnPeZe+Y+5h48&#10;mqeJdhWyPKZkqJv7hq6FJKCjmIyH+jfPT/Z8Xcs5JiOcUBIO9esw1x8dfv7ZwSwbhIhOaDIKmQad&#10;kHwwy4b6hPNs0OvlwSRMcb5Ps5BAYURZijm8snFvxPAMek+THjIMtzejbJQxGoR5Dl8fl4X6oew/&#10;isKAP4uiPORaMtRhblz+Mvl7KX57hwd4MGY4m8RBNQ28wyxSHBMYVHX1GHOsTVn8r67SOGA0pxHf&#10;D2jao1EUB6FcA6zGNNZWc8roNJNrGQ9m40zBBNCu4bRzt8HTq3OmxaOhjhxT1whOYZOKHxevF98X&#10;f8PfjSa+A0qzbDyAyqcsu8jOWfVhXL6Jhc8jlor/sCRtLvG9VviGc64F8NExTN82HF0LoMy2fMcy&#10;qx0IJrBNot2eaTm2rjVtg8mTpnXfdUGeqtYu8l0xs149eE/MUU1ploFE5Q1o+YeBdjHBWSj3Ihc4&#10;KNCQAu2n4qb4BSD7bfFm8QPAhkrYZHWBmcbnX1BYYgVnPsjh412gs0xARizeMi3keitrx4OM5fw0&#10;pKkmHoY6A9GXEomvznJewlRXEYPmNIlHJ3GSyBdBt/A4YdoVBqJcjk3ZNJmmX9FR+c13DENuFsAt&#10;2SmqS/BXekqINhvqruUYsoeVMjF8M0aCg5fVEpZqQe8JgW7F7pX4iCc+v5xLIXWdGtRLOroGTBkt&#10;KZ1nwUkM/Z/hnJ9jBhwGtsO5xJ/BT5RQmBStnnRtQtmr276L+iAlUKprMzgThnr+7RSzUNeSLwnI&#10;T9+0bXGIyBfb8RC8sOWSy+USMk2PKaAJtILZyUdRnyf1Y8Ro+gKOryMxKhRhEsDYQz3grH455uVZ&#10;BQdgEB4dyWpwcGSYn5GLLBCdi/0TyD6fv8Asq3afA+We0lpm8WBNCMq6oiWhR1NOo1hKiIC6xLXa&#10;AeCPYP5HIZK1kUhWvefAu7sTyTds1PdFF3iwdBB5ngeQCzahvmubD5NN8vxsdr1jU2vYBJqi0uXr&#10;asn+IDaZnmv4cO5tppOFzEqtK8X8UJSTPEQ6OrVQOYHNuoFOyiDZSTkhDzkemHWb6YS8vq0Mr9rI&#10;rg25dtt6Uml3dGohndyNdFIWyU50At3jWdJcXLH1/MZzMmz/PtmUcOndCR9p2b+6b6+oX+v0zitq&#10;mVfkbWSKMjZ2YoppGoZnSuW1QpXGLbJdx3Zkhfux4z4NVcDpA13bKZUWKhWIDG6w0ZQhsRNVEDg8&#10;pvU+lweo4vnSiGsVVVSgstMqLdMq/Y1UUZbEHamy59hl2N4yDMe8xaNpbDCIod5r9PoTKRYV7u/Y&#10;0i62uBAnvl2xQEllTOzMFhdcE1eKzgYz7OH6/56K+3eMahmjmpvmtei0q2yOuzJK3RtbfdPwy35W&#10;KLWkgDzHRu3zbFRgv6NLy+jS5Bj8DIkZb4u/ipvFW23xpngHP4vvFq+LX4s/iz+Kd8XvGiq1ifBw&#10;gULHpMrVqG/T61wJlaiBIAnDgZiZSLlwkSseV4LR1SWp6Xn/GTjLOcPxeMKPKSGQfUBZeTm9dvcs&#10;chTEXay45scDjuPkCRlp/DqDxBPOYkzGSSimAK7ULZkAOb9OwrL512EEOQGQUGGVqQarOQyjl3Uk&#10;LiFQUzSJINtBNaryEzY1quqKZqFMI1IN0ftHU7XliJRw1TCNCWW3NebzeqpRWb/OfyjX2gQrBCri&#10;7SNey7vNtfw2sqdU9nayZ/c9C+7mheyZjuuaZXSmObY74VPiVIr6AxO+5hZ7G+FTCnBL4fP9PoR1&#10;hPAhx/b669HQTvgetvA1d77bCJ+0J7fXuraHkAvXYCB8lm07lr/mA3bC9z8VPplkCsm40kCpEodF&#10;tu/yu1TTTXrz4T8AAAD//wMAUEsDBBQABgAIAAAAIQCqmWFO3QAAAAUBAAAPAAAAZHJzL2Rvd25y&#10;ZXYueG1sTI9BS8NAEIXvgv9hGcGb3Y3FaGM2pRT1VIS2gnibZqdJaHY2ZLdJ+u9dvehl4PEe732T&#10;LyfbioF63zjWkMwUCOLSmYYrDR/717snED4gG2wdk4YLeVgW11c5ZsaNvKVhFyoRS9hnqKEOocuk&#10;9GVNFv3MdcTRO7reYoiyr6TpcYzltpX3SqXSYsNxocaO1jWVp93ZangbcVzNk5dhczquL1/7h/fP&#10;TUJa395Mq2cQgabwF4Yf/IgORWQ6uDMbL1oN8ZHwe6P3uFBzEAcN6UKlIItc/qcvvgEAAP//AwBQ&#10;SwECLQAUAAYACAAAACEAtoM4kv4AAADhAQAAEwAAAAAAAAAAAAAAAAAAAAAAW0NvbnRlbnRfVHlw&#10;ZXNdLnhtbFBLAQItABQABgAIAAAAIQA4/SH/1gAAAJQBAAALAAAAAAAAAAAAAAAAAC8BAABfcmVs&#10;cy8ucmVsc1BLAQItABQABgAIAAAAIQCtYFqnvAUAACYtAAAOAAAAAAAAAAAAAAAAAC4CAABkcnMv&#10;ZTJvRG9jLnhtbFBLAQItABQABgAIAAAAIQCqmWFO3QAAAAUBAAAPAAAAAAAAAAAAAAAAABYIAABk&#10;cnMvZG93bnJldi54bWxQSwUGAAAAAAQABADzAAAAIAkAAAAA&#10;">
                <v:shape id="Надпись 252" o:spid="_x0000_s1162" type="#_x0000_t202" style="position:absolute;width:50183;height:3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JJZwwAAANwAAAAPAAAAZHJzL2Rvd25yZXYueG1sRI9fa8JA&#10;EMTfhX6HYwt900sjiqSeIqJgX8Q/9X3JbZNgbi/mVpN++55Q6OMwM79h5sve1epBbag8G3gfJaCI&#10;c28rLgx8nbfDGaggyBZrz2TghwIsFy+DOWbWd3ykx0kKFSEcMjRQijSZ1iEvyWEY+YY4et++dShR&#10;toW2LXYR7mqdJslUO6w4LpTY0Lqk/Hq6OwOHGd8uMlntD5sxWTnn18tntzHm7bVffYAS6uU//Nfe&#10;WQPpJIXnmXgE9OIXAAD//wMAUEsBAi0AFAAGAAgAAAAhANvh9svuAAAAhQEAABMAAAAAAAAAAAAA&#10;AAAAAAAAAFtDb250ZW50X1R5cGVzXS54bWxQSwECLQAUAAYACAAAACEAWvQsW78AAAAVAQAACwAA&#10;AAAAAAAAAAAAAAAfAQAAX3JlbHMvLnJlbHNQSwECLQAUAAYACAAAACEA0dSSWcMAAADcAAAADwAA&#10;AAAAAAAAAAAAAAAHAgAAZHJzL2Rvd25yZXYueG1sUEsFBgAAAAADAAMAtwAAAPcCAAAAAA==&#10;" fillcolor="#d8d8d8 [2732]" strokeweight=".5pt">
                  <v:textbox>
                    <w:txbxContent>
                      <w:p w14:paraId="4814B4C5" w14:textId="77777777" w:rsidR="001D4931" w:rsidRPr="002F33D0" w:rsidRDefault="001D4931" w:rsidP="007F5E68">
                        <w:pPr>
                          <w:pStyle w:val="a3"/>
                          <w:numPr>
                            <w:ilvl w:val="0"/>
                            <w:numId w:val="26"/>
                          </w:numPr>
                          <w:tabs>
                            <w:tab w:val="left" w:pos="284"/>
                          </w:tabs>
                          <w:spacing w:after="0" w:line="240" w:lineRule="auto"/>
                          <w:ind w:left="0" w:firstLine="0"/>
                          <w:jc w:val="center"/>
                          <w:rPr>
                            <w:rFonts w:ascii="Times New Roman" w:hAnsi="Times New Roman" w:cs="Times New Roman"/>
                            <w:sz w:val="24"/>
                            <w:szCs w:val="24"/>
                          </w:rPr>
                        </w:pPr>
                        <w:r w:rsidRPr="002F33D0">
                          <w:rPr>
                            <w:rFonts w:ascii="Times New Roman" w:hAnsi="Times New Roman" w:cs="Times New Roman"/>
                            <w:sz w:val="24"/>
                            <w:szCs w:val="24"/>
                          </w:rPr>
                          <w:t>ВВОД ИСХОДНЫХ ОЦЕНОК</w:t>
                        </w:r>
                        <w:r w:rsidRPr="002F33D0">
                          <w:rPr>
                            <w:rFonts w:ascii="Times New Roman" w:hAnsi="Times New Roman" w:cs="Times New Roman"/>
                            <w:sz w:val="24"/>
                            <w:szCs w:val="24"/>
                            <w:lang w:val="kk-KZ"/>
                          </w:rPr>
                          <w:t xml:space="preserve"> </w:t>
                        </w:r>
                      </w:p>
                    </w:txbxContent>
                  </v:textbox>
                </v:shape>
                <v:shape id="Надпись 253" o:spid="_x0000_s1163" type="#_x0000_t202" style="position:absolute;top:8042;width:50177;height:2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fCwwAAANwAAAAPAAAAZHJzL2Rvd25yZXYueG1sRI9fa8JA&#10;EMTfC/0OxxZ8q5cqFomeIkVBX8T6533JrUkwtxdzq4nf3hMKfRxm5jfMdN65St2pCaVnA1/9BBRx&#10;5m3JuYHjYfU5BhUE2WLlmQw8KMB89v42xdT6ln/pvpdcRQiHFA0UInWqdcgKchj6viaO3tk3DiXK&#10;Jte2wTbCXaUHSfKtHZYcFwqs6aeg7LK/OQO7MV9PMlpsd8shWTlkl9OmXRrT++gWE1BCnfyH/9pr&#10;a2AwGsLrTDwCevYEAAD//wMAUEsBAi0AFAAGAAgAAAAhANvh9svuAAAAhQEAABMAAAAAAAAAAAAA&#10;AAAAAAAAAFtDb250ZW50X1R5cGVzXS54bWxQSwECLQAUAAYACAAAACEAWvQsW78AAAAVAQAACwAA&#10;AAAAAAAAAAAAAAAfAQAAX3JlbHMvLnJlbHNQSwECLQAUAAYACAAAACEAvpg3wsMAAADcAAAADwAA&#10;AAAAAAAAAAAAAAAHAgAAZHJzL2Rvd25yZXYueG1sUEsFBgAAAAADAAMAtwAAAPcCAAAAAA==&#10;" fillcolor="#d8d8d8 [2732]" strokeweight=".5pt">
                  <v:textbox>
                    <w:txbxContent>
                      <w:p w14:paraId="5D67C773" w14:textId="77777777" w:rsidR="001D4931" w:rsidRPr="002F33D0" w:rsidRDefault="001D4931" w:rsidP="007F5E68">
                        <w:pPr>
                          <w:pStyle w:val="a3"/>
                          <w:numPr>
                            <w:ilvl w:val="0"/>
                            <w:numId w:val="26"/>
                          </w:numPr>
                          <w:tabs>
                            <w:tab w:val="left" w:pos="284"/>
                          </w:tabs>
                          <w:spacing w:after="0" w:line="240" w:lineRule="auto"/>
                          <w:ind w:left="0" w:firstLine="0"/>
                          <w:jc w:val="center"/>
                          <w:rPr>
                            <w:rFonts w:ascii="Times New Roman" w:hAnsi="Times New Roman" w:cs="Times New Roman"/>
                            <w:sz w:val="24"/>
                            <w:szCs w:val="24"/>
                          </w:rPr>
                        </w:pPr>
                        <w:r w:rsidRPr="002F33D0">
                          <w:rPr>
                            <w:rFonts w:ascii="Times New Roman" w:hAnsi="Times New Roman" w:cs="Times New Roman"/>
                            <w:sz w:val="24"/>
                            <w:szCs w:val="24"/>
                          </w:rPr>
                          <w:t>НОРМАЛИЗАЦИЯ ДАННЫХ</w:t>
                        </w:r>
                      </w:p>
                    </w:txbxContent>
                  </v:textbox>
                </v:shape>
                <v:shape id="Надпись 254" o:spid="_x0000_s1164" type="#_x0000_t202" style="position:absolute;top:17608;width:50177;height:3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a+2wwAAANwAAAAPAAAAZHJzL2Rvd25yZXYueG1sRI9fa8JA&#10;EMTfC36HYwu+6aVaRVJPkaKgL8W/70tumwRzezG3NfHb9wpCH4eZ+Q0zX3auUndqQunZwNswAUWc&#10;eVtybuB82gxmoIIgW6w8k4EHBVguei9zTK1v+UD3o+QqQjikaKAQqVOtQ1aQwzD0NXH0vn3jUKJs&#10;cm0bbCPcVXqUJFPtsOS4UGBNnwVl1+OPM7Cf8e0ik9XXfj0mK6fsetm1a2P6r93qA5RQJ//hZ3tr&#10;DYwm7/B3Jh4BvfgFAAD//wMAUEsBAi0AFAAGAAgAAAAhANvh9svuAAAAhQEAABMAAAAAAAAAAAAA&#10;AAAAAAAAAFtDb250ZW50X1R5cGVzXS54bWxQSwECLQAUAAYACAAAACEAWvQsW78AAAAVAQAACwAA&#10;AAAAAAAAAAAAAAAfAQAAX3JlbHMvLnJlbHNQSwECLQAUAAYACAAAACEAMXGvtsMAAADcAAAADwAA&#10;AAAAAAAAAAAAAAAHAgAAZHJzL2Rvd25yZXYueG1sUEsFBgAAAAADAAMAtwAAAPcCAAAAAA==&#10;" fillcolor="#d8d8d8 [2732]" strokeweight=".5pt">
                  <v:textbox>
                    <w:txbxContent>
                      <w:p w14:paraId="715B7778" w14:textId="77777777" w:rsidR="001D4931" w:rsidRPr="002F33D0" w:rsidRDefault="001D4931" w:rsidP="007F5E68">
                        <w:pPr>
                          <w:pStyle w:val="a3"/>
                          <w:numPr>
                            <w:ilvl w:val="0"/>
                            <w:numId w:val="26"/>
                          </w:numPr>
                          <w:tabs>
                            <w:tab w:val="left" w:pos="284"/>
                          </w:tabs>
                          <w:spacing w:after="0" w:line="240" w:lineRule="auto"/>
                          <w:ind w:left="0" w:firstLine="0"/>
                          <w:jc w:val="center"/>
                          <w:rPr>
                            <w:rFonts w:ascii="Times New Roman" w:hAnsi="Times New Roman" w:cs="Times New Roman"/>
                            <w:sz w:val="24"/>
                            <w:szCs w:val="24"/>
                          </w:rPr>
                        </w:pPr>
                        <w:r w:rsidRPr="002F33D0">
                          <w:rPr>
                            <w:rFonts w:ascii="Times New Roman" w:hAnsi="Times New Roman" w:cs="Times New Roman"/>
                            <w:sz w:val="24"/>
                            <w:szCs w:val="24"/>
                          </w:rPr>
                          <w:t>АГРЕГИРОВАНИЕ ОЦЕНОК ПО РЕСУРСНЫМ КОМПОНЕНТАМ</w:t>
                        </w:r>
                      </w:p>
                    </w:txbxContent>
                  </v:textbox>
                </v:shape>
                <v:shape id="Надпись 255" o:spid="_x0000_s1165" type="#_x0000_t202" style="position:absolute;top:27257;width:50177;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QotwwAAANwAAAAPAAAAZHJzL2Rvd25yZXYueG1sRI9Ba8JA&#10;FITvhf6H5RV6q5sqKZK6ioiCvYjVen9kX5Ng9m3MPk38964geBxm5htmMutdrS7Uhsqzgc9BAoo4&#10;97biwsDffvUxBhUE2WLtmQxcKcBs+voywcz6jn/pspNCRQiHDA2UIk2mdchLchgGviGO3r9vHUqU&#10;baFti12Eu1oPk+RLO6w4LpTY0KKk/Lg7OwPbMZ8Oks432+WIrOzz4+GnWxrz/tbPv0EJ9fIMP9pr&#10;a2CYpnA/E4+Ant4AAAD//wMAUEsBAi0AFAAGAAgAAAAhANvh9svuAAAAhQEAABMAAAAAAAAAAAAA&#10;AAAAAAAAAFtDb250ZW50X1R5cGVzXS54bWxQSwECLQAUAAYACAAAACEAWvQsW78AAAAVAQAACwAA&#10;AAAAAAAAAAAAAAAfAQAAX3JlbHMvLnJlbHNQSwECLQAUAAYACAAAACEAXj0KLcMAAADcAAAADwAA&#10;AAAAAAAAAAAAAAAHAgAAZHJzL2Rvd25yZXYueG1sUEsFBgAAAAADAAMAtwAAAPcCAAAAAA==&#10;" fillcolor="#d8d8d8 [2732]" strokeweight=".5pt">
                  <v:textbox>
                    <w:txbxContent>
                      <w:p w14:paraId="5D0317A0" w14:textId="77777777" w:rsidR="001D4931" w:rsidRPr="002F33D0" w:rsidRDefault="001D4931" w:rsidP="007F5E68">
                        <w:pPr>
                          <w:pStyle w:val="a3"/>
                          <w:numPr>
                            <w:ilvl w:val="0"/>
                            <w:numId w:val="26"/>
                          </w:numPr>
                          <w:tabs>
                            <w:tab w:val="left" w:pos="284"/>
                          </w:tabs>
                          <w:spacing w:after="0" w:line="240" w:lineRule="auto"/>
                          <w:ind w:left="0" w:firstLine="0"/>
                          <w:jc w:val="center"/>
                          <w:rPr>
                            <w:rFonts w:ascii="Times New Roman" w:hAnsi="Times New Roman" w:cs="Times New Roman"/>
                            <w:sz w:val="24"/>
                            <w:szCs w:val="24"/>
                          </w:rPr>
                        </w:pPr>
                        <w:r w:rsidRPr="002F33D0">
                          <w:rPr>
                            <w:rFonts w:ascii="Times New Roman" w:hAnsi="Times New Roman" w:cs="Times New Roman"/>
                            <w:sz w:val="24"/>
                            <w:szCs w:val="24"/>
                          </w:rPr>
                          <w:t>ПРИМЕНЕНИЕ ЭКОНОМЕТРИЧЕСКИХ ВЕСОВ</w:t>
                        </w:r>
                      </w:p>
                    </w:txbxContent>
                  </v:textbox>
                </v:shape>
                <v:shape id="Надпись 256" o:spid="_x0000_s1166" type="#_x0000_t202" style="position:absolute;top:3217;width:50183;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OtyxQAAANwAAAAPAAAAZHJzL2Rvd25yZXYueG1sRI9PawIx&#10;FMTvBb9DeIXealapWlaj2FLR0lPXP+fH5nU3uHlZk1TXb2+EQo/DzPyGmS0624gz+WAcKxj0MxDE&#10;pdOGKwW77er5FUSIyBobx6TgSgEW897DDHPtLvxN5yJWIkE45KigjrHNpQxlTRZD37XEyftx3mJM&#10;0ldSe7wkuG3kMMvG0qLhtFBjS+81lcfi1yo47f32ZWA+DqvmszCnyfHrbY0TpZ4eu+UURKQu/of/&#10;2hutYDgaw/1MOgJyfgMAAP//AwBQSwECLQAUAAYACAAAACEA2+H2y+4AAACFAQAAEwAAAAAAAAAA&#10;AAAAAAAAAAAAW0NvbnRlbnRfVHlwZXNdLnhtbFBLAQItABQABgAIAAAAIQBa9CxbvwAAABUBAAAL&#10;AAAAAAAAAAAAAAAAAB8BAABfcmVscy8ucmVsc1BLAQItABQABgAIAAAAIQAanOtyxQAAANwAAAAP&#10;AAAAAAAAAAAAAAAAAAcCAABkcnMvZG93bnJldi54bWxQSwUGAAAAAAMAAwC3AAAA+QIAAAAA&#10;" fillcolor="white [3201]" strokeweight=".5pt">
                  <v:textbox>
                    <w:txbxContent>
                      <w:p w14:paraId="5AAE37A8" w14:textId="1E9E7D84" w:rsidR="001D4931" w:rsidRPr="002F33D0" w:rsidRDefault="001D4931" w:rsidP="002F33D0">
                        <w:pPr>
                          <w:pStyle w:val="a3"/>
                          <w:tabs>
                            <w:tab w:val="left" w:pos="284"/>
                          </w:tabs>
                          <w:spacing w:after="0" w:line="240" w:lineRule="auto"/>
                          <w:ind w:left="0"/>
                          <w:jc w:val="center"/>
                          <w:rPr>
                            <w:rFonts w:ascii="Times New Roman" w:hAnsi="Times New Roman" w:cs="Times New Roman"/>
                            <w:sz w:val="24"/>
                            <w:szCs w:val="24"/>
                          </w:rPr>
                        </w:pPr>
                        <w:r w:rsidRPr="002F33D0">
                          <w:rPr>
                            <w:rFonts w:ascii="Times New Roman" w:hAnsi="Times New Roman" w:cs="Times New Roman"/>
                            <w:sz w:val="24"/>
                            <w:szCs w:val="24"/>
                          </w:rPr>
                          <w:t>(ответы на вопросы матрицы «ресурсы × процессы» по шкал</w:t>
                        </w:r>
                        <w:r>
                          <w:rPr>
                            <w:rFonts w:ascii="Times New Roman" w:hAnsi="Times New Roman" w:cs="Times New Roman"/>
                            <w:sz w:val="24"/>
                            <w:szCs w:val="24"/>
                          </w:rPr>
                          <w:t>е 1</w:t>
                        </w:r>
                        <w:r>
                          <w:rPr>
                            <w:rFonts w:ascii="Times New Roman" w:hAnsi="Times New Roman" w:cs="Times New Roman"/>
                            <w:sz w:val="24"/>
                            <w:szCs w:val="24"/>
                            <w:lang w:val="kk-KZ"/>
                          </w:rPr>
                          <w:t>-</w:t>
                        </w:r>
                        <w:r w:rsidRPr="002F33D0">
                          <w:rPr>
                            <w:rFonts w:ascii="Times New Roman" w:hAnsi="Times New Roman" w:cs="Times New Roman"/>
                            <w:sz w:val="24"/>
                            <w:szCs w:val="24"/>
                          </w:rPr>
                          <w:t>5</w:t>
                        </w:r>
                      </w:p>
                    </w:txbxContent>
                  </v:textbox>
                </v:shape>
                <v:shape id="Надпись 257" o:spid="_x0000_s1167" type="#_x0000_t202" style="position:absolute;top:11007;width:50177;height:4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E7pxgAAANwAAAAPAAAAZHJzL2Rvd25yZXYueG1sRI9PawIx&#10;FMTvBb9DeEJvNau0XdkapRWlFk9d/5wfm9fd4OZlTVLdfntTKPQ4zMxvmNmit624kA/GsYLxKANB&#10;XDltuFaw360fpiBCRNbYOiYFPxRgMR/czbDQ7sqfdCljLRKEQ4EKmhi7QspQNWQxjFxHnLwv5y3G&#10;JH0ttcdrgttWTrLsWVo0nBYa7GjZUHUqv62C88HvHsdmdVy3H6U556ft2zvmSt0P+9cXEJH6+B/+&#10;a2+0gslTDr9n0hGQ8xsAAAD//wMAUEsBAi0AFAAGAAgAAAAhANvh9svuAAAAhQEAABMAAAAAAAAA&#10;AAAAAAAAAAAAAFtDb250ZW50X1R5cGVzXS54bWxQSwECLQAUAAYACAAAACEAWvQsW78AAAAVAQAA&#10;CwAAAAAAAAAAAAAAAAAfAQAAX3JlbHMvLnJlbHNQSwECLQAUAAYACAAAACEAddBO6cYAAADcAAAA&#10;DwAAAAAAAAAAAAAAAAAHAgAAZHJzL2Rvd25yZXYueG1sUEsFBgAAAAADAAMAtwAAAPoCAAAAAA==&#10;" fillcolor="white [3201]" strokeweight=".5pt">
                  <v:textbox>
                    <w:txbxContent>
                      <w:p w14:paraId="6899FC66" w14:textId="0AF71B36" w:rsidR="001D4931" w:rsidRPr="002F33D0" w:rsidRDefault="001D4931" w:rsidP="002F33D0">
                        <w:pPr>
                          <w:pStyle w:val="a3"/>
                          <w:tabs>
                            <w:tab w:val="left" w:pos="284"/>
                          </w:tabs>
                          <w:spacing w:after="0" w:line="240" w:lineRule="auto"/>
                          <w:ind w:left="0"/>
                          <w:jc w:val="center"/>
                          <w:rPr>
                            <w:rFonts w:ascii="Times New Roman" w:hAnsi="Times New Roman" w:cs="Times New Roman"/>
                            <w:sz w:val="24"/>
                            <w:szCs w:val="24"/>
                          </w:rPr>
                        </w:pPr>
                        <w:r w:rsidRPr="002F33D0">
                          <w:rPr>
                            <w:rFonts w:ascii="Times New Roman" w:hAnsi="Times New Roman" w:cs="Times New Roman"/>
                            <w:sz w:val="24"/>
                            <w:szCs w:val="24"/>
                          </w:rPr>
                          <w:t>преобразовани</w:t>
                        </w:r>
                        <w:r>
                          <w:rPr>
                            <w:rFonts w:ascii="Times New Roman" w:hAnsi="Times New Roman" w:cs="Times New Roman"/>
                            <w:sz w:val="24"/>
                            <w:szCs w:val="24"/>
                          </w:rPr>
                          <w:t>е оценок в безразмерную шкалу 0</w:t>
                        </w:r>
                        <w:r>
                          <w:rPr>
                            <w:rFonts w:ascii="Times New Roman" w:hAnsi="Times New Roman" w:cs="Times New Roman"/>
                            <w:sz w:val="24"/>
                            <w:szCs w:val="24"/>
                            <w:lang w:val="kk-KZ"/>
                          </w:rPr>
                          <w:t>-</w:t>
                        </w:r>
                        <w:r w:rsidRPr="002F33D0">
                          <w:rPr>
                            <w:rFonts w:ascii="Times New Roman" w:hAnsi="Times New Roman" w:cs="Times New Roman"/>
                            <w:sz w:val="24"/>
                            <w:szCs w:val="24"/>
                          </w:rPr>
                          <w:t>1 для обеспечения сопоставимости показателей</w:t>
                        </w:r>
                      </w:p>
                    </w:txbxContent>
                  </v:textbox>
                </v:shape>
                <v:shape id="Надпись 258" o:spid="_x0000_s1168" type="#_x0000_t202" style="position:absolute;top:20821;width:50177;height:4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9qbwgAAANwAAAAPAAAAZHJzL2Rvd25yZXYueG1sRE9NawIx&#10;EL0X+h/CFHqrWaXWshpFRanFk2v1PGzG3eBmsiaprv/eHAo9Pt73ZNbZRlzJB+NYQb+XgSAunTZc&#10;KfjZr98+QYSIrLFxTAruFGA2fX6aYK7djXd0LWIlUgiHHBXUMba5lKGsyWLouZY4cSfnLcYEfSW1&#10;x1sKt40cZNmHtGg4NdTY0rKm8lz8WgWXg9+/983quG6+C3MZnbeLLxwp9frSzccgInXxX/zn3mgF&#10;g2Fam86kIyCnDwAAAP//AwBQSwECLQAUAAYACAAAACEA2+H2y+4AAACFAQAAEwAAAAAAAAAAAAAA&#10;AAAAAAAAW0NvbnRlbnRfVHlwZXNdLnhtbFBLAQItABQABgAIAAAAIQBa9CxbvwAAABUBAAALAAAA&#10;AAAAAAAAAAAAAB8BAABfcmVscy8ucmVsc1BLAQItABQABgAIAAAAIQAET9qbwgAAANwAAAAPAAAA&#10;AAAAAAAAAAAAAAcCAABkcnMvZG93bnJldi54bWxQSwUGAAAAAAMAAwC3AAAA9gIAAAAA&#10;" fillcolor="white [3201]" strokeweight=".5pt">
                  <v:textbox>
                    <w:txbxContent>
                      <w:p w14:paraId="7674C31F" w14:textId="77777777" w:rsidR="001D4931" w:rsidRPr="002F33D0" w:rsidRDefault="001D4931" w:rsidP="002F33D0">
                        <w:pPr>
                          <w:tabs>
                            <w:tab w:val="left" w:pos="284"/>
                          </w:tabs>
                          <w:spacing w:after="0" w:line="240" w:lineRule="auto"/>
                          <w:jc w:val="center"/>
                          <w:rPr>
                            <w:rFonts w:ascii="Times New Roman" w:hAnsi="Times New Roman" w:cs="Times New Roman"/>
                            <w:sz w:val="24"/>
                            <w:szCs w:val="24"/>
                            <w:lang w:val="kk-KZ"/>
                          </w:rPr>
                        </w:pPr>
                        <w:r w:rsidRPr="002F33D0">
                          <w:rPr>
                            <w:rFonts w:ascii="Times New Roman" w:hAnsi="Times New Roman" w:cs="Times New Roman"/>
                            <w:sz w:val="24"/>
                            <w:szCs w:val="24"/>
                            <w:lang w:val="kk-KZ"/>
                          </w:rPr>
                          <w:t>расчёт обобщённых значений по каждому ресурсному блоку с учётом трёх процессных функций</w:t>
                        </w:r>
                      </w:p>
                    </w:txbxContent>
                  </v:textbox>
                </v:shape>
                <v:shape id="Надпись 259" o:spid="_x0000_s1169" type="#_x0000_t202" style="position:absolute;left:-5;top:30051;width:50182;height:4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38AxQAAANwAAAAPAAAAZHJzL2Rvd25yZXYueG1sRI9BawIx&#10;FITvBf9DeIK3mlVsbVej2KK0xZNr6/mxee4GNy9rEnX775tCocdhZr5h5svONuJKPhjHCkbDDARx&#10;6bThSsHnfnP/BCJEZI2NY1LwTQGWi97dHHPtbryjaxErkSAcclRQx9jmUoayJoth6Fri5B2dtxiT&#10;9JXUHm8Jbhs5zrJHadFwWqixpdeaylNxsQrOX34/GZn1YdN8FOY8PW1f3nCq1KDfrWYgInXxP/zX&#10;ftcKxg/P8HsmHQG5+AEAAP//AwBQSwECLQAUAAYACAAAACEA2+H2y+4AAACFAQAAEwAAAAAAAAAA&#10;AAAAAAAAAAAAW0NvbnRlbnRfVHlwZXNdLnhtbFBLAQItABQABgAIAAAAIQBa9CxbvwAAABUBAAAL&#10;AAAAAAAAAAAAAAAAAB8BAABfcmVscy8ucmVsc1BLAQItABQABgAIAAAAIQBrA38AxQAAANwAAAAP&#10;AAAAAAAAAAAAAAAAAAcCAABkcnMvZG93bnJldi54bWxQSwUGAAAAAAMAAwC3AAAA+QIAAAAA&#10;" fillcolor="white [3201]" strokeweight=".5pt">
                  <v:textbox>
                    <w:txbxContent>
                      <w:p w14:paraId="786E75F1" w14:textId="77777777" w:rsidR="001D4931" w:rsidRPr="002F33D0" w:rsidRDefault="001D4931" w:rsidP="002F33D0">
                        <w:pPr>
                          <w:pStyle w:val="a3"/>
                          <w:tabs>
                            <w:tab w:val="left" w:pos="284"/>
                          </w:tabs>
                          <w:spacing w:after="0" w:line="240" w:lineRule="auto"/>
                          <w:ind w:left="0"/>
                          <w:jc w:val="center"/>
                          <w:rPr>
                            <w:rFonts w:ascii="Times New Roman" w:eastAsiaTheme="minorEastAsia" w:hAnsi="Times New Roman" w:cs="Times New Roman"/>
                            <w:sz w:val="24"/>
                            <w:szCs w:val="24"/>
                          </w:rPr>
                        </w:pPr>
                        <w:r w:rsidRPr="002F33D0">
                          <w:rPr>
                            <w:rFonts w:ascii="Times New Roman" w:eastAsiaTheme="minorEastAsia" w:hAnsi="Times New Roman" w:cs="Times New Roman"/>
                            <w:sz w:val="24"/>
                            <w:szCs w:val="24"/>
                          </w:rPr>
                          <w:t>умножение агрегированных оценок на β-коэффициенты, полученные по результатам SEM и регрессионного анализа</w:t>
                        </w:r>
                      </w:p>
                    </w:txbxContent>
                  </v:textbox>
                </v:shape>
                <v:shape id="Надпись 260" o:spid="_x0000_s1170" type="#_x0000_t202" style="position:absolute;left:-5;top:36314;width:50177;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mMIvwAAANwAAAAPAAAAZHJzL2Rvd25yZXYueG1sRE9Li8Iw&#10;EL4v+B/CCN7WVGVFqlFEXHAv4vM+NGNbbCbdZrTdf28OCx4/vvdi1blKPakJpWcDo2ECijjztuTc&#10;wOX8/TkDFQTZYuWZDPxRgNWy97HA1PqWj/Q8Sa5iCIcUDRQidap1yApyGIa+Jo7czTcOJcIm17bB&#10;Noa7So+TZKodlhwbCqxpU1B2Pz2cgcOMf6/ytd4fthOycs7u1592a8yg363noIQ6eYv/3TtrYDyN&#10;8+OZeAT08gUAAP//AwBQSwECLQAUAAYACAAAACEA2+H2y+4AAACFAQAAEwAAAAAAAAAAAAAAAAAA&#10;AAAAW0NvbnRlbnRfVHlwZXNdLnhtbFBLAQItABQABgAIAAAAIQBa9CxbvwAAABUBAAALAAAAAAAA&#10;AAAAAAAAAB8BAABfcmVscy8ucmVsc1BLAQItABQABgAIAAAAIQCAJmMIvwAAANwAAAAPAAAAAAAA&#10;AAAAAAAAAAcCAABkcnMvZG93bnJldi54bWxQSwUGAAAAAAMAAwC3AAAA8wIAAAAA&#10;" fillcolor="#d8d8d8 [2732]" strokeweight=".5pt">
                  <v:textbox>
                    <w:txbxContent>
                      <w:p w14:paraId="40AF9E27" w14:textId="77777777" w:rsidR="001D4931" w:rsidRPr="002F33D0" w:rsidRDefault="001D4931" w:rsidP="007F5E68">
                        <w:pPr>
                          <w:pStyle w:val="a3"/>
                          <w:numPr>
                            <w:ilvl w:val="0"/>
                            <w:numId w:val="26"/>
                          </w:numPr>
                          <w:tabs>
                            <w:tab w:val="left" w:pos="284"/>
                          </w:tabs>
                          <w:spacing w:after="0" w:line="240" w:lineRule="auto"/>
                          <w:ind w:left="0" w:firstLine="0"/>
                          <w:jc w:val="center"/>
                          <w:rPr>
                            <w:rFonts w:ascii="Times New Roman" w:hAnsi="Times New Roman" w:cs="Times New Roman"/>
                            <w:sz w:val="24"/>
                            <w:szCs w:val="24"/>
                          </w:rPr>
                        </w:pPr>
                        <w:r w:rsidRPr="002F33D0">
                          <w:rPr>
                            <w:rFonts w:ascii="Times New Roman" w:hAnsi="Times New Roman" w:cs="Times New Roman"/>
                            <w:sz w:val="24"/>
                            <w:szCs w:val="24"/>
                          </w:rPr>
                          <w:t>РАСЧЁТ ИНТЕГРАЛЬНОГО ИНДЕКСА И ЕГО ИНТЕРПРЕТАЦИЯ</w:t>
                        </w:r>
                      </w:p>
                    </w:txbxContent>
                  </v:textbox>
                </v:shape>
                <v:shape id="Надпись 261" o:spid="_x0000_s1171" type="#_x0000_t202" style="position:absolute;left:-13;top:39108;width:50182;height:4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bm7xQAAANwAAAAPAAAAZHJzL2Rvd25yZXYueG1sRI9BawIx&#10;FITvQv9DeAVvNbsiKqtRWlHa0pOr7fmxee4GNy9rkur23zeFgsdhZr5hluvetuJKPhjHCvJRBoK4&#10;ctpwreB42D3NQYSIrLF1TAp+KMB69TBYYqHdjfd0LWMtEoRDgQqaGLtCylA1ZDGMXEecvJPzFmOS&#10;vpba4y3BbSvHWTaVFg2nhQY72jRUnctvq+Dy6Q+T3Gy/du17aS6z88fLK86UGj72zwsQkfp4D/+3&#10;37SC8TSHvzPpCMjVLwAAAP//AwBQSwECLQAUAAYACAAAACEA2+H2y+4AAACFAQAAEwAAAAAAAAAA&#10;AAAAAAAAAAAAW0NvbnRlbnRfVHlwZXNdLnhtbFBLAQItABQABgAIAAAAIQBa9CxbvwAAABUBAAAL&#10;AAAAAAAAAAAAAAAAAB8BAABfcmVscy8ucmVsc1BLAQItABQABgAIAAAAIQBbGbm7xQAAANwAAAAP&#10;AAAAAAAAAAAAAAAAAAcCAABkcnMvZG93bnJldi54bWxQSwUGAAAAAAMAAwC3AAAA+QIAAAAA&#10;" fillcolor="white [3201]" strokeweight=".5pt">
                  <v:textbox>
                    <w:txbxContent>
                      <w:p w14:paraId="2C5324E5" w14:textId="77777777" w:rsidR="001D4931" w:rsidRPr="002F33D0" w:rsidRDefault="001D4931" w:rsidP="002F33D0">
                        <w:pPr>
                          <w:pStyle w:val="a3"/>
                          <w:tabs>
                            <w:tab w:val="left" w:pos="284"/>
                          </w:tabs>
                          <w:spacing w:after="0" w:line="240" w:lineRule="auto"/>
                          <w:ind w:left="0"/>
                          <w:jc w:val="center"/>
                          <w:rPr>
                            <w:rFonts w:ascii="Times New Roman" w:hAnsi="Times New Roman" w:cs="Times New Roman"/>
                            <w:sz w:val="24"/>
                            <w:szCs w:val="24"/>
                          </w:rPr>
                        </w:pPr>
                        <w:r w:rsidRPr="002F33D0">
                          <w:rPr>
                            <w:rFonts w:ascii="Times New Roman" w:hAnsi="Times New Roman" w:cs="Times New Roman"/>
                            <w:sz w:val="24"/>
                            <w:szCs w:val="24"/>
                          </w:rPr>
                          <w:t>получение IP-Index и соотнесение его значения с уровнем инновационного потенциала по классификационной шкале</w:t>
                        </w:r>
                      </w:p>
                    </w:txbxContent>
                  </v:textbox>
                </v:shape>
                <v:shape id="Прямая со стрелкой 262" o:spid="_x0000_s1172" type="#_x0000_t32" style="position:absolute;left:25315;top:6265;width:0;height:17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b4gxAAAANwAAAAPAAAAZHJzL2Rvd25yZXYueG1sRI9Bi8Iw&#10;FITvgv8hPMGbphZWpBpFFFl38aCuqMdH82yrzUtpotZ/v1kQ9jjMzDfMZNaYUjyodoVlBYN+BII4&#10;tbrgTMHhZ9UbgXAeWWNpmRS8yMFs2m5NMNH2yTt67H0mAoRdggpy76tESpfmZND1bUUcvIutDfog&#10;60zqGp8BbkoZR9FQGiw4LORY0SKn9La/GwWb8/bz+P2xLPiU6tu63F2/LrxUqttp5mMQnhr/H363&#10;11pBPIzh70w4AnL6CwAA//8DAFBLAQItABQABgAIAAAAIQDb4fbL7gAAAIUBAAATAAAAAAAAAAAA&#10;AAAAAAAAAABbQ29udGVudF9UeXBlc10ueG1sUEsBAi0AFAAGAAgAAAAhAFr0LFu/AAAAFQEAAAsA&#10;AAAAAAAAAAAAAAAAHwEAAF9yZWxzLy5yZWxzUEsBAi0AFAAGAAgAAAAhAPT1viDEAAAA3AAAAA8A&#10;AAAAAAAAAAAAAAAABwIAAGRycy9kb3ducmV2LnhtbFBLBQYAAAAAAwADALcAAAD4AgAAAAA=&#10;" strokecolor="black [3200]" strokeweight="1.5pt">
                  <v:stroke endarrow="block" joinstyle="miter"/>
                </v:shape>
                <v:shape id="Прямая со стрелкой 263" o:spid="_x0000_s1173" type="#_x0000_t32" style="position:absolute;left:24973;top:15661;width:0;height:17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Ru7xQAAANwAAAAPAAAAZHJzL2Rvd25yZXYueG1sRI9Pi8Iw&#10;FMTvgt8hPGFvmqqsSDWKKKIre1j/oB4fzbOtNi+lyWr99kZY2OMwM79hxtPaFOJOlcstK+h2IhDE&#10;idU5pwoO+2V7CMJ5ZI2FZVLwJAfTSbMxxljbB2/pvvOpCBB2MSrIvC9jKV2SkUHXsSVx8C62MuiD&#10;rFKpK3wEuClkL4oG0mDOYSHDkuYZJbfdr1Hwff5ZHTefi5xPib6ti+3168ILpT5a9WwEwlPt/8N/&#10;7bVW0Bv04X0mHAE5eQEAAP//AwBQSwECLQAUAAYACAAAACEA2+H2y+4AAACFAQAAEwAAAAAAAAAA&#10;AAAAAAAAAAAAW0NvbnRlbnRfVHlwZXNdLnhtbFBLAQItABQABgAIAAAAIQBa9CxbvwAAABUBAAAL&#10;AAAAAAAAAAAAAAAAAB8BAABfcmVscy8ucmVsc1BLAQItABQABgAIAAAAIQCbuRu7xQAAANwAAAAP&#10;AAAAAAAAAAAAAAAAAAcCAABkcnMvZG93bnJldi54bWxQSwUGAAAAAAMAAwC3AAAA+QIAAAAA&#10;" strokecolor="black [3200]" strokeweight="1.5pt">
                  <v:stroke endarrow="block" joinstyle="miter"/>
                </v:shape>
                <v:shape id="Прямая со стрелкой 264" o:spid="_x0000_s1174" type="#_x0000_t32" style="position:absolute;left:24889;top:25479;width:0;height:17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IPPxQAAANwAAAAPAAAAZHJzL2Rvd25yZXYueG1sRI9Pi8Iw&#10;FMTvgt8hPGFvmiquSDWKKKIre1j/oB4fzbOtNi+lyWr99kZY2OMwM79hxtPaFOJOlcstK+h2IhDE&#10;idU5pwoO+2V7CMJ5ZI2FZVLwJAfTSbMxxljbB2/pvvOpCBB2MSrIvC9jKV2SkUHXsSVx8C62MuiD&#10;rFKpK3wEuClkL4oG0mDOYSHDkuYZJbfdr1Hwff5ZHTefi5xPib6ti+3168ILpT5a9WwEwlPt/8N/&#10;7bVW0Bv04X0mHAE5eQEAAP//AwBQSwECLQAUAAYACAAAACEA2+H2y+4AAACFAQAAEwAAAAAAAAAA&#10;AAAAAAAAAAAAW0NvbnRlbnRfVHlwZXNdLnhtbFBLAQItABQABgAIAAAAIQBa9CxbvwAAABUBAAAL&#10;AAAAAAAAAAAAAAAAAB8BAABfcmVscy8ucmVsc1BLAQItABQABgAIAAAAIQAUUIPPxQAAANwAAAAP&#10;AAAAAAAAAAAAAAAAAAcCAABkcnMvZG93bnJldi54bWxQSwUGAAAAAAMAAwC3AAAA+QIAAAAA&#10;" strokecolor="black [3200]" strokeweight="1.5pt">
                  <v:stroke endarrow="block" joinstyle="miter"/>
                </v:shape>
                <v:shape id="Прямая со стрелкой 265" o:spid="_x0000_s1175" type="#_x0000_t32" style="position:absolute;left:24722;top:34453;width:0;height:17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CZUxAAAANwAAAAPAAAAZHJzL2Rvd25yZXYueG1sRI9Bi8Iw&#10;FITvgv8hPMGbpisoUo0iK6K7eNDuoh4fzbOtNi+liVr//WZB8DjMzDfMdN6YUtypdoVlBR/9CARx&#10;anXBmYLfn1VvDMJ5ZI2lZVLwJAfzWbs1xVjbB+/pnvhMBAi7GBXk3lexlC7NyaDr24o4eGdbG/RB&#10;1pnUNT4C3JRyEEUjabDgsJBjRZ85pdfkZhRsT7v14Xu4LPiY6uum3F++zrxUqttpFhMQnhr/Dr/a&#10;G61gMBrC/5lwBOTsDwAA//8DAFBLAQItABQABgAIAAAAIQDb4fbL7gAAAIUBAAATAAAAAAAAAAAA&#10;AAAAAAAAAABbQ29udGVudF9UeXBlc10ueG1sUEsBAi0AFAAGAAgAAAAhAFr0LFu/AAAAFQEAAAsA&#10;AAAAAAAAAAAAAAAAHwEAAF9yZWxzLy5yZWxzUEsBAi0AFAAGAAgAAAAhAHscJlTEAAAA3AAAAA8A&#10;AAAAAAAAAAAAAAAABwIAAGRycy9kb3ducmV2LnhtbFBLBQYAAAAAAwADALcAAAD4AgAAAAA=&#10;" strokecolor="black [3200]" strokeweight="1.5pt">
                  <v:stroke endarrow="block" joinstyle="miter"/>
                </v:shape>
                <w10:anchorlock/>
              </v:group>
            </w:pict>
          </mc:Fallback>
        </mc:AlternateContent>
      </w:r>
    </w:p>
    <w:p w14:paraId="460192D4" w14:textId="77777777" w:rsidR="00545A2C" w:rsidRPr="00545A2C" w:rsidRDefault="00545A2C" w:rsidP="002F33D0">
      <w:pPr>
        <w:spacing w:after="0" w:line="240" w:lineRule="auto"/>
        <w:jc w:val="center"/>
        <w:rPr>
          <w:rFonts w:ascii="Times New Roman" w:hAnsi="Times New Roman" w:cs="Times New Roman"/>
          <w:sz w:val="20"/>
          <w:szCs w:val="28"/>
          <w:lang w:val="kk-KZ"/>
        </w:rPr>
      </w:pPr>
    </w:p>
    <w:p w14:paraId="2DFEC6C9" w14:textId="0AA84F43" w:rsidR="002F33D0" w:rsidRPr="002F33D0" w:rsidRDefault="002D5680" w:rsidP="002F33D0">
      <w:pPr>
        <w:spacing w:after="0" w:line="240" w:lineRule="auto"/>
        <w:jc w:val="center"/>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 xml:space="preserve">Рисунок </w:t>
      </w:r>
      <w:r w:rsidR="00FD618C">
        <w:rPr>
          <w:rFonts w:ascii="Times New Roman" w:hAnsi="Times New Roman" w:cs="Times New Roman"/>
          <w:sz w:val="28"/>
          <w:szCs w:val="28"/>
          <w:lang w:val="kk-KZ"/>
        </w:rPr>
        <w:t>9</w:t>
      </w:r>
      <w:r w:rsidR="002F33D0" w:rsidRPr="002F33D0">
        <w:rPr>
          <w:rFonts w:ascii="Times New Roman" w:hAnsi="Times New Roman" w:cs="Times New Roman"/>
          <w:sz w:val="28"/>
          <w:szCs w:val="28"/>
          <w:lang w:val="kk-KZ"/>
        </w:rPr>
        <w:t xml:space="preserve"> – Алгоритм расчёта интегрального индекса инновационного потенциала (IP-Index)</w:t>
      </w:r>
    </w:p>
    <w:p w14:paraId="47605FFD" w14:textId="77777777" w:rsidR="002D5680" w:rsidRDefault="002D5680" w:rsidP="002D5680">
      <w:pPr>
        <w:spacing w:after="0" w:line="240" w:lineRule="auto"/>
        <w:jc w:val="both"/>
        <w:rPr>
          <w:rFonts w:ascii="Times New Roman" w:hAnsi="Times New Roman" w:cs="Times New Roman"/>
          <w:sz w:val="24"/>
          <w:szCs w:val="28"/>
          <w:lang w:val="kk-KZ"/>
        </w:rPr>
      </w:pPr>
    </w:p>
    <w:p w14:paraId="5A5F71AB" w14:textId="598644EB" w:rsidR="002D5680" w:rsidRPr="002D5680" w:rsidRDefault="002D5680" w:rsidP="00FD618C">
      <w:pPr>
        <w:spacing w:after="0" w:line="240" w:lineRule="auto"/>
        <w:ind w:firstLine="567"/>
        <w:jc w:val="both"/>
        <w:rPr>
          <w:rFonts w:ascii="Times New Roman" w:hAnsi="Times New Roman" w:cs="Times New Roman"/>
          <w:sz w:val="24"/>
          <w:szCs w:val="28"/>
          <w:lang w:val="kk-KZ"/>
        </w:rPr>
      </w:pPr>
      <w:r w:rsidRPr="002D5680">
        <w:rPr>
          <w:rFonts w:ascii="Times New Roman" w:hAnsi="Times New Roman" w:cs="Times New Roman"/>
          <w:sz w:val="24"/>
          <w:szCs w:val="28"/>
          <w:lang w:val="kk-KZ"/>
        </w:rPr>
        <w:t xml:space="preserve">Примечание – </w:t>
      </w:r>
      <w:r w:rsidR="000F3C80">
        <w:rPr>
          <w:rFonts w:ascii="Times New Roman" w:hAnsi="Times New Roman" w:cs="Times New Roman"/>
          <w:sz w:val="24"/>
          <w:szCs w:val="28"/>
          <w:lang w:val="kk-KZ"/>
        </w:rPr>
        <w:t>С</w:t>
      </w:r>
      <w:r w:rsidRPr="002D5680">
        <w:rPr>
          <w:rFonts w:ascii="Times New Roman" w:hAnsi="Times New Roman" w:cs="Times New Roman"/>
          <w:sz w:val="24"/>
          <w:szCs w:val="28"/>
          <w:lang w:val="kk-KZ"/>
        </w:rPr>
        <w:t>оставлено автором</w:t>
      </w:r>
    </w:p>
    <w:p w14:paraId="5F71BAA1" w14:textId="77777777" w:rsidR="00FD618C" w:rsidRDefault="00FD618C" w:rsidP="002F33D0">
      <w:pPr>
        <w:spacing w:after="0" w:line="240" w:lineRule="auto"/>
        <w:ind w:firstLine="567"/>
        <w:jc w:val="both"/>
        <w:rPr>
          <w:rFonts w:ascii="Times New Roman" w:hAnsi="Times New Roman" w:cs="Times New Roman"/>
          <w:sz w:val="28"/>
          <w:szCs w:val="28"/>
          <w:lang w:val="kk-KZ"/>
        </w:rPr>
      </w:pPr>
    </w:p>
    <w:p w14:paraId="221CC9F0" w14:textId="29814646" w:rsidR="002F33D0" w:rsidRPr="002F33D0" w:rsidRDefault="002F33D0" w:rsidP="002F33D0">
      <w:pPr>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Такая последовательность обеспечивает согласованность расчётов и позволяет корректно учитывать различия в весах факторов, выявленные на основе эмпирических моделей.</w:t>
      </w:r>
    </w:p>
    <w:p w14:paraId="457BC983" w14:textId="3C73A743"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Первичным источником данных являются ответы предприятий на вопросы матрицы </w:t>
      </w:r>
      <w:r w:rsidR="00545A2C" w:rsidRPr="002F33D0">
        <w:rPr>
          <w:rFonts w:ascii="Times New Roman" w:hAnsi="Times New Roman" w:cs="Times New Roman"/>
          <w:sz w:val="28"/>
          <w:szCs w:val="28"/>
        </w:rPr>
        <w:t>(Rᵢ×Pⱼ)</w:t>
      </w:r>
      <w:r w:rsidRPr="002F33D0">
        <w:rPr>
          <w:rFonts w:ascii="Times New Roman" w:hAnsi="Times New Roman" w:cs="Times New Roman"/>
          <w:sz w:val="28"/>
          <w:szCs w:val="28"/>
        </w:rPr>
        <w:t xml:space="preserve">. Каждой ячейке </w:t>
      </w: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r>
              <w:rPr>
                <w:rFonts w:ascii="Cambria Math" w:hAnsi="Cambria Math" w:cs="Times New Roman"/>
                <w:sz w:val="28"/>
                <w:szCs w:val="28"/>
                <w:lang w:val="en-US"/>
              </w:rPr>
              <m:t>j</m:t>
            </m:r>
          </m:sub>
        </m:sSub>
      </m:oMath>
      <w:r w:rsidRPr="002F33D0">
        <w:rPr>
          <w:rFonts w:ascii="Times New Roman" w:hAnsi="Times New Roman" w:cs="Times New Roman"/>
          <w:sz w:val="28"/>
          <w:szCs w:val="28"/>
        </w:rPr>
        <w:t xml:space="preserve"> соответств</w:t>
      </w:r>
      <w:r w:rsidR="00E27253">
        <w:rPr>
          <w:rFonts w:ascii="Times New Roman" w:hAnsi="Times New Roman" w:cs="Times New Roman"/>
          <w:sz w:val="28"/>
          <w:szCs w:val="28"/>
        </w:rPr>
        <w:t>ует оценка по шкале Лайкерта (1</w:t>
      </w:r>
      <w:r w:rsidR="00E27253">
        <w:rPr>
          <w:rFonts w:ascii="Times New Roman" w:hAnsi="Times New Roman" w:cs="Times New Roman"/>
          <w:sz w:val="28"/>
          <w:szCs w:val="28"/>
          <w:lang w:val="kk-KZ"/>
        </w:rPr>
        <w:t>-</w:t>
      </w:r>
      <w:r w:rsidRPr="002F33D0">
        <w:rPr>
          <w:rFonts w:ascii="Times New Roman" w:hAnsi="Times New Roman" w:cs="Times New Roman"/>
          <w:sz w:val="28"/>
          <w:szCs w:val="28"/>
        </w:rPr>
        <w:t xml:space="preserve">5), где </w:t>
      </w:r>
      <w:r w:rsidRPr="002F33D0">
        <w:rPr>
          <w:rFonts w:ascii="Cambria Math" w:hAnsi="Cambria Math" w:cs="Cambria Math"/>
          <w:sz w:val="28"/>
          <w:szCs w:val="28"/>
        </w:rPr>
        <w:t>𝑖</w:t>
      </w:r>
      <w:r w:rsidRPr="002F33D0">
        <w:rPr>
          <w:rFonts w:ascii="Times New Roman" w:hAnsi="Times New Roman" w:cs="Times New Roman"/>
          <w:sz w:val="28"/>
          <w:szCs w:val="28"/>
        </w:rPr>
        <w:t xml:space="preserve">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ресурсный компонент (управленческие, </w:t>
      </w:r>
      <w:r w:rsidRPr="002F33D0">
        <w:rPr>
          <w:rFonts w:ascii="Times New Roman" w:hAnsi="Times New Roman" w:cs="Times New Roman"/>
          <w:sz w:val="28"/>
          <w:szCs w:val="28"/>
        </w:rPr>
        <w:lastRenderedPageBreak/>
        <w:t xml:space="preserve">технологические, финансовые ресурсы, человеческий капитал, инновационная культура, цифровая среда, институциональная среда), </w:t>
      </w:r>
      <w:r w:rsidRPr="002F33D0">
        <w:rPr>
          <w:rFonts w:ascii="Cambria Math" w:hAnsi="Cambria Math" w:cs="Cambria Math"/>
          <w:sz w:val="28"/>
          <w:szCs w:val="28"/>
        </w:rPr>
        <w:t>𝑗</w:t>
      </w:r>
      <w:r w:rsidRPr="002F33D0">
        <w:rPr>
          <w:rFonts w:ascii="Times New Roman" w:hAnsi="Times New Roman" w:cs="Times New Roman"/>
          <w:sz w:val="28"/>
          <w:szCs w:val="28"/>
        </w:rPr>
        <w:t xml:space="preserve">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процессные функции P</w:t>
      </w:r>
      <w:r w:rsidR="00545A2C" w:rsidRPr="00545A2C">
        <w:rPr>
          <w:rFonts w:ascii="Times New Roman" w:hAnsi="Times New Roman" w:cs="Times New Roman"/>
          <w:sz w:val="28"/>
          <w:szCs w:val="28"/>
          <w:vertAlign w:val="subscript"/>
          <w:lang w:val="kk-KZ"/>
        </w:rPr>
        <w:t>1</w:t>
      </w:r>
      <w:r w:rsidRPr="002F33D0">
        <w:rPr>
          <w:rFonts w:ascii="Times New Roman" w:hAnsi="Times New Roman" w:cs="Times New Roman"/>
          <w:sz w:val="28"/>
          <w:szCs w:val="28"/>
        </w:rPr>
        <w:t>–P</w:t>
      </w:r>
      <w:r w:rsidR="00545A2C" w:rsidRPr="00545A2C">
        <w:rPr>
          <w:rFonts w:ascii="Times New Roman" w:hAnsi="Times New Roman" w:cs="Times New Roman"/>
          <w:sz w:val="28"/>
          <w:szCs w:val="28"/>
          <w:vertAlign w:val="subscript"/>
          <w:lang w:val="kk-KZ"/>
        </w:rPr>
        <w:t>3</w:t>
      </w:r>
      <w:r w:rsidRPr="002F33D0">
        <w:rPr>
          <w:rFonts w:ascii="Times New Roman" w:hAnsi="Times New Roman" w:cs="Times New Roman"/>
          <w:sz w:val="28"/>
          <w:szCs w:val="28"/>
        </w:rPr>
        <w:t>.</w:t>
      </w:r>
    </w:p>
    <w:p w14:paraId="38EE91D0" w14:textId="14A98982"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Для обеспечения сопоставимости показателей все исходные оценки преобразуютс</w:t>
      </w:r>
      <w:r w:rsidR="00E27253">
        <w:rPr>
          <w:rFonts w:ascii="Times New Roman" w:hAnsi="Times New Roman" w:cs="Times New Roman"/>
          <w:sz w:val="28"/>
          <w:szCs w:val="28"/>
        </w:rPr>
        <w:t>я в безразмерную шкалу 0</w:t>
      </w:r>
      <w:r w:rsidR="00E27253">
        <w:rPr>
          <w:rFonts w:ascii="Times New Roman" w:hAnsi="Times New Roman" w:cs="Times New Roman"/>
          <w:sz w:val="28"/>
          <w:szCs w:val="28"/>
          <w:lang w:val="kk-KZ"/>
        </w:rPr>
        <w:t>-</w:t>
      </w:r>
      <w:r w:rsidRPr="002F33D0">
        <w:rPr>
          <w:rFonts w:ascii="Times New Roman" w:hAnsi="Times New Roman" w:cs="Times New Roman"/>
          <w:sz w:val="28"/>
          <w:szCs w:val="28"/>
        </w:rPr>
        <w:t>1 с использованием линейной нормализации</w:t>
      </w:r>
      <w:r w:rsidR="002D5680">
        <w:rPr>
          <w:rFonts w:ascii="Times New Roman" w:hAnsi="Times New Roman" w:cs="Times New Roman"/>
          <w:sz w:val="28"/>
          <w:szCs w:val="28"/>
          <w:lang w:val="kk-KZ"/>
        </w:rPr>
        <w:t xml:space="preserve"> (</w:t>
      </w:r>
      <w:r w:rsidR="00FD618C">
        <w:rPr>
          <w:rFonts w:ascii="Times New Roman" w:hAnsi="Times New Roman" w:cs="Times New Roman"/>
          <w:sz w:val="28"/>
          <w:szCs w:val="28"/>
          <w:lang w:val="kk-KZ"/>
        </w:rPr>
        <w:t>20</w:t>
      </w:r>
      <w:r w:rsidR="002D5680">
        <w:rPr>
          <w:rFonts w:ascii="Times New Roman" w:hAnsi="Times New Roman" w:cs="Times New Roman"/>
          <w:sz w:val="28"/>
          <w:szCs w:val="28"/>
          <w:lang w:val="kk-KZ"/>
        </w:rPr>
        <w:t>)</w:t>
      </w:r>
      <w:r w:rsidRPr="002F33D0">
        <w:rPr>
          <w:rFonts w:ascii="Times New Roman" w:hAnsi="Times New Roman" w:cs="Times New Roman"/>
          <w:sz w:val="28"/>
          <w:szCs w:val="28"/>
        </w:rPr>
        <w:t>:</w:t>
      </w:r>
    </w:p>
    <w:p w14:paraId="335CAFA1" w14:textId="77777777" w:rsidR="002F33D0" w:rsidRPr="002F33D0" w:rsidRDefault="002F33D0" w:rsidP="002F33D0">
      <w:pPr>
        <w:spacing w:after="0" w:line="240" w:lineRule="auto"/>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2F33D0" w:rsidRPr="002F33D0" w14:paraId="273A981D" w14:textId="77777777" w:rsidTr="002F33D0">
        <w:tc>
          <w:tcPr>
            <w:tcW w:w="8642" w:type="dxa"/>
          </w:tcPr>
          <w:p w14:paraId="05CA8FE1" w14:textId="77777777" w:rsidR="002F33D0" w:rsidRPr="002F33D0" w:rsidRDefault="001D4931" w:rsidP="002F33D0">
            <w:pPr>
              <w:ind w:firstLine="0"/>
              <w:jc w:val="both"/>
              <w:rPr>
                <w:sz w:val="28"/>
                <w:szCs w:val="28"/>
              </w:rPr>
            </w:pPr>
            <m:oMathPara>
              <m:oMath>
                <m:sSubSup>
                  <m:sSubSupPr>
                    <m:ctrlPr>
                      <w:rPr>
                        <w:rFonts w:ascii="Cambria Math" w:eastAsia="Cambria Math" w:hAnsi="Cambria Math"/>
                        <w:i/>
                        <w:sz w:val="28"/>
                        <w:szCs w:val="28"/>
                      </w:rPr>
                    </m:ctrlPr>
                  </m:sSubSupPr>
                  <m:e>
                    <m:r>
                      <w:rPr>
                        <w:rFonts w:ascii="Cambria Math" w:eastAsia="Cambria Math" w:hAnsi="Cambria Math"/>
                        <w:sz w:val="28"/>
                        <w:szCs w:val="28"/>
                      </w:rPr>
                      <m:t>X</m:t>
                    </m:r>
                  </m:e>
                  <m:sub>
                    <m:r>
                      <w:rPr>
                        <w:rFonts w:ascii="Cambria Math" w:eastAsia="Cambria Math" w:hAnsi="Cambria Math"/>
                        <w:sz w:val="28"/>
                        <w:szCs w:val="28"/>
                      </w:rPr>
                      <m:t>ij</m:t>
                    </m:r>
                  </m:sub>
                  <m:sup>
                    <m:r>
                      <w:rPr>
                        <w:rFonts w:ascii="Cambria Math" w:eastAsia="Cambria Math" w:hAnsi="Cambria Math"/>
                        <w:sz w:val="28"/>
                        <w:szCs w:val="28"/>
                      </w:rPr>
                      <m:t>'</m:t>
                    </m:r>
                  </m:sup>
                </m:sSubSup>
                <m:r>
                  <w:rPr>
                    <w:rFonts w:ascii="Cambria Math" w:eastAsia="Cambria Math" w:hAnsi="Cambria Math"/>
                    <w:sz w:val="28"/>
                    <w:szCs w:val="28"/>
                  </w:rPr>
                  <m:t>=</m:t>
                </m:r>
                <m:f>
                  <m:fPr>
                    <m:ctrlPr>
                      <w:rPr>
                        <w:rFonts w:ascii="Cambria Math" w:hAnsi="Cambria Math"/>
                        <w:sz w:val="28"/>
                        <w:szCs w:val="28"/>
                      </w:rPr>
                    </m:ctrlPr>
                  </m:fPr>
                  <m:num>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ij</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min</m:t>
                        </m:r>
                      </m:sub>
                    </m:sSub>
                  </m:num>
                  <m:den>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max</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min</m:t>
                        </m:r>
                      </m:sub>
                    </m:sSub>
                  </m:den>
                </m:f>
              </m:oMath>
            </m:oMathPara>
          </w:p>
        </w:tc>
        <w:tc>
          <w:tcPr>
            <w:tcW w:w="703" w:type="dxa"/>
            <w:vAlign w:val="center"/>
          </w:tcPr>
          <w:p w14:paraId="46FE5CCA" w14:textId="0DBA1781" w:rsidR="002F33D0" w:rsidRPr="002F33D0" w:rsidRDefault="002F33D0" w:rsidP="00FD618C">
            <w:pPr>
              <w:ind w:firstLine="0"/>
              <w:jc w:val="both"/>
              <w:rPr>
                <w:sz w:val="28"/>
                <w:szCs w:val="28"/>
                <w:lang w:val="en-US"/>
              </w:rPr>
            </w:pPr>
            <w:r w:rsidRPr="002F33D0">
              <w:rPr>
                <w:sz w:val="28"/>
                <w:szCs w:val="28"/>
                <w:lang w:val="en-US"/>
              </w:rPr>
              <w:t>(</w:t>
            </w:r>
            <w:r w:rsidR="00FD618C">
              <w:rPr>
                <w:sz w:val="28"/>
                <w:szCs w:val="28"/>
                <w:lang w:val="kk-KZ"/>
              </w:rPr>
              <w:t>20</w:t>
            </w:r>
            <w:r w:rsidRPr="002F33D0">
              <w:rPr>
                <w:sz w:val="28"/>
                <w:szCs w:val="28"/>
                <w:lang w:val="en-US"/>
              </w:rPr>
              <w:t>)</w:t>
            </w:r>
          </w:p>
        </w:tc>
      </w:tr>
    </w:tbl>
    <w:p w14:paraId="0DEA4523" w14:textId="77777777" w:rsidR="002F33D0" w:rsidRPr="002F33D0" w:rsidRDefault="002F33D0" w:rsidP="002F33D0">
      <w:pPr>
        <w:spacing w:after="0" w:line="240" w:lineRule="auto"/>
        <w:jc w:val="both"/>
        <w:rPr>
          <w:rFonts w:ascii="Times New Roman" w:hAnsi="Times New Roman" w:cs="Times New Roman"/>
          <w:sz w:val="28"/>
          <w:szCs w:val="28"/>
        </w:rPr>
      </w:pPr>
    </w:p>
    <w:p w14:paraId="4A039648" w14:textId="77777777" w:rsidR="002D5680" w:rsidRDefault="002F33D0" w:rsidP="002D5680">
      <w:pPr>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 xml:space="preserve">где </w:t>
      </w:r>
    </w:p>
    <w:p w14:paraId="6F6B16D2" w14:textId="7B2EB5DB" w:rsidR="002F33D0" w:rsidRPr="002F33D0" w:rsidRDefault="001D4931" w:rsidP="002D5680">
      <w:pPr>
        <w:spacing w:after="0" w:line="240" w:lineRule="auto"/>
        <w:ind w:firstLine="567"/>
        <w:jc w:val="both"/>
        <w:rPr>
          <w:rFonts w:ascii="Times New Roman" w:hAnsi="Times New Roman" w:cs="Times New Roman"/>
          <w:sz w:val="28"/>
          <w:szCs w:val="28"/>
          <w:lang w:val="kk-KZ"/>
        </w:rPr>
      </w:pPr>
      <m:oMath>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X</m:t>
            </m:r>
          </m:e>
          <m:sub>
            <m:r>
              <w:rPr>
                <w:rFonts w:ascii="Cambria Math" w:eastAsia="Cambria Math" w:hAnsi="Cambria Math" w:cs="Times New Roman"/>
                <w:sz w:val="28"/>
                <w:szCs w:val="28"/>
              </w:rPr>
              <m:t>ij</m:t>
            </m:r>
          </m:sub>
          <m:sup>
            <m:r>
              <w:rPr>
                <w:rFonts w:ascii="Cambria Math" w:eastAsia="Cambria Math" w:hAnsi="Cambria Math" w:cs="Times New Roman"/>
                <w:sz w:val="28"/>
                <w:szCs w:val="28"/>
              </w:rPr>
              <m:t>'</m:t>
            </m:r>
          </m:sup>
        </m:sSubSup>
      </m:oMath>
      <w:r w:rsidR="002F33D0" w:rsidRPr="002F33D0">
        <w:rPr>
          <w:rFonts w:ascii="Times New Roman" w:eastAsiaTheme="minorEastAsia" w:hAnsi="Times New Roman" w:cs="Times New Roman"/>
          <w:sz w:val="28"/>
          <w:szCs w:val="28"/>
          <w:lang w:val="kk-KZ"/>
        </w:rPr>
        <w:t xml:space="preserve"> – нормализованная оценка;</w:t>
      </w:r>
    </w:p>
    <w:p w14:paraId="7A575E96" w14:textId="03CE8617" w:rsidR="002F33D0" w:rsidRPr="002F33D0" w:rsidRDefault="001D4931" w:rsidP="002D5680">
      <w:pPr>
        <w:spacing w:after="0" w:line="240" w:lineRule="auto"/>
        <w:ind w:firstLine="567"/>
        <w:jc w:val="both"/>
        <w:rPr>
          <w:rFonts w:ascii="Times New Roman" w:hAnsi="Times New Roman" w:cs="Times New Roman"/>
          <w:sz w:val="28"/>
          <w:szCs w:val="28"/>
          <w:lang w:val="kk-KZ"/>
        </w:rPr>
      </w:pP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ij</m:t>
            </m:r>
          </m:sub>
        </m:sSub>
      </m:oMath>
      <w:r w:rsidR="002F33D0" w:rsidRPr="002F33D0">
        <w:rPr>
          <w:rFonts w:ascii="Times New Roman" w:eastAsiaTheme="minorEastAsia" w:hAnsi="Times New Roman" w:cs="Times New Roman"/>
          <w:sz w:val="28"/>
          <w:szCs w:val="28"/>
          <w:lang w:val="kk-KZ"/>
        </w:rPr>
        <w:t xml:space="preserve"> – исходная оценка </w:t>
      </w:r>
      <w:r w:rsidR="002F33D0" w:rsidRPr="002F33D0">
        <w:rPr>
          <w:rFonts w:ascii="Times New Roman" w:eastAsiaTheme="minorEastAsia" w:hAnsi="Times New Roman" w:cs="Times New Roman"/>
          <w:i/>
          <w:sz w:val="28"/>
          <w:szCs w:val="28"/>
          <w:lang w:val="kk-KZ"/>
        </w:rPr>
        <w:t>i</w:t>
      </w:r>
      <w:r w:rsidR="002F33D0" w:rsidRPr="002F33D0">
        <w:rPr>
          <w:rFonts w:ascii="Times New Roman" w:eastAsiaTheme="minorEastAsia" w:hAnsi="Times New Roman" w:cs="Times New Roman"/>
          <w:sz w:val="28"/>
          <w:szCs w:val="28"/>
          <w:lang w:val="kk-KZ"/>
        </w:rPr>
        <w:t xml:space="preserve">-го ресурсного компонента по </w:t>
      </w:r>
      <w:r w:rsidR="002F33D0" w:rsidRPr="002F33D0">
        <w:rPr>
          <w:rFonts w:ascii="Times New Roman" w:eastAsiaTheme="minorEastAsia" w:hAnsi="Times New Roman" w:cs="Times New Roman"/>
          <w:i/>
          <w:sz w:val="28"/>
          <w:szCs w:val="28"/>
          <w:lang w:val="kk-KZ"/>
        </w:rPr>
        <w:t>j</w:t>
      </w:r>
      <w:r w:rsidR="002F33D0" w:rsidRPr="002F33D0">
        <w:rPr>
          <w:rFonts w:ascii="Times New Roman" w:eastAsiaTheme="minorEastAsia" w:hAnsi="Times New Roman" w:cs="Times New Roman"/>
          <w:sz w:val="28"/>
          <w:szCs w:val="28"/>
          <w:lang w:val="kk-KZ"/>
        </w:rPr>
        <w:t>-й процессной функции;</w:t>
      </w:r>
      <w:r w:rsidR="002F33D0" w:rsidRPr="002F33D0">
        <w:rPr>
          <w:rFonts w:ascii="Times New Roman" w:hAnsi="Times New Roman" w:cs="Times New Roman"/>
          <w:sz w:val="28"/>
          <w:szCs w:val="28"/>
          <w:lang w:val="kk-KZ"/>
        </w:rPr>
        <w:t xml:space="preserve"> </w:t>
      </w:r>
    </w:p>
    <w:p w14:paraId="04D49AB4" w14:textId="654ED637" w:rsidR="002F33D0" w:rsidRPr="002F33D0" w:rsidRDefault="002F33D0" w:rsidP="002D5680">
      <w:pPr>
        <w:spacing w:after="0" w:line="240" w:lineRule="auto"/>
        <w:ind w:firstLine="567"/>
        <w:jc w:val="both"/>
        <w:rPr>
          <w:rFonts w:ascii="Times New Roman" w:hAnsi="Times New Roman" w:cs="Times New Roman"/>
          <w:sz w:val="28"/>
          <w:szCs w:val="28"/>
          <w:lang w:val="kk-KZ"/>
        </w:rPr>
      </w:pPr>
      <w:r w:rsidRPr="002F33D0">
        <w:rPr>
          <w:rFonts w:ascii="Cambria Math" w:hAnsi="Cambria Math" w:cs="Cambria Math"/>
          <w:sz w:val="28"/>
          <w:szCs w:val="28"/>
          <w:lang w:val="kk-KZ"/>
        </w:rPr>
        <w:t>𝑖</w:t>
      </w:r>
      <w:r w:rsidRPr="002F33D0">
        <w:rPr>
          <w:rFonts w:ascii="Times New Roman" w:hAnsi="Times New Roman" w:cs="Times New Roman"/>
          <w:sz w:val="28"/>
          <w:szCs w:val="28"/>
          <w:lang w:val="kk-KZ"/>
        </w:rPr>
        <w:t>=1…7 – идентификаторы ресурсных компонентов (управленческие, технологические, финансовые, кадровые, культурные, цифровые, институциональные ресурсы);</w:t>
      </w:r>
    </w:p>
    <w:p w14:paraId="6B3FA8C1" w14:textId="565B4188" w:rsidR="002F33D0" w:rsidRPr="002F33D0" w:rsidRDefault="002F33D0" w:rsidP="002D5680">
      <w:pPr>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i/>
          <w:sz w:val="28"/>
          <w:szCs w:val="28"/>
          <w:lang w:val="kk-KZ"/>
        </w:rPr>
        <w:t>j</w:t>
      </w:r>
      <w:r w:rsidRPr="002F33D0">
        <w:rPr>
          <w:rFonts w:ascii="Times New Roman" w:hAnsi="Times New Roman" w:cs="Times New Roman"/>
          <w:sz w:val="28"/>
          <w:szCs w:val="28"/>
          <w:lang w:val="kk-KZ"/>
        </w:rPr>
        <w:t>=1…3 – процессные функции (P</w:t>
      </w:r>
      <w:r w:rsidRPr="002F33D0">
        <w:rPr>
          <w:rFonts w:ascii="Times New Roman" w:hAnsi="Times New Roman" w:cs="Times New Roman"/>
          <w:sz w:val="28"/>
          <w:szCs w:val="28"/>
          <w:vertAlign w:val="subscript"/>
          <w:lang w:val="kk-KZ"/>
        </w:rPr>
        <w:t>1</w:t>
      </w:r>
      <w:r w:rsidRPr="002F33D0">
        <w:rPr>
          <w:rFonts w:ascii="Times New Roman" w:hAnsi="Times New Roman" w:cs="Times New Roman"/>
          <w:sz w:val="28"/>
          <w:szCs w:val="28"/>
          <w:lang w:val="kk-KZ"/>
        </w:rPr>
        <w:t xml:space="preserve"> </w:t>
      </w:r>
      <w:r w:rsidR="009D20AE">
        <w:rPr>
          <w:rFonts w:ascii="Times New Roman" w:hAnsi="Times New Roman" w:cs="Times New Roman"/>
          <w:sz w:val="28"/>
          <w:szCs w:val="28"/>
          <w:lang w:val="kk-KZ"/>
        </w:rPr>
        <w:t>–</w:t>
      </w:r>
      <w:r w:rsidRPr="002F33D0">
        <w:rPr>
          <w:rFonts w:ascii="Times New Roman" w:hAnsi="Times New Roman" w:cs="Times New Roman"/>
          <w:sz w:val="28"/>
          <w:szCs w:val="28"/>
          <w:lang w:val="kk-KZ"/>
        </w:rPr>
        <w:t xml:space="preserve"> формирование, P</w:t>
      </w:r>
      <w:r w:rsidRPr="002F33D0">
        <w:rPr>
          <w:rFonts w:ascii="Times New Roman" w:hAnsi="Times New Roman" w:cs="Times New Roman"/>
          <w:sz w:val="28"/>
          <w:szCs w:val="28"/>
          <w:vertAlign w:val="subscript"/>
          <w:lang w:val="kk-KZ"/>
        </w:rPr>
        <w:t>2</w:t>
      </w:r>
      <w:r w:rsidRPr="002F33D0">
        <w:rPr>
          <w:rFonts w:ascii="Times New Roman" w:hAnsi="Times New Roman" w:cs="Times New Roman"/>
          <w:sz w:val="28"/>
          <w:szCs w:val="28"/>
          <w:lang w:val="kk-KZ"/>
        </w:rPr>
        <w:t xml:space="preserve"> </w:t>
      </w:r>
      <w:r w:rsidR="009D20AE">
        <w:rPr>
          <w:rFonts w:ascii="Times New Roman" w:hAnsi="Times New Roman" w:cs="Times New Roman"/>
          <w:sz w:val="28"/>
          <w:szCs w:val="28"/>
          <w:lang w:val="kk-KZ"/>
        </w:rPr>
        <w:t>–</w:t>
      </w:r>
      <w:r w:rsidRPr="002F33D0">
        <w:rPr>
          <w:rFonts w:ascii="Times New Roman" w:hAnsi="Times New Roman" w:cs="Times New Roman"/>
          <w:sz w:val="28"/>
          <w:szCs w:val="28"/>
          <w:lang w:val="kk-KZ"/>
        </w:rPr>
        <w:t xml:space="preserve"> реализация, P</w:t>
      </w:r>
      <w:r w:rsidRPr="002F33D0">
        <w:rPr>
          <w:rFonts w:ascii="Times New Roman" w:hAnsi="Times New Roman" w:cs="Times New Roman"/>
          <w:sz w:val="28"/>
          <w:szCs w:val="28"/>
          <w:vertAlign w:val="subscript"/>
          <w:lang w:val="kk-KZ"/>
        </w:rPr>
        <w:t>3</w:t>
      </w:r>
      <w:r w:rsidRPr="002F33D0">
        <w:rPr>
          <w:rFonts w:ascii="Times New Roman" w:hAnsi="Times New Roman" w:cs="Times New Roman"/>
          <w:sz w:val="28"/>
          <w:szCs w:val="28"/>
          <w:lang w:val="kk-KZ"/>
        </w:rPr>
        <w:t xml:space="preserve"> </w:t>
      </w:r>
      <w:r w:rsidR="009D20AE">
        <w:rPr>
          <w:rFonts w:ascii="Times New Roman" w:hAnsi="Times New Roman" w:cs="Times New Roman"/>
          <w:sz w:val="28"/>
          <w:szCs w:val="28"/>
          <w:lang w:val="kk-KZ"/>
        </w:rPr>
        <w:t>–</w:t>
      </w:r>
      <w:r w:rsidRPr="002F33D0">
        <w:rPr>
          <w:rFonts w:ascii="Times New Roman" w:hAnsi="Times New Roman" w:cs="Times New Roman"/>
          <w:sz w:val="28"/>
          <w:szCs w:val="28"/>
          <w:lang w:val="kk-KZ"/>
        </w:rPr>
        <w:t xml:space="preserve"> воспроизводство).</w:t>
      </w:r>
    </w:p>
    <w:p w14:paraId="0439EB41" w14:textId="05E1A3AA" w:rsidR="002F33D0" w:rsidRPr="002F33D0" w:rsidRDefault="001D4931" w:rsidP="002D5680">
      <w:pPr>
        <w:spacing w:after="0" w:line="240" w:lineRule="auto"/>
        <w:ind w:firstLine="567"/>
        <w:jc w:val="both"/>
        <w:rPr>
          <w:rFonts w:ascii="Times New Roman" w:eastAsiaTheme="minorEastAsia" w:hAnsi="Times New Roman" w:cs="Times New Roman"/>
          <w:sz w:val="28"/>
          <w:szCs w:val="28"/>
          <w:lang w:val="kk-KZ"/>
        </w:rPr>
      </w:pP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min</m:t>
            </m:r>
          </m:sub>
        </m:sSub>
      </m:oMath>
      <w:r w:rsidR="002F33D0" w:rsidRPr="002F33D0">
        <w:rPr>
          <w:rFonts w:ascii="Times New Roman" w:eastAsiaTheme="minorEastAsia" w:hAnsi="Times New Roman" w:cs="Times New Roman"/>
          <w:sz w:val="28"/>
          <w:szCs w:val="28"/>
          <w:lang w:val="kk-KZ"/>
        </w:rPr>
        <w:t xml:space="preserve"> = 1;</w:t>
      </w:r>
    </w:p>
    <w:p w14:paraId="3D02C8E5" w14:textId="58A11843" w:rsidR="002F33D0" w:rsidRPr="002F33D0" w:rsidRDefault="001D4931" w:rsidP="002D5680">
      <w:pPr>
        <w:spacing w:after="0" w:line="240" w:lineRule="auto"/>
        <w:ind w:firstLine="567"/>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max</m:t>
            </m:r>
          </m:sub>
        </m:sSub>
      </m:oMath>
      <w:r w:rsidR="002F33D0" w:rsidRPr="002F33D0">
        <w:rPr>
          <w:rFonts w:ascii="Times New Roman" w:eastAsiaTheme="minorEastAsia" w:hAnsi="Times New Roman" w:cs="Times New Roman"/>
          <w:sz w:val="28"/>
          <w:szCs w:val="28"/>
          <w:lang w:val="kk-KZ"/>
        </w:rPr>
        <w:t xml:space="preserve"> </w:t>
      </w:r>
      <w:r w:rsidR="002F33D0" w:rsidRPr="002F33D0">
        <w:rPr>
          <w:rFonts w:ascii="Times New Roman" w:eastAsiaTheme="minorEastAsia" w:hAnsi="Times New Roman" w:cs="Times New Roman"/>
          <w:sz w:val="28"/>
          <w:szCs w:val="28"/>
        </w:rPr>
        <w:t>= 5.</w:t>
      </w:r>
    </w:p>
    <w:p w14:paraId="2EE1E072" w14:textId="77777777" w:rsidR="002F33D0" w:rsidRPr="002F33D0" w:rsidRDefault="002F33D0" w:rsidP="002F33D0">
      <w:pPr>
        <w:spacing w:after="0" w:line="240" w:lineRule="auto"/>
        <w:jc w:val="both"/>
        <w:rPr>
          <w:rFonts w:ascii="Times New Roman" w:hAnsi="Times New Roman" w:cs="Times New Roman"/>
          <w:sz w:val="28"/>
          <w:szCs w:val="28"/>
        </w:rPr>
      </w:pPr>
    </w:p>
    <w:p w14:paraId="2A6C346E" w14:textId="77777777"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Нормализация устраняет различия в исходной шкале и делает возможным корректное применение β-коэффициентов.</w:t>
      </w:r>
    </w:p>
    <w:p w14:paraId="14243096" w14:textId="0AB248DA" w:rsidR="002F33D0" w:rsidRPr="002D5680" w:rsidRDefault="002F33D0" w:rsidP="002F33D0">
      <w:pPr>
        <w:spacing w:after="0" w:line="240" w:lineRule="auto"/>
        <w:ind w:firstLine="567"/>
        <w:jc w:val="both"/>
        <w:rPr>
          <w:rFonts w:ascii="Times New Roman" w:eastAsiaTheme="minorEastAsia" w:hAnsi="Times New Roman" w:cs="Times New Roman"/>
          <w:sz w:val="28"/>
          <w:szCs w:val="28"/>
          <w:lang w:val="kk-KZ"/>
        </w:rPr>
      </w:pPr>
      <w:r w:rsidRPr="002F33D0">
        <w:rPr>
          <w:rFonts w:ascii="Times New Roman" w:hAnsi="Times New Roman" w:cs="Times New Roman"/>
          <w:sz w:val="28"/>
          <w:szCs w:val="28"/>
        </w:rPr>
        <w:t xml:space="preserve">На следующем этапе для каждого ресурсного компонента вычисляется агрегированная оценка </w:t>
      </w:r>
      <m:oMath>
        <m:acc>
          <m:accPr>
            <m:chr m:val="̅"/>
            <m:ctrlPr>
              <w:rPr>
                <w:rFonts w:ascii="Cambria Math" w:eastAsia="Cambria Math" w:hAnsi="Cambria Math" w:cs="Times New Roman"/>
                <w:i/>
                <w:sz w:val="28"/>
                <w:szCs w:val="28"/>
              </w:rPr>
            </m:ctrlPr>
          </m:acc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rPr>
                  <m:t>X</m:t>
                </m:r>
              </m:e>
              <m:sub>
                <m:r>
                  <w:rPr>
                    <w:rFonts w:ascii="Cambria Math" w:eastAsia="Cambria Math" w:hAnsi="Cambria Math" w:cs="Times New Roman"/>
                    <w:sz w:val="28"/>
                    <w:szCs w:val="28"/>
                  </w:rPr>
                  <m:t>ij</m:t>
                </m:r>
              </m:sub>
              <m:sup>
                <m:r>
                  <w:rPr>
                    <w:rFonts w:ascii="Cambria Math" w:eastAsia="Cambria Math" w:hAnsi="Cambria Math" w:cs="Times New Roman"/>
                    <w:sz w:val="28"/>
                    <w:szCs w:val="28"/>
                  </w:rPr>
                  <m:t>'</m:t>
                </m:r>
              </m:sup>
            </m:sSubSup>
          </m:e>
        </m:acc>
      </m:oMath>
      <w:r w:rsidRPr="002F33D0">
        <w:rPr>
          <w:rFonts w:ascii="Times New Roman" w:eastAsiaTheme="minorEastAsia" w:hAnsi="Times New Roman" w:cs="Times New Roman"/>
          <w:sz w:val="28"/>
          <w:szCs w:val="28"/>
        </w:rPr>
        <w:t xml:space="preserve"> как среднее значение нормализованных показателей по трём процессным функциям P</w:t>
      </w:r>
      <w:r w:rsidR="00545A2C" w:rsidRPr="00545A2C">
        <w:rPr>
          <w:rFonts w:ascii="Times New Roman" w:eastAsiaTheme="minorEastAsia" w:hAnsi="Times New Roman" w:cs="Times New Roman"/>
          <w:sz w:val="28"/>
          <w:szCs w:val="28"/>
          <w:vertAlign w:val="subscript"/>
          <w:lang w:val="kk-KZ"/>
        </w:rPr>
        <w:t>1</w:t>
      </w:r>
      <w:r w:rsidR="00E27253">
        <w:rPr>
          <w:rFonts w:ascii="Times New Roman" w:eastAsiaTheme="minorEastAsia" w:hAnsi="Times New Roman" w:cs="Times New Roman"/>
          <w:sz w:val="28"/>
          <w:szCs w:val="28"/>
          <w:lang w:val="kk-KZ"/>
        </w:rPr>
        <w:t>-</w:t>
      </w:r>
      <w:r w:rsidRPr="002F33D0">
        <w:rPr>
          <w:rFonts w:ascii="Times New Roman" w:eastAsiaTheme="minorEastAsia" w:hAnsi="Times New Roman" w:cs="Times New Roman"/>
          <w:sz w:val="28"/>
          <w:szCs w:val="28"/>
        </w:rPr>
        <w:t>P</w:t>
      </w:r>
      <w:r w:rsidR="00545A2C" w:rsidRPr="00545A2C">
        <w:rPr>
          <w:rFonts w:ascii="Times New Roman" w:eastAsiaTheme="minorEastAsia" w:hAnsi="Times New Roman" w:cs="Times New Roman"/>
          <w:sz w:val="28"/>
          <w:szCs w:val="28"/>
          <w:vertAlign w:val="subscript"/>
          <w:lang w:val="kk-KZ"/>
        </w:rPr>
        <w:t>3</w:t>
      </w:r>
      <w:r w:rsidR="002D5680">
        <w:rPr>
          <w:rFonts w:ascii="Times New Roman" w:eastAsiaTheme="minorEastAsia" w:hAnsi="Times New Roman" w:cs="Times New Roman"/>
          <w:sz w:val="28"/>
          <w:szCs w:val="28"/>
          <w:lang w:val="kk-KZ"/>
        </w:rPr>
        <w:t xml:space="preserve"> (</w:t>
      </w:r>
      <w:r w:rsidR="00FD618C">
        <w:rPr>
          <w:rFonts w:ascii="Times New Roman" w:eastAsiaTheme="minorEastAsia" w:hAnsi="Times New Roman" w:cs="Times New Roman"/>
          <w:sz w:val="28"/>
          <w:szCs w:val="28"/>
          <w:lang w:val="kk-KZ"/>
        </w:rPr>
        <w:t>21</w:t>
      </w:r>
      <w:r w:rsidR="002D5680">
        <w:rPr>
          <w:rFonts w:ascii="Times New Roman" w:eastAsiaTheme="minorEastAsia" w:hAnsi="Times New Roman" w:cs="Times New Roman"/>
          <w:sz w:val="28"/>
          <w:szCs w:val="28"/>
          <w:lang w:val="kk-KZ"/>
        </w:rPr>
        <w:t>).</w:t>
      </w:r>
    </w:p>
    <w:p w14:paraId="4B68AF0D" w14:textId="77777777" w:rsidR="002F33D0" w:rsidRPr="002F33D0" w:rsidRDefault="002F33D0" w:rsidP="002F33D0">
      <w:pPr>
        <w:spacing w:after="0" w:line="240" w:lineRule="auto"/>
        <w:jc w:val="both"/>
        <w:rPr>
          <w:rFonts w:ascii="Times New Roman" w:eastAsiaTheme="minorEastAsia"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2F33D0" w:rsidRPr="002F33D0" w14:paraId="4E017FAD" w14:textId="77777777" w:rsidTr="002F33D0">
        <w:tc>
          <w:tcPr>
            <w:tcW w:w="8642" w:type="dxa"/>
          </w:tcPr>
          <w:p w14:paraId="0A106748" w14:textId="77777777" w:rsidR="002F33D0" w:rsidRPr="002F33D0" w:rsidRDefault="001D4931" w:rsidP="002F33D0">
            <w:pPr>
              <w:ind w:firstLine="0"/>
              <w:jc w:val="both"/>
              <w:rPr>
                <w:sz w:val="28"/>
                <w:szCs w:val="28"/>
              </w:rPr>
            </w:pPr>
            <m:oMathPara>
              <m:oMath>
                <m:acc>
                  <m:accPr>
                    <m:chr m:val="̅"/>
                    <m:ctrlPr>
                      <w:rPr>
                        <w:rFonts w:ascii="Cambria Math" w:eastAsia="Cambria Math" w:hAnsi="Cambria Math"/>
                        <w:i/>
                        <w:sz w:val="28"/>
                        <w:szCs w:val="28"/>
                      </w:rPr>
                    </m:ctrlPr>
                  </m:accPr>
                  <m:e>
                    <m:sSubSup>
                      <m:sSubSupPr>
                        <m:ctrlPr>
                          <w:rPr>
                            <w:rFonts w:ascii="Cambria Math" w:eastAsia="Cambria Math" w:hAnsi="Cambria Math"/>
                            <w:i/>
                            <w:sz w:val="28"/>
                            <w:szCs w:val="28"/>
                          </w:rPr>
                        </m:ctrlPr>
                      </m:sSubSupPr>
                      <m:e>
                        <m:r>
                          <w:rPr>
                            <w:rFonts w:ascii="Cambria Math" w:eastAsia="Cambria Math" w:hAnsi="Cambria Math"/>
                            <w:sz w:val="28"/>
                            <w:szCs w:val="28"/>
                            <w:lang w:val="en-US"/>
                          </w:rPr>
                          <m:t>X</m:t>
                        </m:r>
                      </m:e>
                      <m:sub>
                        <m:r>
                          <w:rPr>
                            <w:rFonts w:ascii="Cambria Math" w:eastAsia="Cambria Math" w:hAnsi="Cambria Math"/>
                            <w:sz w:val="28"/>
                            <w:szCs w:val="28"/>
                          </w:rPr>
                          <m:t>i</m:t>
                        </m:r>
                      </m:sub>
                      <m:sup>
                        <m:r>
                          <w:rPr>
                            <w:rFonts w:ascii="Cambria Math" w:eastAsia="Cambria Math" w:hAnsi="Cambria Math"/>
                            <w:sz w:val="28"/>
                            <w:szCs w:val="28"/>
                          </w:rPr>
                          <m:t>'</m:t>
                        </m:r>
                      </m:sup>
                    </m:sSubSup>
                  </m:e>
                </m:acc>
                <m:r>
                  <w:rPr>
                    <w:rFonts w:ascii="Cambria Math" w:eastAsia="Cambria Math" w:hAnsi="Cambria Math"/>
                    <w:sz w:val="28"/>
                    <w:szCs w:val="28"/>
                  </w:rPr>
                  <m:t>=</m:t>
                </m:r>
                <m:f>
                  <m:fPr>
                    <m:ctrlPr>
                      <w:rPr>
                        <w:rFonts w:ascii="Cambria Math" w:hAnsi="Cambria Math"/>
                        <w:sz w:val="28"/>
                        <w:szCs w:val="28"/>
                      </w:rPr>
                    </m:ctrlPr>
                  </m:fPr>
                  <m:num>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X</m:t>
                        </m:r>
                      </m:e>
                      <m:sub>
                        <m:r>
                          <w:rPr>
                            <w:rFonts w:ascii="Cambria Math" w:hAnsi="Cambria Math"/>
                            <w:sz w:val="28"/>
                            <w:szCs w:val="28"/>
                          </w:rPr>
                          <m:t>i1</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X</m:t>
                        </m:r>
                      </m:e>
                      <m:sub>
                        <m:r>
                          <w:rPr>
                            <w:rFonts w:ascii="Cambria Math" w:hAnsi="Cambria Math"/>
                            <w:sz w:val="28"/>
                            <w:szCs w:val="28"/>
                          </w:rPr>
                          <m:t>i2</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X</m:t>
                        </m:r>
                      </m:e>
                      <m:sub>
                        <m:r>
                          <w:rPr>
                            <w:rFonts w:ascii="Cambria Math" w:hAnsi="Cambria Math"/>
                            <w:sz w:val="28"/>
                            <w:szCs w:val="28"/>
                          </w:rPr>
                          <m:t>i3</m:t>
                        </m:r>
                      </m:sub>
                      <m:sup>
                        <m:r>
                          <w:rPr>
                            <w:rFonts w:ascii="Cambria Math" w:hAnsi="Cambria Math"/>
                            <w:sz w:val="28"/>
                            <w:szCs w:val="28"/>
                          </w:rPr>
                          <m:t>'</m:t>
                        </m:r>
                      </m:sup>
                    </m:sSubSup>
                    <m:r>
                      <w:rPr>
                        <w:rFonts w:ascii="Cambria Math" w:hAnsi="Cambria Math"/>
                        <w:sz w:val="28"/>
                        <w:szCs w:val="28"/>
                      </w:rPr>
                      <m:t>)</m:t>
                    </m:r>
                  </m:num>
                  <m:den>
                    <m:r>
                      <w:rPr>
                        <w:rFonts w:ascii="Cambria Math" w:hAnsi="Cambria Math"/>
                        <w:sz w:val="28"/>
                        <w:szCs w:val="28"/>
                      </w:rPr>
                      <m:t>3</m:t>
                    </m:r>
                  </m:den>
                </m:f>
              </m:oMath>
            </m:oMathPara>
          </w:p>
        </w:tc>
        <w:tc>
          <w:tcPr>
            <w:tcW w:w="703" w:type="dxa"/>
            <w:vAlign w:val="center"/>
          </w:tcPr>
          <w:p w14:paraId="3256FBAA" w14:textId="1C0876B1" w:rsidR="002F33D0" w:rsidRPr="002F33D0" w:rsidRDefault="002F33D0" w:rsidP="00FD618C">
            <w:pPr>
              <w:ind w:firstLine="0"/>
              <w:jc w:val="both"/>
              <w:rPr>
                <w:sz w:val="28"/>
                <w:szCs w:val="28"/>
              </w:rPr>
            </w:pPr>
            <w:r w:rsidRPr="002F33D0">
              <w:rPr>
                <w:sz w:val="28"/>
                <w:szCs w:val="28"/>
                <w:lang w:val="kk-KZ"/>
              </w:rPr>
              <w:t>(</w:t>
            </w:r>
            <w:r w:rsidR="00FD618C">
              <w:rPr>
                <w:sz w:val="28"/>
                <w:szCs w:val="28"/>
                <w:lang w:val="kk-KZ"/>
              </w:rPr>
              <w:t>21</w:t>
            </w:r>
            <w:r w:rsidRPr="002F33D0">
              <w:rPr>
                <w:sz w:val="28"/>
                <w:szCs w:val="28"/>
                <w:lang w:val="kk-KZ"/>
              </w:rPr>
              <w:t>)</w:t>
            </w:r>
          </w:p>
        </w:tc>
      </w:tr>
    </w:tbl>
    <w:p w14:paraId="2A8BDE4D" w14:textId="77777777" w:rsidR="002F33D0" w:rsidRPr="002F33D0" w:rsidRDefault="002F33D0" w:rsidP="002F33D0">
      <w:pPr>
        <w:spacing w:after="0" w:line="240" w:lineRule="auto"/>
        <w:jc w:val="both"/>
        <w:rPr>
          <w:rFonts w:ascii="Times New Roman" w:hAnsi="Times New Roman" w:cs="Times New Roman"/>
          <w:sz w:val="28"/>
          <w:szCs w:val="28"/>
        </w:rPr>
      </w:pPr>
    </w:p>
    <w:p w14:paraId="5FBE2E86" w14:textId="77777777" w:rsidR="002D5680" w:rsidRDefault="002F33D0" w:rsidP="002D5680">
      <w:pPr>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 xml:space="preserve">где </w:t>
      </w:r>
    </w:p>
    <w:p w14:paraId="52DBEA44" w14:textId="56F06777" w:rsidR="002F33D0" w:rsidRPr="002F33D0" w:rsidRDefault="001D4931" w:rsidP="002D5680">
      <w:pPr>
        <w:spacing w:after="0" w:line="240" w:lineRule="auto"/>
        <w:ind w:firstLine="567"/>
        <w:jc w:val="both"/>
        <w:rPr>
          <w:rFonts w:ascii="Times New Roman" w:eastAsiaTheme="minorEastAsia" w:hAnsi="Times New Roman" w:cs="Times New Roman"/>
          <w:sz w:val="28"/>
          <w:szCs w:val="28"/>
          <w:lang w:val="kk-KZ"/>
        </w:rPr>
      </w:pPr>
      <m:oMath>
        <m:acc>
          <m:accPr>
            <m:chr m:val="̅"/>
            <m:ctrlPr>
              <w:rPr>
                <w:rFonts w:ascii="Cambria Math" w:eastAsia="Cambria Math" w:hAnsi="Cambria Math" w:cs="Times New Roman"/>
                <w:i/>
                <w:sz w:val="28"/>
                <w:szCs w:val="28"/>
              </w:rPr>
            </m:ctrlPr>
          </m:accPr>
          <m:e>
            <m:sSubSup>
              <m:sSubSupPr>
                <m:ctrlPr>
                  <w:rPr>
                    <w:rFonts w:ascii="Cambria Math" w:eastAsia="Cambria Math" w:hAnsi="Cambria Math" w:cs="Times New Roman"/>
                    <w:i/>
                    <w:sz w:val="28"/>
                    <w:szCs w:val="28"/>
                  </w:rPr>
                </m:ctrlPr>
              </m:sSubSupPr>
              <m:e>
                <m:r>
                  <w:rPr>
                    <w:rFonts w:ascii="Cambria Math" w:eastAsia="Cambria Math" w:hAnsi="Cambria Math" w:cs="Times New Roman"/>
                    <w:sz w:val="28"/>
                    <w:szCs w:val="28"/>
                    <w:lang w:val="en-US"/>
                  </w:rPr>
                  <m:t>X</m:t>
                </m:r>
              </m:e>
              <m:sub>
                <m:r>
                  <w:rPr>
                    <w:rFonts w:ascii="Cambria Math" w:eastAsia="Cambria Math" w:hAnsi="Cambria Math" w:cs="Times New Roman"/>
                    <w:sz w:val="28"/>
                    <w:szCs w:val="28"/>
                  </w:rPr>
                  <m:t>i</m:t>
                </m:r>
              </m:sub>
              <m:sup>
                <m:r>
                  <w:rPr>
                    <w:rFonts w:ascii="Cambria Math" w:eastAsia="Cambria Math" w:hAnsi="Cambria Math" w:cs="Times New Roman"/>
                    <w:sz w:val="28"/>
                    <w:szCs w:val="28"/>
                  </w:rPr>
                  <m:t>'</m:t>
                </m:r>
              </m:sup>
            </m:sSubSup>
          </m:e>
        </m:acc>
      </m:oMath>
      <w:r w:rsidR="002F33D0" w:rsidRPr="002F33D0">
        <w:rPr>
          <w:rFonts w:ascii="Times New Roman" w:eastAsiaTheme="minorEastAsia" w:hAnsi="Times New Roman" w:cs="Times New Roman"/>
          <w:sz w:val="28"/>
          <w:szCs w:val="28"/>
          <w:lang w:val="kk-KZ"/>
        </w:rPr>
        <w:t xml:space="preserve"> </w:t>
      </w:r>
      <w:r w:rsidR="002F33D0" w:rsidRPr="002F33D0">
        <w:rPr>
          <w:rFonts w:ascii="Times New Roman" w:hAnsi="Times New Roman" w:cs="Times New Roman"/>
          <w:sz w:val="28"/>
          <w:szCs w:val="28"/>
          <w:lang w:val="kk-KZ"/>
        </w:rPr>
        <w:t>–</w:t>
      </w:r>
      <w:r w:rsidR="002F33D0" w:rsidRPr="002F33D0">
        <w:rPr>
          <w:rFonts w:ascii="Times New Roman" w:eastAsiaTheme="minorEastAsia" w:hAnsi="Times New Roman" w:cs="Times New Roman"/>
          <w:sz w:val="28"/>
          <w:szCs w:val="28"/>
          <w:lang w:val="kk-KZ"/>
        </w:rPr>
        <w:t xml:space="preserve"> агрегированная нормализованная оценка i-го ресурса;</w:t>
      </w:r>
    </w:p>
    <w:p w14:paraId="59B718AE" w14:textId="2EBF7DA9" w:rsidR="002F33D0" w:rsidRPr="002F33D0" w:rsidRDefault="001D4931" w:rsidP="002D5680">
      <w:pPr>
        <w:spacing w:after="0" w:line="240" w:lineRule="auto"/>
        <w:ind w:firstLine="567"/>
        <w:jc w:val="both"/>
        <w:rPr>
          <w:rFonts w:ascii="Times New Roman" w:hAnsi="Times New Roman" w:cs="Times New Roman"/>
          <w:sz w:val="28"/>
          <w:szCs w:val="28"/>
          <w:lang w:val="kk-KZ"/>
        </w:rPr>
      </w:pPr>
      <m:oMath>
        <m:sSubSup>
          <m:sSubSupPr>
            <m:ctrlPr>
              <w:rPr>
                <w:rFonts w:ascii="Cambria Math" w:hAnsi="Cambria Math" w:cs="Times New Roman"/>
                <w:i/>
                <w:sz w:val="28"/>
                <w:szCs w:val="28"/>
              </w:rPr>
            </m:ctrlPr>
          </m:sSubSupPr>
          <m:e>
            <m:r>
              <w:rPr>
                <w:rFonts w:ascii="Cambria Math" w:hAnsi="Cambria Math" w:cs="Times New Roman"/>
                <w:sz w:val="28"/>
                <w:szCs w:val="28"/>
              </w:rPr>
              <m:t>X</m:t>
            </m:r>
          </m:e>
          <m:sub>
            <m:r>
              <w:rPr>
                <w:rFonts w:ascii="Cambria Math" w:hAnsi="Cambria Math" w:cs="Times New Roman"/>
                <w:sz w:val="28"/>
                <w:szCs w:val="28"/>
              </w:rPr>
              <m:t>i1</m:t>
            </m:r>
          </m:sub>
          <m:sup>
            <m:r>
              <w:rPr>
                <w:rFonts w:ascii="Cambria Math" w:hAnsi="Cambria Math" w:cs="Times New Roman"/>
                <w:sz w:val="28"/>
                <w:szCs w:val="28"/>
              </w:rPr>
              <m:t>'</m:t>
            </m:r>
          </m:sup>
        </m:sSubSup>
      </m:oMath>
      <w:r w:rsidR="002F33D0" w:rsidRPr="002F33D0">
        <w:rPr>
          <w:rFonts w:ascii="Times New Roman" w:eastAsiaTheme="minorEastAsia" w:hAnsi="Times New Roman" w:cs="Times New Roman"/>
          <w:sz w:val="28"/>
          <w:szCs w:val="28"/>
          <w:lang w:val="kk-KZ"/>
        </w:rPr>
        <w:t xml:space="preserve">, </w:t>
      </w:r>
      <m:oMath>
        <m:sSubSup>
          <m:sSubSupPr>
            <m:ctrlPr>
              <w:rPr>
                <w:rFonts w:ascii="Cambria Math" w:hAnsi="Cambria Math" w:cs="Times New Roman"/>
                <w:i/>
                <w:sz w:val="28"/>
                <w:szCs w:val="28"/>
              </w:rPr>
            </m:ctrlPr>
          </m:sSubSupPr>
          <m:e>
            <m:r>
              <w:rPr>
                <w:rFonts w:ascii="Cambria Math" w:hAnsi="Cambria Math" w:cs="Times New Roman"/>
                <w:sz w:val="28"/>
                <w:szCs w:val="28"/>
              </w:rPr>
              <m:t>X</m:t>
            </m:r>
          </m:e>
          <m:sub>
            <m:r>
              <w:rPr>
                <w:rFonts w:ascii="Cambria Math" w:hAnsi="Cambria Math" w:cs="Times New Roman"/>
                <w:sz w:val="28"/>
                <w:szCs w:val="28"/>
              </w:rPr>
              <m:t>i2</m:t>
            </m:r>
          </m:sub>
          <m:sup>
            <m:r>
              <w:rPr>
                <w:rFonts w:ascii="Cambria Math" w:hAnsi="Cambria Math" w:cs="Times New Roman"/>
                <w:sz w:val="28"/>
                <w:szCs w:val="28"/>
              </w:rPr>
              <m:t>'</m:t>
            </m:r>
          </m:sup>
        </m:sSubSup>
      </m:oMath>
      <w:r w:rsidR="002F33D0" w:rsidRPr="002F33D0">
        <w:rPr>
          <w:rFonts w:ascii="Times New Roman" w:eastAsiaTheme="minorEastAsia" w:hAnsi="Times New Roman" w:cs="Times New Roman"/>
          <w:sz w:val="28"/>
          <w:szCs w:val="28"/>
          <w:lang w:val="kk-KZ"/>
        </w:rPr>
        <w:t xml:space="preserve">, </w:t>
      </w:r>
      <m:oMath>
        <m:sSubSup>
          <m:sSubSupPr>
            <m:ctrlPr>
              <w:rPr>
                <w:rFonts w:ascii="Cambria Math" w:hAnsi="Cambria Math" w:cs="Times New Roman"/>
                <w:i/>
                <w:sz w:val="28"/>
                <w:szCs w:val="28"/>
              </w:rPr>
            </m:ctrlPr>
          </m:sSubSupPr>
          <m:e>
            <m:r>
              <w:rPr>
                <w:rFonts w:ascii="Cambria Math" w:hAnsi="Cambria Math" w:cs="Times New Roman"/>
                <w:sz w:val="28"/>
                <w:szCs w:val="28"/>
              </w:rPr>
              <m:t>X</m:t>
            </m:r>
          </m:e>
          <m:sub>
            <m:r>
              <w:rPr>
                <w:rFonts w:ascii="Cambria Math" w:hAnsi="Cambria Math" w:cs="Times New Roman"/>
                <w:sz w:val="28"/>
                <w:szCs w:val="28"/>
              </w:rPr>
              <m:t>i3</m:t>
            </m:r>
          </m:sub>
          <m:sup>
            <m:r>
              <w:rPr>
                <w:rFonts w:ascii="Cambria Math" w:hAnsi="Cambria Math" w:cs="Times New Roman"/>
                <w:sz w:val="28"/>
                <w:szCs w:val="28"/>
              </w:rPr>
              <m:t>'</m:t>
            </m:r>
          </m:sup>
        </m:sSubSup>
      </m:oMath>
      <w:r w:rsidR="002F33D0" w:rsidRPr="002F33D0">
        <w:rPr>
          <w:rFonts w:ascii="Times New Roman" w:eastAsiaTheme="minorEastAsia" w:hAnsi="Times New Roman" w:cs="Times New Roman"/>
          <w:sz w:val="28"/>
          <w:szCs w:val="28"/>
          <w:lang w:val="kk-KZ"/>
        </w:rPr>
        <w:t xml:space="preserve"> </w:t>
      </w:r>
      <w:r w:rsidR="002F33D0" w:rsidRPr="002F33D0">
        <w:rPr>
          <w:rFonts w:ascii="Times New Roman" w:hAnsi="Times New Roman" w:cs="Times New Roman"/>
          <w:sz w:val="28"/>
          <w:szCs w:val="28"/>
          <w:lang w:val="kk-KZ"/>
        </w:rPr>
        <w:t>–</w:t>
      </w:r>
      <w:r w:rsidR="002F33D0" w:rsidRPr="002F33D0">
        <w:rPr>
          <w:rFonts w:ascii="Times New Roman" w:eastAsiaTheme="minorEastAsia" w:hAnsi="Times New Roman" w:cs="Times New Roman"/>
          <w:sz w:val="28"/>
          <w:szCs w:val="28"/>
          <w:lang w:val="kk-KZ"/>
        </w:rPr>
        <w:t xml:space="preserve"> нормализованные оценки по процессам </w:t>
      </w:r>
      <w:r w:rsidR="002F33D0" w:rsidRPr="002F33D0">
        <w:rPr>
          <w:rFonts w:ascii="Times New Roman" w:hAnsi="Times New Roman" w:cs="Times New Roman"/>
          <w:sz w:val="28"/>
          <w:szCs w:val="28"/>
          <w:lang w:val="kk-KZ"/>
        </w:rPr>
        <w:t>P</w:t>
      </w:r>
      <w:r w:rsidR="002F33D0" w:rsidRPr="002F33D0">
        <w:rPr>
          <w:rFonts w:ascii="Times New Roman" w:hAnsi="Times New Roman" w:cs="Times New Roman"/>
          <w:sz w:val="28"/>
          <w:szCs w:val="28"/>
          <w:vertAlign w:val="subscript"/>
          <w:lang w:val="kk-KZ"/>
        </w:rPr>
        <w:t>1</w:t>
      </w:r>
      <w:r w:rsidR="002F33D0" w:rsidRPr="002F33D0">
        <w:rPr>
          <w:rFonts w:ascii="Times New Roman" w:hAnsi="Times New Roman" w:cs="Times New Roman"/>
          <w:sz w:val="28"/>
          <w:szCs w:val="28"/>
          <w:lang w:val="kk-KZ"/>
        </w:rPr>
        <w:t>, P</w:t>
      </w:r>
      <w:r w:rsidR="002F33D0" w:rsidRPr="002F33D0">
        <w:rPr>
          <w:rFonts w:ascii="Times New Roman" w:hAnsi="Times New Roman" w:cs="Times New Roman"/>
          <w:sz w:val="28"/>
          <w:szCs w:val="28"/>
          <w:vertAlign w:val="subscript"/>
          <w:lang w:val="kk-KZ"/>
        </w:rPr>
        <w:t>2</w:t>
      </w:r>
      <w:r w:rsidR="002F33D0" w:rsidRPr="002F33D0">
        <w:rPr>
          <w:rFonts w:ascii="Times New Roman" w:hAnsi="Times New Roman" w:cs="Times New Roman"/>
          <w:sz w:val="28"/>
          <w:szCs w:val="28"/>
          <w:lang w:val="kk-KZ"/>
        </w:rPr>
        <w:t>, P</w:t>
      </w:r>
      <w:r w:rsidR="002F33D0" w:rsidRPr="002F33D0">
        <w:rPr>
          <w:rFonts w:ascii="Times New Roman" w:hAnsi="Times New Roman" w:cs="Times New Roman"/>
          <w:sz w:val="28"/>
          <w:szCs w:val="28"/>
          <w:vertAlign w:val="subscript"/>
          <w:lang w:val="kk-KZ"/>
        </w:rPr>
        <w:t>3</w:t>
      </w:r>
      <w:r w:rsidR="002F33D0" w:rsidRPr="002F33D0">
        <w:rPr>
          <w:rFonts w:ascii="Times New Roman" w:hAnsi="Times New Roman" w:cs="Times New Roman"/>
          <w:sz w:val="28"/>
          <w:szCs w:val="28"/>
          <w:lang w:val="kk-KZ"/>
        </w:rPr>
        <w:t>.</w:t>
      </w:r>
    </w:p>
    <w:p w14:paraId="603AAD37" w14:textId="77777777" w:rsidR="002F33D0" w:rsidRPr="002F33D0" w:rsidRDefault="002F33D0" w:rsidP="002F33D0">
      <w:pPr>
        <w:spacing w:after="0" w:line="240" w:lineRule="auto"/>
        <w:jc w:val="both"/>
        <w:rPr>
          <w:rFonts w:ascii="Times New Roman" w:hAnsi="Times New Roman" w:cs="Times New Roman"/>
          <w:sz w:val="28"/>
          <w:szCs w:val="28"/>
          <w:lang w:val="kk-KZ"/>
        </w:rPr>
      </w:pPr>
    </w:p>
    <w:p w14:paraId="4614074C" w14:textId="77777777"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Полученное значение отражает не только уровень обеспеченности ресурсом, но и степень его включённости в инновационные процессы.</w:t>
      </w:r>
    </w:p>
    <w:p w14:paraId="0968D32B" w14:textId="03510984"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На следующем шаге агрегированные показатели умножаются на ста</w:t>
      </w:r>
      <w:r w:rsidR="00545A2C">
        <w:rPr>
          <w:rFonts w:ascii="Times New Roman" w:hAnsi="Times New Roman" w:cs="Times New Roman"/>
          <w:sz w:val="28"/>
          <w:szCs w:val="28"/>
        </w:rPr>
        <w:t>ндартизированные β-коэффициенты</w:t>
      </w:r>
      <w:r w:rsidR="002D5680">
        <w:rPr>
          <w:rFonts w:ascii="Times New Roman" w:hAnsi="Times New Roman" w:cs="Times New Roman"/>
          <w:sz w:val="28"/>
          <w:szCs w:val="28"/>
          <w:lang w:val="kk-KZ"/>
        </w:rPr>
        <w:t xml:space="preserve"> (</w:t>
      </w:r>
      <w:r w:rsidR="00FD618C">
        <w:rPr>
          <w:rFonts w:ascii="Times New Roman" w:hAnsi="Times New Roman" w:cs="Times New Roman"/>
          <w:sz w:val="28"/>
          <w:szCs w:val="28"/>
          <w:lang w:val="kk-KZ"/>
        </w:rPr>
        <w:t>22</w:t>
      </w:r>
      <w:r w:rsidR="002D5680">
        <w:rPr>
          <w:rFonts w:ascii="Times New Roman" w:hAnsi="Times New Roman" w:cs="Times New Roman"/>
          <w:sz w:val="28"/>
          <w:szCs w:val="28"/>
          <w:lang w:val="kk-KZ"/>
        </w:rPr>
        <w:t>)</w:t>
      </w:r>
      <w:r w:rsidRPr="002F33D0">
        <w:rPr>
          <w:rFonts w:ascii="Times New Roman" w:hAnsi="Times New Roman" w:cs="Times New Roman"/>
          <w:sz w:val="28"/>
          <w:szCs w:val="28"/>
        </w:rPr>
        <w:t>. Это позволяет определить вклад каждого ресурса в общий уровень инновационного потенциала.</w:t>
      </w:r>
    </w:p>
    <w:p w14:paraId="1579C2F5" w14:textId="77777777" w:rsidR="002F33D0" w:rsidRPr="002F33D0" w:rsidRDefault="002F33D0" w:rsidP="002F33D0">
      <w:pPr>
        <w:spacing w:after="0" w:line="240" w:lineRule="auto"/>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2F33D0" w:rsidRPr="002F33D0" w14:paraId="3B3E876D" w14:textId="77777777" w:rsidTr="002F33D0">
        <w:tc>
          <w:tcPr>
            <w:tcW w:w="8642" w:type="dxa"/>
          </w:tcPr>
          <w:p w14:paraId="7B38FC87" w14:textId="77777777" w:rsidR="002F33D0" w:rsidRPr="002F33D0" w:rsidRDefault="001D4931" w:rsidP="002F33D0">
            <w:pPr>
              <w:ind w:firstLine="0"/>
              <w:jc w:val="both"/>
              <w:rPr>
                <w:sz w:val="28"/>
                <w:szCs w:val="28"/>
              </w:rPr>
            </w:pPr>
            <m:oMathPara>
              <m:oMath>
                <m:sSub>
                  <m:sSubPr>
                    <m:ctrlPr>
                      <w:rPr>
                        <w:rFonts w:ascii="Cambria Math" w:eastAsia="Cambria Math" w:hAnsi="Cambria Math"/>
                        <w:i/>
                        <w:sz w:val="28"/>
                        <w:szCs w:val="28"/>
                      </w:rPr>
                    </m:ctrlPr>
                  </m:sSubPr>
                  <m:e>
                    <m:r>
                      <w:rPr>
                        <w:rFonts w:ascii="Cambria Math" w:eastAsia="Cambria Math" w:hAnsi="Cambria Math"/>
                        <w:sz w:val="28"/>
                        <w:szCs w:val="28"/>
                      </w:rPr>
                      <m:t>W</m:t>
                    </m:r>
                  </m:e>
                  <m:sub>
                    <m:r>
                      <w:rPr>
                        <w:rFonts w:ascii="Cambria Math" w:eastAsia="Cambria Math" w:hAnsi="Cambria Math"/>
                        <w:sz w:val="28"/>
                        <w:szCs w:val="28"/>
                      </w:rPr>
                      <m:t>i</m:t>
                    </m:r>
                  </m:sub>
                </m:sSub>
                <m:r>
                  <w:rPr>
                    <w:rFonts w:ascii="Cambria Math" w:eastAsia="Cambria Math" w:hAnsi="Cambria Math"/>
                    <w:sz w:val="28"/>
                    <w:szCs w:val="28"/>
                  </w:rPr>
                  <m:t>=</m:t>
                </m:r>
                <m:sSub>
                  <m:sSubPr>
                    <m:ctrlPr>
                      <w:rPr>
                        <w:rFonts w:ascii="Cambria Math" w:hAnsi="Cambria Math"/>
                        <w:sz w:val="28"/>
                        <w:szCs w:val="28"/>
                      </w:rPr>
                    </m:ctrlPr>
                  </m:sSubPr>
                  <m:e>
                    <m:r>
                      <w:rPr>
                        <w:rFonts w:ascii="Cambria Math" w:hAnsi="Cambria Math"/>
                        <w:sz w:val="28"/>
                        <w:szCs w:val="28"/>
                      </w:rPr>
                      <m:t>β</m:t>
                    </m:r>
                  </m:e>
                  <m:sub>
                    <m:r>
                      <w:rPr>
                        <w:rFonts w:ascii="Cambria Math" w:hAnsi="Cambria Math"/>
                        <w:sz w:val="28"/>
                        <w:szCs w:val="28"/>
                      </w:rPr>
                      <m:t>i</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X</m:t>
                    </m:r>
                  </m:e>
                  <m:sub>
                    <m:r>
                      <w:rPr>
                        <w:rFonts w:ascii="Cambria Math" w:hAnsi="Cambria Math"/>
                        <w:sz w:val="28"/>
                        <w:szCs w:val="28"/>
                      </w:rPr>
                      <m:t>i</m:t>
                    </m:r>
                  </m:sub>
                  <m:sup>
                    <m:r>
                      <w:rPr>
                        <w:rFonts w:ascii="Cambria Math" w:hAnsi="Cambria Math"/>
                        <w:sz w:val="28"/>
                        <w:szCs w:val="28"/>
                      </w:rPr>
                      <m:t>'</m:t>
                    </m:r>
                  </m:sup>
                </m:sSubSup>
              </m:oMath>
            </m:oMathPara>
          </w:p>
        </w:tc>
        <w:tc>
          <w:tcPr>
            <w:tcW w:w="703" w:type="dxa"/>
          </w:tcPr>
          <w:p w14:paraId="543CCAD7" w14:textId="707A0104" w:rsidR="002F33D0" w:rsidRPr="002F33D0" w:rsidRDefault="002F33D0" w:rsidP="00FD618C">
            <w:pPr>
              <w:ind w:firstLine="0"/>
              <w:jc w:val="both"/>
              <w:rPr>
                <w:sz w:val="28"/>
                <w:szCs w:val="28"/>
                <w:lang w:val="kk-KZ"/>
              </w:rPr>
            </w:pPr>
            <w:r w:rsidRPr="002F33D0">
              <w:rPr>
                <w:sz w:val="28"/>
                <w:szCs w:val="28"/>
                <w:lang w:val="kk-KZ"/>
              </w:rPr>
              <w:t>(</w:t>
            </w:r>
            <w:r w:rsidR="002D5680">
              <w:rPr>
                <w:sz w:val="28"/>
                <w:szCs w:val="28"/>
                <w:lang w:val="kk-KZ"/>
              </w:rPr>
              <w:t>2</w:t>
            </w:r>
            <w:r w:rsidR="00FD618C">
              <w:rPr>
                <w:sz w:val="28"/>
                <w:szCs w:val="28"/>
                <w:lang w:val="kk-KZ"/>
              </w:rPr>
              <w:t>2</w:t>
            </w:r>
            <w:r w:rsidRPr="002F33D0">
              <w:rPr>
                <w:sz w:val="28"/>
                <w:szCs w:val="28"/>
                <w:lang w:val="kk-KZ"/>
              </w:rPr>
              <w:t>)</w:t>
            </w:r>
          </w:p>
        </w:tc>
      </w:tr>
    </w:tbl>
    <w:p w14:paraId="68DE3AF6" w14:textId="77777777" w:rsidR="002F33D0" w:rsidRPr="002F33D0" w:rsidRDefault="002F33D0" w:rsidP="002F33D0">
      <w:pPr>
        <w:spacing w:after="0" w:line="240" w:lineRule="auto"/>
        <w:jc w:val="both"/>
        <w:rPr>
          <w:rFonts w:ascii="Times New Roman" w:hAnsi="Times New Roman" w:cs="Times New Roman"/>
          <w:sz w:val="28"/>
          <w:szCs w:val="28"/>
        </w:rPr>
      </w:pPr>
    </w:p>
    <w:p w14:paraId="0537765A" w14:textId="77777777" w:rsidR="0082050D" w:rsidRDefault="0082050D" w:rsidP="002D5680">
      <w:pPr>
        <w:spacing w:after="0" w:line="240" w:lineRule="auto"/>
        <w:ind w:firstLine="567"/>
        <w:jc w:val="both"/>
        <w:rPr>
          <w:rFonts w:ascii="Times New Roman" w:hAnsi="Times New Roman" w:cs="Times New Roman"/>
          <w:sz w:val="28"/>
          <w:szCs w:val="28"/>
          <w:lang w:val="kk-KZ"/>
        </w:rPr>
      </w:pPr>
    </w:p>
    <w:p w14:paraId="3F3C3BCF" w14:textId="2D35D4F5" w:rsidR="002D5680" w:rsidRDefault="002D5680" w:rsidP="002D568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г</w:t>
      </w:r>
      <w:r w:rsidR="002F33D0" w:rsidRPr="002F33D0">
        <w:rPr>
          <w:rFonts w:ascii="Times New Roman" w:hAnsi="Times New Roman" w:cs="Times New Roman"/>
          <w:sz w:val="28"/>
          <w:szCs w:val="28"/>
          <w:lang w:val="kk-KZ"/>
        </w:rPr>
        <w:t>де</w:t>
      </w:r>
    </w:p>
    <w:p w14:paraId="3088CB75" w14:textId="1B705366" w:rsidR="002F33D0" w:rsidRPr="002F33D0" w:rsidRDefault="001D4931" w:rsidP="002D5680">
      <w:pPr>
        <w:spacing w:after="0" w:line="240" w:lineRule="auto"/>
        <w:ind w:firstLine="567"/>
        <w:jc w:val="both"/>
        <w:rPr>
          <w:rFonts w:ascii="Times New Roman" w:eastAsiaTheme="minorEastAsia" w:hAnsi="Times New Roman" w:cs="Times New Roman"/>
          <w:sz w:val="28"/>
          <w:szCs w:val="28"/>
          <w:lang w:val="kk-KZ"/>
        </w:rPr>
      </w:pP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W</m:t>
            </m:r>
          </m:e>
          <m:sub>
            <m:r>
              <w:rPr>
                <w:rFonts w:ascii="Cambria Math" w:eastAsia="Cambria Math" w:hAnsi="Cambria Math" w:cs="Times New Roman"/>
                <w:sz w:val="28"/>
                <w:szCs w:val="28"/>
              </w:rPr>
              <m:t>i</m:t>
            </m:r>
          </m:sub>
        </m:sSub>
      </m:oMath>
      <w:r w:rsidR="002F33D0" w:rsidRPr="002F33D0">
        <w:rPr>
          <w:rFonts w:ascii="Times New Roman" w:eastAsiaTheme="minorEastAsia" w:hAnsi="Times New Roman" w:cs="Times New Roman"/>
          <w:sz w:val="28"/>
          <w:szCs w:val="28"/>
          <w:lang w:val="kk-KZ"/>
        </w:rPr>
        <w:t xml:space="preserve"> – взвешенный вклад </w:t>
      </w:r>
      <w:r w:rsidR="002F33D0" w:rsidRPr="002F33D0">
        <w:rPr>
          <w:rFonts w:ascii="Times New Roman" w:eastAsiaTheme="minorEastAsia" w:hAnsi="Times New Roman" w:cs="Times New Roman"/>
          <w:i/>
          <w:sz w:val="28"/>
          <w:szCs w:val="28"/>
          <w:lang w:val="kk-KZ"/>
        </w:rPr>
        <w:t>i</w:t>
      </w:r>
      <w:r w:rsidR="002F33D0" w:rsidRPr="002F33D0">
        <w:rPr>
          <w:rFonts w:ascii="Times New Roman" w:eastAsiaTheme="minorEastAsia" w:hAnsi="Times New Roman" w:cs="Times New Roman"/>
          <w:sz w:val="28"/>
          <w:szCs w:val="28"/>
          <w:lang w:val="kk-KZ"/>
        </w:rPr>
        <w:t>-го ресурса в интегральный индекс инновационного потенциала;</w:t>
      </w:r>
    </w:p>
    <w:p w14:paraId="0AF2040D" w14:textId="66D5C37D" w:rsidR="002F33D0" w:rsidRPr="002F33D0" w:rsidRDefault="001D4931" w:rsidP="002D5680">
      <w:pPr>
        <w:spacing w:after="0" w:line="240" w:lineRule="auto"/>
        <w:ind w:firstLine="567"/>
        <w:jc w:val="both"/>
        <w:rPr>
          <w:rFonts w:ascii="Times New Roman" w:eastAsiaTheme="minorEastAsia" w:hAnsi="Times New Roman" w:cs="Times New Roman"/>
          <w:sz w:val="28"/>
          <w:szCs w:val="28"/>
          <w:lang w:val="kk-KZ"/>
        </w:rPr>
      </w:pPr>
      <m:oMath>
        <m:sSub>
          <m:sSubPr>
            <m:ctrlPr>
              <w:rPr>
                <w:rFonts w:ascii="Cambria Math" w:hAnsi="Cambria Math" w:cs="Times New Roman"/>
                <w:sz w:val="28"/>
                <w:szCs w:val="28"/>
              </w:rPr>
            </m:ctrlPr>
          </m:sSubPr>
          <m:e>
            <m:r>
              <w:rPr>
                <w:rFonts w:ascii="Cambria Math" w:hAnsi="Cambria Math" w:cs="Times New Roman"/>
                <w:sz w:val="28"/>
                <w:szCs w:val="28"/>
              </w:rPr>
              <m:t>β</m:t>
            </m:r>
          </m:e>
          <m:sub>
            <m:r>
              <w:rPr>
                <w:rFonts w:ascii="Cambria Math" w:hAnsi="Cambria Math" w:cs="Times New Roman"/>
                <w:sz w:val="28"/>
                <w:szCs w:val="28"/>
              </w:rPr>
              <m:t>i</m:t>
            </m:r>
          </m:sub>
        </m:sSub>
      </m:oMath>
      <w:r w:rsidR="002F33D0" w:rsidRPr="002F33D0">
        <w:rPr>
          <w:rFonts w:ascii="Times New Roman" w:eastAsiaTheme="minorEastAsia" w:hAnsi="Times New Roman" w:cs="Times New Roman"/>
          <w:sz w:val="28"/>
          <w:szCs w:val="28"/>
          <w:lang w:val="kk-KZ"/>
        </w:rPr>
        <w:t xml:space="preserve"> – стандартизированный коэффициент влияния </w:t>
      </w:r>
      <w:r w:rsidR="002F33D0" w:rsidRPr="002F33D0">
        <w:rPr>
          <w:rFonts w:ascii="Times New Roman" w:eastAsiaTheme="minorEastAsia" w:hAnsi="Times New Roman" w:cs="Times New Roman"/>
          <w:i/>
          <w:sz w:val="28"/>
          <w:szCs w:val="28"/>
          <w:lang w:val="kk-KZ"/>
        </w:rPr>
        <w:t>i</w:t>
      </w:r>
      <w:r w:rsidR="002F33D0" w:rsidRPr="002F33D0">
        <w:rPr>
          <w:rFonts w:ascii="Times New Roman" w:eastAsiaTheme="minorEastAsia" w:hAnsi="Times New Roman" w:cs="Times New Roman"/>
          <w:sz w:val="28"/>
          <w:szCs w:val="28"/>
          <w:lang w:val="kk-KZ"/>
        </w:rPr>
        <w:t>-го ресурса, полученный из SEM или регрессионной модели;</w:t>
      </w:r>
    </w:p>
    <w:p w14:paraId="01921136" w14:textId="793D274C" w:rsidR="002F33D0" w:rsidRPr="002F33D0" w:rsidRDefault="001D4931" w:rsidP="002D5680">
      <w:pPr>
        <w:spacing w:after="0" w:line="240" w:lineRule="auto"/>
        <w:ind w:firstLine="567"/>
        <w:jc w:val="both"/>
        <w:rPr>
          <w:rFonts w:ascii="Times New Roman" w:hAnsi="Times New Roman" w:cs="Times New Roman"/>
          <w:sz w:val="28"/>
          <w:szCs w:val="28"/>
          <w:lang w:val="kk-KZ"/>
        </w:rPr>
      </w:pPr>
      <m:oMath>
        <m:sSubSup>
          <m:sSubSupPr>
            <m:ctrlPr>
              <w:rPr>
                <w:rFonts w:ascii="Cambria Math" w:hAnsi="Cambria Math" w:cs="Times New Roman"/>
                <w:i/>
                <w:sz w:val="28"/>
                <w:szCs w:val="28"/>
              </w:rPr>
            </m:ctrlPr>
          </m:sSubSupPr>
          <m:e>
            <m:r>
              <w:rPr>
                <w:rFonts w:ascii="Cambria Math" w:hAnsi="Cambria Math" w:cs="Times New Roman"/>
                <w:sz w:val="28"/>
                <w:szCs w:val="28"/>
              </w:rPr>
              <m:t>X</m:t>
            </m:r>
          </m:e>
          <m:sub>
            <m:r>
              <w:rPr>
                <w:rFonts w:ascii="Cambria Math" w:hAnsi="Cambria Math" w:cs="Times New Roman"/>
                <w:sz w:val="28"/>
                <w:szCs w:val="28"/>
              </w:rPr>
              <m:t>i</m:t>
            </m:r>
          </m:sub>
          <m:sup>
            <m:r>
              <w:rPr>
                <w:rFonts w:ascii="Cambria Math" w:hAnsi="Cambria Math" w:cs="Times New Roman"/>
                <w:sz w:val="28"/>
                <w:szCs w:val="28"/>
              </w:rPr>
              <m:t>'</m:t>
            </m:r>
          </m:sup>
        </m:sSubSup>
      </m:oMath>
      <w:r w:rsidR="002F33D0" w:rsidRPr="002F33D0">
        <w:rPr>
          <w:rFonts w:ascii="Times New Roman" w:eastAsiaTheme="minorEastAsia" w:hAnsi="Times New Roman" w:cs="Times New Roman"/>
          <w:sz w:val="28"/>
          <w:szCs w:val="28"/>
          <w:lang w:val="kk-KZ"/>
        </w:rPr>
        <w:t xml:space="preserve"> – агрегированная нормализованная оценка ресурса.</w:t>
      </w:r>
    </w:p>
    <w:p w14:paraId="5BAAF7B8" w14:textId="77777777" w:rsidR="002F33D0" w:rsidRPr="002F33D0" w:rsidRDefault="002F33D0" w:rsidP="002F33D0">
      <w:pPr>
        <w:spacing w:after="0" w:line="240" w:lineRule="auto"/>
        <w:jc w:val="both"/>
        <w:rPr>
          <w:rFonts w:ascii="Times New Roman" w:hAnsi="Times New Roman" w:cs="Times New Roman"/>
          <w:sz w:val="28"/>
          <w:szCs w:val="28"/>
        </w:rPr>
      </w:pPr>
    </w:p>
    <w:p w14:paraId="48EE230A" w14:textId="77777777"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Использование β-весов обеспечивает строгую связь между индексом и эмпирической моделью формирования инновационного потенциала.</w:t>
      </w:r>
    </w:p>
    <w:p w14:paraId="72C309BA" w14:textId="7DE9730C"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Итоговый индекс инновационного потенциала</w:t>
      </w:r>
      <w:r w:rsidR="002D5680">
        <w:rPr>
          <w:rFonts w:ascii="Times New Roman" w:hAnsi="Times New Roman" w:cs="Times New Roman"/>
          <w:sz w:val="28"/>
          <w:szCs w:val="28"/>
          <w:lang w:val="kk-KZ"/>
        </w:rPr>
        <w:t xml:space="preserve"> (2</w:t>
      </w:r>
      <w:r w:rsidR="00FD618C">
        <w:rPr>
          <w:rFonts w:ascii="Times New Roman" w:hAnsi="Times New Roman" w:cs="Times New Roman"/>
          <w:sz w:val="28"/>
          <w:szCs w:val="28"/>
          <w:lang w:val="kk-KZ"/>
        </w:rPr>
        <w:t>3</w:t>
      </w:r>
      <w:r w:rsidR="002D5680">
        <w:rPr>
          <w:rFonts w:ascii="Times New Roman" w:hAnsi="Times New Roman" w:cs="Times New Roman"/>
          <w:sz w:val="28"/>
          <w:szCs w:val="28"/>
          <w:lang w:val="kk-KZ"/>
        </w:rPr>
        <w:t>)</w:t>
      </w:r>
      <w:r w:rsidRPr="002F33D0">
        <w:rPr>
          <w:rFonts w:ascii="Times New Roman" w:hAnsi="Times New Roman" w:cs="Times New Roman"/>
          <w:sz w:val="28"/>
          <w:szCs w:val="28"/>
        </w:rPr>
        <w:t xml:space="preserve"> рассчитывается как сумма вкладов всех ресурсных компонентов:</w:t>
      </w:r>
    </w:p>
    <w:p w14:paraId="3F590F45" w14:textId="77777777" w:rsidR="002F33D0" w:rsidRPr="002F33D0" w:rsidRDefault="002F33D0" w:rsidP="002F33D0">
      <w:pPr>
        <w:spacing w:after="0" w:line="240" w:lineRule="auto"/>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2F33D0" w:rsidRPr="002F33D0" w14:paraId="13D3662A" w14:textId="77777777" w:rsidTr="002F33D0">
        <w:trPr>
          <w:trHeight w:val="767"/>
        </w:trPr>
        <w:tc>
          <w:tcPr>
            <w:tcW w:w="8642" w:type="dxa"/>
          </w:tcPr>
          <w:p w14:paraId="56AB96B8" w14:textId="77777777" w:rsidR="002F33D0" w:rsidRPr="002F33D0" w:rsidRDefault="002F33D0" w:rsidP="002F33D0">
            <w:pPr>
              <w:ind w:firstLine="0"/>
              <w:jc w:val="both"/>
              <w:rPr>
                <w:sz w:val="28"/>
                <w:szCs w:val="28"/>
              </w:rPr>
            </w:pPr>
            <m:oMathPara>
              <m:oMath>
                <m:r>
                  <m:rPr>
                    <m:sty m:val="p"/>
                  </m:rPr>
                  <w:rPr>
                    <w:rFonts w:ascii="Cambria Math" w:hAnsi="Cambria Math"/>
                    <w:sz w:val="28"/>
                    <w:szCs w:val="28"/>
                  </w:rPr>
                  <m:t>IP-Index</m:t>
                </m:r>
                <m:r>
                  <w:rPr>
                    <w:rFonts w:ascii="Cambria Math" w:eastAsia="Cambria Math" w:hAnsi="Cambria Math"/>
                    <w:sz w:val="28"/>
                    <w:szCs w:val="28"/>
                  </w:rPr>
                  <m:t>=</m:t>
                </m:r>
                <m:f>
                  <m:fPr>
                    <m:ctrlPr>
                      <w:rPr>
                        <w:rFonts w:ascii="Cambria Math" w:hAnsi="Cambria Math"/>
                        <w:sz w:val="28"/>
                        <w:szCs w:val="28"/>
                      </w:rPr>
                    </m:ctrlPr>
                  </m:fPr>
                  <m:num>
                    <m:nary>
                      <m:naryPr>
                        <m:chr m:val="∑"/>
                        <m:limLoc m:val="subSup"/>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lang w:val="en-US"/>
                          </w:rPr>
                          <m:t>n</m:t>
                        </m:r>
                      </m:sup>
                      <m:e>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i</m:t>
                            </m:r>
                          </m:sub>
                        </m:sSub>
                      </m:e>
                    </m:nary>
                  </m:num>
                  <m:den>
                    <m:nary>
                      <m:naryPr>
                        <m:chr m:val="∑"/>
                        <m:limLoc m:val="subSup"/>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i</m:t>
                            </m:r>
                          </m:sub>
                        </m:sSub>
                      </m:e>
                    </m:nary>
                  </m:den>
                </m:f>
              </m:oMath>
            </m:oMathPara>
          </w:p>
        </w:tc>
        <w:tc>
          <w:tcPr>
            <w:tcW w:w="703" w:type="dxa"/>
          </w:tcPr>
          <w:p w14:paraId="0FC1E3B8" w14:textId="77777777" w:rsidR="002F33D0" w:rsidRPr="002F33D0" w:rsidRDefault="002F33D0" w:rsidP="002F33D0">
            <w:pPr>
              <w:ind w:firstLine="0"/>
              <w:jc w:val="both"/>
              <w:rPr>
                <w:sz w:val="28"/>
                <w:szCs w:val="28"/>
              </w:rPr>
            </w:pPr>
          </w:p>
          <w:p w14:paraId="1C49B947" w14:textId="2BAA039A" w:rsidR="002F33D0" w:rsidRPr="002F33D0" w:rsidRDefault="002F33D0" w:rsidP="002F33D0">
            <w:pPr>
              <w:ind w:firstLine="0"/>
              <w:jc w:val="both"/>
              <w:rPr>
                <w:sz w:val="28"/>
                <w:szCs w:val="28"/>
                <w:lang w:val="kk-KZ"/>
              </w:rPr>
            </w:pPr>
            <w:r w:rsidRPr="002F33D0">
              <w:rPr>
                <w:sz w:val="28"/>
                <w:szCs w:val="28"/>
                <w:lang w:val="kk-KZ"/>
              </w:rPr>
              <w:t>(</w:t>
            </w:r>
            <w:r w:rsidR="002D5680">
              <w:rPr>
                <w:sz w:val="28"/>
                <w:szCs w:val="28"/>
                <w:lang w:val="kk-KZ"/>
              </w:rPr>
              <w:t>2</w:t>
            </w:r>
            <w:r w:rsidR="00FD618C">
              <w:rPr>
                <w:sz w:val="28"/>
                <w:szCs w:val="28"/>
                <w:lang w:val="kk-KZ"/>
              </w:rPr>
              <w:t>3</w:t>
            </w:r>
            <w:r w:rsidRPr="002F33D0">
              <w:rPr>
                <w:sz w:val="28"/>
                <w:szCs w:val="28"/>
                <w:lang w:val="kk-KZ"/>
              </w:rPr>
              <w:t>)</w:t>
            </w:r>
          </w:p>
          <w:p w14:paraId="53558B72" w14:textId="77777777" w:rsidR="002F33D0" w:rsidRPr="002F33D0" w:rsidRDefault="002F33D0" w:rsidP="002F33D0">
            <w:pPr>
              <w:ind w:firstLine="0"/>
              <w:jc w:val="both"/>
              <w:rPr>
                <w:sz w:val="28"/>
                <w:szCs w:val="28"/>
              </w:rPr>
            </w:pPr>
          </w:p>
        </w:tc>
      </w:tr>
    </w:tbl>
    <w:p w14:paraId="30031341" w14:textId="77777777" w:rsidR="002F33D0" w:rsidRPr="002F33D0" w:rsidRDefault="002F33D0" w:rsidP="002F33D0">
      <w:pPr>
        <w:spacing w:after="0" w:line="240" w:lineRule="auto"/>
        <w:jc w:val="both"/>
        <w:rPr>
          <w:rFonts w:ascii="Times New Roman" w:hAnsi="Times New Roman" w:cs="Times New Roman"/>
          <w:sz w:val="28"/>
          <w:szCs w:val="28"/>
          <w:lang w:val="kk-KZ"/>
        </w:rPr>
      </w:pPr>
    </w:p>
    <w:p w14:paraId="6CC2E75F" w14:textId="015AD744" w:rsidR="002D5680" w:rsidRDefault="002D5680" w:rsidP="002D568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г</w:t>
      </w:r>
      <w:r w:rsidR="002F33D0" w:rsidRPr="002F33D0">
        <w:rPr>
          <w:rFonts w:ascii="Times New Roman" w:hAnsi="Times New Roman" w:cs="Times New Roman"/>
          <w:sz w:val="28"/>
          <w:szCs w:val="28"/>
          <w:lang w:val="kk-KZ"/>
        </w:rPr>
        <w:t>де</w:t>
      </w:r>
    </w:p>
    <w:p w14:paraId="01066EB9" w14:textId="5206DFC2" w:rsidR="002F33D0" w:rsidRPr="002F33D0" w:rsidRDefault="002F33D0" w:rsidP="002D5680">
      <w:pPr>
        <w:spacing w:after="0" w:line="240" w:lineRule="auto"/>
        <w:ind w:firstLine="567"/>
        <w:jc w:val="both"/>
        <w:rPr>
          <w:rFonts w:ascii="Times New Roman" w:hAnsi="Times New Roman" w:cs="Times New Roman"/>
          <w:sz w:val="28"/>
          <w:szCs w:val="28"/>
          <w:lang w:val="kk-KZ"/>
        </w:rPr>
      </w:pPr>
      <m:oMath>
        <m:r>
          <m:rPr>
            <m:sty m:val="p"/>
          </m:rPr>
          <w:rPr>
            <w:rFonts w:ascii="Cambria Math" w:hAnsi="Cambria Math" w:cs="Times New Roman"/>
            <w:sz w:val="28"/>
            <w:szCs w:val="28"/>
          </w:rPr>
          <m:t>IP-Index</m:t>
        </m:r>
      </m:oMath>
      <w:r w:rsidRPr="002F33D0">
        <w:rPr>
          <w:rFonts w:ascii="Times New Roman" w:eastAsiaTheme="minorEastAsia" w:hAnsi="Times New Roman" w:cs="Times New Roman"/>
          <w:sz w:val="28"/>
          <w:szCs w:val="28"/>
          <w:lang w:val="kk-KZ"/>
        </w:rPr>
        <w:t xml:space="preserve"> – интегральный индекс инновационного потенциала предприятия;</w:t>
      </w:r>
    </w:p>
    <w:p w14:paraId="6ED254F8" w14:textId="1D110734" w:rsidR="002F33D0" w:rsidRPr="002F33D0" w:rsidRDefault="001D4931" w:rsidP="002D5680">
      <w:pPr>
        <w:spacing w:after="0" w:line="240" w:lineRule="auto"/>
        <w:ind w:firstLine="567"/>
        <w:jc w:val="both"/>
        <w:rPr>
          <w:rFonts w:ascii="Times New Roman" w:eastAsiaTheme="minorEastAsia" w:hAnsi="Times New Roman" w:cs="Times New Roman"/>
          <w:sz w:val="28"/>
          <w:szCs w:val="28"/>
          <w:lang w:val="kk-KZ"/>
        </w:rPr>
      </w:pP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W</m:t>
            </m:r>
          </m:e>
          <m:sub>
            <m:r>
              <w:rPr>
                <w:rFonts w:ascii="Cambria Math" w:eastAsia="Cambria Math" w:hAnsi="Cambria Math" w:cs="Times New Roman"/>
                <w:sz w:val="28"/>
                <w:szCs w:val="28"/>
              </w:rPr>
              <m:t>i</m:t>
            </m:r>
          </m:sub>
        </m:sSub>
      </m:oMath>
      <w:r w:rsidR="002F33D0" w:rsidRPr="002F33D0">
        <w:rPr>
          <w:rFonts w:ascii="Times New Roman" w:eastAsiaTheme="minorEastAsia" w:hAnsi="Times New Roman" w:cs="Times New Roman"/>
          <w:sz w:val="28"/>
          <w:szCs w:val="28"/>
          <w:lang w:val="kk-KZ"/>
        </w:rPr>
        <w:t xml:space="preserve"> – взвешанный вклад </w:t>
      </w:r>
      <w:r w:rsidR="002F33D0" w:rsidRPr="002F33D0">
        <w:rPr>
          <w:rFonts w:ascii="Times New Roman" w:eastAsiaTheme="minorEastAsia" w:hAnsi="Times New Roman" w:cs="Times New Roman"/>
          <w:i/>
          <w:sz w:val="28"/>
          <w:szCs w:val="28"/>
          <w:lang w:val="kk-KZ"/>
        </w:rPr>
        <w:t>i</w:t>
      </w:r>
      <w:r w:rsidR="002F33D0" w:rsidRPr="002F33D0">
        <w:rPr>
          <w:rFonts w:ascii="Times New Roman" w:eastAsiaTheme="minorEastAsia" w:hAnsi="Times New Roman" w:cs="Times New Roman"/>
          <w:sz w:val="28"/>
          <w:szCs w:val="28"/>
          <w:lang w:val="kk-KZ"/>
        </w:rPr>
        <w:t>-го компонента;</w:t>
      </w:r>
    </w:p>
    <w:p w14:paraId="7B44F3F0" w14:textId="77777777" w:rsidR="002D5680" w:rsidRDefault="001D4931" w:rsidP="002D5680">
      <w:pPr>
        <w:spacing w:after="0" w:line="240" w:lineRule="auto"/>
        <w:ind w:firstLine="567"/>
        <w:jc w:val="both"/>
        <w:rPr>
          <w:rFonts w:ascii="Times New Roman" w:eastAsiaTheme="minorEastAsia" w:hAnsi="Times New Roman" w:cs="Times New Roman"/>
          <w:sz w:val="28"/>
          <w:szCs w:val="28"/>
          <w:lang w:val="kk-KZ"/>
        </w:rPr>
      </w:pPr>
      <m:oMath>
        <m:nary>
          <m:naryPr>
            <m:chr m:val="∑"/>
            <m:limLoc m:val="subSup"/>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β</m:t>
                </m:r>
              </m:e>
              <m:sub>
                <m:r>
                  <w:rPr>
                    <w:rFonts w:ascii="Cambria Math" w:hAnsi="Cambria Math" w:cs="Times New Roman"/>
                    <w:sz w:val="28"/>
                    <w:szCs w:val="28"/>
                  </w:rPr>
                  <m:t>i</m:t>
                </m:r>
              </m:sub>
            </m:sSub>
          </m:e>
        </m:nary>
      </m:oMath>
      <w:r w:rsidR="002F33D0" w:rsidRPr="002F33D0">
        <w:rPr>
          <w:rFonts w:ascii="Times New Roman" w:eastAsiaTheme="minorEastAsia" w:hAnsi="Times New Roman" w:cs="Times New Roman"/>
          <w:sz w:val="28"/>
          <w:szCs w:val="28"/>
          <w:lang w:val="kk-KZ"/>
        </w:rPr>
        <w:t xml:space="preserve"> – сумма стандартизированных β-коэффициентов (весов) для соответ</w:t>
      </w:r>
      <w:r w:rsidR="002D5680">
        <w:rPr>
          <w:rFonts w:ascii="Times New Roman" w:eastAsiaTheme="minorEastAsia" w:hAnsi="Times New Roman" w:cs="Times New Roman"/>
          <w:sz w:val="28"/>
          <w:szCs w:val="28"/>
          <w:lang w:val="kk-KZ"/>
        </w:rPr>
        <w:t>ствующей категории предприятий;</w:t>
      </w:r>
    </w:p>
    <w:p w14:paraId="631A94E6" w14:textId="0BD8125B" w:rsidR="002F33D0" w:rsidRPr="002D5680" w:rsidRDefault="002F33D0" w:rsidP="002D5680">
      <w:pPr>
        <w:spacing w:after="0" w:line="240" w:lineRule="auto"/>
        <w:ind w:firstLine="567"/>
        <w:jc w:val="both"/>
        <w:rPr>
          <w:rFonts w:ascii="Times New Roman" w:eastAsiaTheme="minorEastAsia" w:hAnsi="Times New Roman" w:cs="Times New Roman"/>
          <w:sz w:val="28"/>
          <w:szCs w:val="28"/>
          <w:lang w:val="kk-KZ"/>
        </w:rPr>
      </w:pPr>
      <w:r w:rsidRPr="002F33D0">
        <w:rPr>
          <w:rFonts w:ascii="Times New Roman" w:hAnsi="Times New Roman" w:cs="Times New Roman"/>
          <w:i/>
          <w:sz w:val="28"/>
          <w:szCs w:val="28"/>
          <w:lang w:val="en-US"/>
        </w:rPr>
        <w:t>i</w:t>
      </w:r>
      <w:r w:rsidRPr="002F33D0">
        <w:rPr>
          <w:rFonts w:ascii="Times New Roman" w:hAnsi="Times New Roman" w:cs="Times New Roman"/>
          <w:i/>
          <w:sz w:val="28"/>
          <w:szCs w:val="28"/>
          <w:lang w:val="kk-KZ"/>
        </w:rPr>
        <w:t xml:space="preserve"> </w:t>
      </w:r>
      <w:r w:rsidRPr="002F33D0">
        <w:rPr>
          <w:rFonts w:ascii="Times New Roman" w:hAnsi="Times New Roman" w:cs="Times New Roman"/>
          <w:sz w:val="28"/>
          <w:szCs w:val="28"/>
          <w:lang w:val="kk-KZ"/>
        </w:rPr>
        <w:t xml:space="preserve">= 1…7 </w:t>
      </w:r>
      <w:r w:rsidR="009D20AE">
        <w:rPr>
          <w:rFonts w:ascii="Times New Roman" w:hAnsi="Times New Roman" w:cs="Times New Roman"/>
          <w:sz w:val="28"/>
          <w:szCs w:val="28"/>
          <w:lang w:val="kk-KZ"/>
        </w:rPr>
        <w:t>–</w:t>
      </w:r>
      <w:r w:rsidRPr="002F33D0">
        <w:rPr>
          <w:rFonts w:ascii="Times New Roman" w:hAnsi="Times New Roman" w:cs="Times New Roman"/>
          <w:sz w:val="28"/>
          <w:szCs w:val="28"/>
          <w:lang w:val="kk-KZ"/>
        </w:rPr>
        <w:t xml:space="preserve"> ресурсные компоненты модели.</w:t>
      </w:r>
    </w:p>
    <w:p w14:paraId="0DCF17DF" w14:textId="77777777" w:rsidR="002F33D0" w:rsidRPr="002F33D0" w:rsidRDefault="002F33D0" w:rsidP="002F33D0">
      <w:pPr>
        <w:spacing w:after="0" w:line="240" w:lineRule="auto"/>
        <w:jc w:val="both"/>
        <w:rPr>
          <w:rFonts w:ascii="Times New Roman" w:hAnsi="Times New Roman" w:cs="Times New Roman"/>
          <w:sz w:val="28"/>
          <w:szCs w:val="28"/>
        </w:rPr>
      </w:pPr>
    </w:p>
    <w:p w14:paraId="5CD37118" w14:textId="62A58D4B"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Значение </w:t>
      </w:r>
      <m:oMath>
        <m:r>
          <m:rPr>
            <m:sty m:val="p"/>
          </m:rPr>
          <w:rPr>
            <w:rFonts w:ascii="Cambria Math" w:hAnsi="Cambria Math" w:cs="Times New Roman"/>
            <w:sz w:val="28"/>
            <w:szCs w:val="28"/>
          </w:rPr>
          <m:t>IP-Index</m:t>
        </m:r>
      </m:oMath>
      <w:r w:rsidRPr="002F33D0">
        <w:rPr>
          <w:rFonts w:ascii="Times New Roman" w:hAnsi="Times New Roman" w:cs="Times New Roman"/>
          <w:sz w:val="28"/>
          <w:szCs w:val="28"/>
        </w:rPr>
        <w:t xml:space="preserve"> отражает уровень развития инновационного потенциала предприятия с учётом ресурсных, процессных, цифровых и институциональных характеристик </w:t>
      </w:r>
      <w:r w:rsidRPr="002F33D0">
        <w:rPr>
          <w:rFonts w:ascii="Times New Roman" w:hAnsi="Times New Roman" w:cs="Times New Roman"/>
          <w:sz w:val="28"/>
          <w:szCs w:val="28"/>
          <w:lang w:val="kk-KZ"/>
        </w:rPr>
        <w:t xml:space="preserve">и </w:t>
      </w:r>
      <w:r w:rsidR="00E27253">
        <w:rPr>
          <w:rFonts w:ascii="Times New Roman" w:hAnsi="Times New Roman" w:cs="Times New Roman"/>
          <w:sz w:val="28"/>
          <w:szCs w:val="28"/>
        </w:rPr>
        <w:t>находится в диапазоне 0</w:t>
      </w:r>
      <w:r w:rsidR="00E27253">
        <w:rPr>
          <w:rFonts w:ascii="Times New Roman" w:hAnsi="Times New Roman" w:cs="Times New Roman"/>
          <w:sz w:val="28"/>
          <w:szCs w:val="28"/>
          <w:lang w:val="kk-KZ"/>
        </w:rPr>
        <w:t>-</w:t>
      </w:r>
      <w:r w:rsidRPr="002F33D0">
        <w:rPr>
          <w:rFonts w:ascii="Times New Roman" w:hAnsi="Times New Roman" w:cs="Times New Roman"/>
          <w:sz w:val="28"/>
          <w:szCs w:val="28"/>
        </w:rPr>
        <w:t>1, что позволяет сопоставлять предприятия различного размера и разного уровня цифровой зрелости.</w:t>
      </w:r>
    </w:p>
    <w:p w14:paraId="36A69091" w14:textId="3CFE3E1E"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Таким образом, каждая ресурсная переменная получает финальную интегральную характеристику, учитывающую фактический уровень обеспеченности ресурсом, степень его включённости в инновационные процессы (через процессные функции P</w:t>
      </w:r>
      <w:r w:rsidRPr="002F33D0">
        <w:rPr>
          <w:rFonts w:ascii="Times New Roman" w:hAnsi="Times New Roman" w:cs="Times New Roman"/>
          <w:sz w:val="28"/>
          <w:szCs w:val="28"/>
          <w:vertAlign w:val="subscript"/>
          <w:lang w:val="kk-KZ"/>
        </w:rPr>
        <w:t>1</w:t>
      </w:r>
      <w:r w:rsidR="00E27253">
        <w:rPr>
          <w:rFonts w:ascii="Times New Roman" w:hAnsi="Times New Roman" w:cs="Times New Roman"/>
          <w:sz w:val="28"/>
          <w:szCs w:val="28"/>
          <w:lang w:val="kk-KZ"/>
        </w:rPr>
        <w:t>-</w:t>
      </w:r>
      <w:r w:rsidRPr="002F33D0">
        <w:rPr>
          <w:rFonts w:ascii="Times New Roman" w:hAnsi="Times New Roman" w:cs="Times New Roman"/>
          <w:sz w:val="28"/>
          <w:szCs w:val="28"/>
        </w:rPr>
        <w:t>P</w:t>
      </w:r>
      <w:r w:rsidRPr="002F33D0">
        <w:rPr>
          <w:rFonts w:ascii="Times New Roman" w:hAnsi="Times New Roman" w:cs="Times New Roman"/>
          <w:sz w:val="28"/>
          <w:szCs w:val="28"/>
          <w:vertAlign w:val="subscript"/>
          <w:lang w:val="kk-KZ"/>
        </w:rPr>
        <w:t>3</w:t>
      </w:r>
      <w:r w:rsidRPr="002F33D0">
        <w:rPr>
          <w:rFonts w:ascii="Times New Roman" w:hAnsi="Times New Roman" w:cs="Times New Roman"/>
          <w:sz w:val="28"/>
          <w:szCs w:val="28"/>
        </w:rPr>
        <w:t>) и статистическую значимость влияния, отражённую β-весом. Применение данного подхода обеспечивает методологически корректное формирование интегрального показателя, согласованного с концепцией проектирования инновационного потенциала.</w:t>
      </w:r>
    </w:p>
    <w:p w14:paraId="2F04E544" w14:textId="1B6D1DFB"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Предложенный алгоритм формирует полный цикл аналитической обработки данных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от ввода первичной информации до получения управленчески значимых выводов. Он позволяет не только количественно оценить уровень инновационного потенциала, но и выявить структурные дисбалансы между ресурсными, процессными, цифровыми и институциональными компонентами. За счёт этого инструмент может быть использован как основа для проектирования индивидуальных траекторий </w:t>
      </w:r>
      <w:r w:rsidRPr="002F33D0">
        <w:rPr>
          <w:rFonts w:ascii="Times New Roman" w:hAnsi="Times New Roman" w:cs="Times New Roman"/>
          <w:sz w:val="28"/>
          <w:szCs w:val="28"/>
        </w:rPr>
        <w:lastRenderedPageBreak/>
        <w:t>развития предприятий с учётом их масштаба, уровня цифровой зрелости и особенностей внешней среды.</w:t>
      </w:r>
    </w:p>
    <w:p w14:paraId="69DC2C54" w14:textId="0889D146"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Пороговые интервалы интерпретации интегрального индекса инновационного потенциала были уточнены на основе латентного кластерного анализа (LCA), проведённого во второй главе. Распределение предприятий по латентным классам выявило естественные различия в их инновационной зрелости, что позволило эмпирически калибровать диапазоны значений </w:t>
      </w:r>
      <w:r w:rsidR="00545A2C">
        <w:rPr>
          <w:rFonts w:ascii="Times New Roman" w:hAnsi="Times New Roman" w:cs="Times New Roman"/>
          <w:sz w:val="28"/>
          <w:szCs w:val="28"/>
          <w:lang w:val="kk-KZ"/>
        </w:rPr>
        <w:t xml:space="preserve">интегрального </w:t>
      </w:r>
      <w:r w:rsidR="00545A2C" w:rsidRPr="002F33D0">
        <w:rPr>
          <w:rFonts w:ascii="Times New Roman" w:hAnsi="Times New Roman" w:cs="Times New Roman"/>
          <w:sz w:val="28"/>
          <w:szCs w:val="28"/>
        </w:rPr>
        <w:t>индекса</w:t>
      </w:r>
      <w:r w:rsidR="00545A2C">
        <w:rPr>
          <w:rFonts w:ascii="Times New Roman" w:hAnsi="Times New Roman" w:cs="Times New Roman"/>
          <w:sz w:val="28"/>
          <w:szCs w:val="28"/>
          <w:lang w:val="kk-KZ"/>
        </w:rPr>
        <w:t xml:space="preserve"> </w:t>
      </w:r>
      <w:r w:rsidR="00545A2C" w:rsidRPr="002F33D0">
        <w:rPr>
          <w:rFonts w:ascii="Times New Roman" w:hAnsi="Times New Roman" w:cs="Times New Roman"/>
          <w:sz w:val="28"/>
          <w:szCs w:val="28"/>
        </w:rPr>
        <w:t>инновационного</w:t>
      </w:r>
      <w:r w:rsidR="00545A2C">
        <w:rPr>
          <w:rFonts w:ascii="Times New Roman" w:hAnsi="Times New Roman" w:cs="Times New Roman"/>
          <w:sz w:val="28"/>
          <w:szCs w:val="28"/>
          <w:lang w:val="kk-KZ"/>
        </w:rPr>
        <w:t xml:space="preserve"> потенциала </w:t>
      </w:r>
      <w:r w:rsidRPr="002F33D0">
        <w:rPr>
          <w:rFonts w:ascii="Times New Roman" w:hAnsi="Times New Roman" w:cs="Times New Roman"/>
          <w:sz w:val="28"/>
          <w:szCs w:val="28"/>
        </w:rPr>
        <w:t>и связать их с реальными профилями предприятий.</w:t>
      </w:r>
    </w:p>
    <w:p w14:paraId="3E9D8F6C" w14:textId="3D79E400"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Низкий уровень (0,00</w:t>
      </w:r>
      <w:r w:rsidR="00E27253">
        <w:rPr>
          <w:rFonts w:ascii="Times New Roman" w:hAnsi="Times New Roman" w:cs="Times New Roman"/>
          <w:sz w:val="28"/>
          <w:szCs w:val="28"/>
          <w:lang w:val="kk-KZ"/>
        </w:rPr>
        <w:t>-</w:t>
      </w:r>
      <w:r w:rsidRPr="002F33D0">
        <w:rPr>
          <w:rFonts w:ascii="Times New Roman" w:hAnsi="Times New Roman" w:cs="Times New Roman"/>
          <w:sz w:val="28"/>
          <w:szCs w:val="28"/>
        </w:rPr>
        <w:t>0,25) соответствует предприятиям латентного Класса 1 («</w:t>
      </w:r>
      <w:r w:rsidRPr="002F33D0">
        <w:rPr>
          <w:rFonts w:ascii="Times New Roman" w:hAnsi="Times New Roman" w:cs="Times New Roman"/>
          <w:sz w:val="28"/>
          <w:szCs w:val="28"/>
          <w:lang w:val="kk-KZ"/>
        </w:rPr>
        <w:t>И</w:t>
      </w:r>
      <w:r w:rsidRPr="002F33D0">
        <w:rPr>
          <w:rFonts w:ascii="Times New Roman" w:hAnsi="Times New Roman" w:cs="Times New Roman"/>
          <w:sz w:val="28"/>
          <w:szCs w:val="28"/>
        </w:rPr>
        <w:t>нтуитивные исполнители»), которые составили около 78% выборки. Их высокая доля и фрагментарность инновационных практик задают базовый порог для оценки потенциала</w:t>
      </w:r>
      <w:r w:rsidRPr="002F33D0">
        <w:rPr>
          <w:rFonts w:ascii="Times New Roman" w:hAnsi="Times New Roman" w:cs="Times New Roman"/>
          <w:sz w:val="28"/>
          <w:szCs w:val="28"/>
          <w:lang w:val="kk-KZ"/>
        </w:rPr>
        <w:t xml:space="preserve">. </w:t>
      </w:r>
      <w:r w:rsidRPr="002F33D0">
        <w:rPr>
          <w:rFonts w:ascii="Times New Roman" w:hAnsi="Times New Roman" w:cs="Times New Roman"/>
          <w:sz w:val="28"/>
          <w:szCs w:val="28"/>
        </w:rPr>
        <w:t>Для них характерны фрагментарные инновационные практики, слабая институционализация процессов, низкая цифровая зрелость и отсутствие устойчивой структуры управления инновациями. Эти предприятия демонстрируют минимальные значения ресурсно-процессных показателей, что подтверждается результатами регрессионного анализа и диагностических таблиц раздела 2.2.</w:t>
      </w:r>
    </w:p>
    <w:p w14:paraId="3D93F435" w14:textId="5412B93A"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Средний уровень (0,26</w:t>
      </w:r>
      <w:r w:rsidR="00E27253">
        <w:rPr>
          <w:rFonts w:ascii="Times New Roman" w:hAnsi="Times New Roman" w:cs="Times New Roman"/>
          <w:sz w:val="28"/>
          <w:szCs w:val="28"/>
          <w:lang w:val="kk-KZ"/>
        </w:rPr>
        <w:t>-</w:t>
      </w:r>
      <w:r w:rsidRPr="002F33D0">
        <w:rPr>
          <w:rFonts w:ascii="Times New Roman" w:hAnsi="Times New Roman" w:cs="Times New Roman"/>
          <w:sz w:val="28"/>
          <w:szCs w:val="28"/>
        </w:rPr>
        <w:t>0,45) частично соответствует латентному Классу 2 («</w:t>
      </w:r>
      <w:r w:rsidRPr="002F33D0">
        <w:rPr>
          <w:rFonts w:ascii="Times New Roman" w:hAnsi="Times New Roman" w:cs="Times New Roman"/>
          <w:sz w:val="28"/>
          <w:szCs w:val="28"/>
          <w:lang w:val="kk-KZ"/>
        </w:rPr>
        <w:t>Ф</w:t>
      </w:r>
      <w:r w:rsidRPr="002F33D0">
        <w:rPr>
          <w:rFonts w:ascii="Times New Roman" w:hAnsi="Times New Roman" w:cs="Times New Roman"/>
          <w:sz w:val="28"/>
          <w:szCs w:val="28"/>
        </w:rPr>
        <w:t>ормальные структуры»), где инновационная деятельность присутствует, но носит формальный характер, а процессы выполняются без стратегической координации. Для этого класса характерна ограниченная интеграция управленческих, технологических и кадровых факторов, что подтверждается средними значениями ресурсных индикаторов и неполной выраженностью цифровой среды.</w:t>
      </w:r>
    </w:p>
    <w:p w14:paraId="700C6427" w14:textId="42D096AB"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Умеренно высокий уровень (0,46</w:t>
      </w:r>
      <w:r w:rsidR="00E27253">
        <w:rPr>
          <w:rFonts w:ascii="Times New Roman" w:hAnsi="Times New Roman" w:cs="Times New Roman"/>
          <w:sz w:val="28"/>
          <w:szCs w:val="28"/>
          <w:lang w:val="kk-KZ"/>
        </w:rPr>
        <w:t>-</w:t>
      </w:r>
      <w:r w:rsidRPr="002F33D0">
        <w:rPr>
          <w:rFonts w:ascii="Times New Roman" w:hAnsi="Times New Roman" w:cs="Times New Roman"/>
          <w:sz w:val="28"/>
          <w:szCs w:val="28"/>
        </w:rPr>
        <w:t>0,65) коррелирует с предприятиями Класса 3 («</w:t>
      </w:r>
      <w:r w:rsidRPr="002F33D0">
        <w:rPr>
          <w:rFonts w:ascii="Times New Roman" w:hAnsi="Times New Roman" w:cs="Times New Roman"/>
          <w:sz w:val="28"/>
          <w:szCs w:val="28"/>
          <w:lang w:val="kk-KZ"/>
        </w:rPr>
        <w:t>С</w:t>
      </w:r>
      <w:r w:rsidRPr="002F33D0">
        <w:rPr>
          <w:rFonts w:ascii="Times New Roman" w:hAnsi="Times New Roman" w:cs="Times New Roman"/>
          <w:sz w:val="28"/>
          <w:szCs w:val="28"/>
        </w:rPr>
        <w:t>итуативно активные»), которые демонстрируют наиболее высокую вероятность формирования комплексного инновационного потенциала. Согласно данным второ</w:t>
      </w:r>
      <w:r w:rsidRPr="002F33D0">
        <w:rPr>
          <w:rFonts w:ascii="Times New Roman" w:hAnsi="Times New Roman" w:cs="Times New Roman"/>
          <w:sz w:val="28"/>
          <w:szCs w:val="28"/>
          <w:lang w:val="kk-KZ"/>
        </w:rPr>
        <w:t>й главы</w:t>
      </w:r>
      <w:r w:rsidRPr="002F33D0">
        <w:rPr>
          <w:rFonts w:ascii="Times New Roman" w:hAnsi="Times New Roman" w:cs="Times New Roman"/>
          <w:sz w:val="28"/>
          <w:szCs w:val="28"/>
        </w:rPr>
        <w:t>, эта группа отличается выраженной зависимостью инновационного потенциала от управленческих ресурсов, технологической базы и цифровизации. Вероятность высокой оценки инновационного потенциала в данном классе составляет 15,4%, что и обусловило верхнюю границу интервала.</w:t>
      </w:r>
    </w:p>
    <w:p w14:paraId="266B1046" w14:textId="24CA3CF4"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Высокий уровень (0,66</w:t>
      </w:r>
      <w:r w:rsidR="00E27253">
        <w:rPr>
          <w:rFonts w:ascii="Times New Roman" w:hAnsi="Times New Roman" w:cs="Times New Roman"/>
          <w:sz w:val="28"/>
          <w:szCs w:val="28"/>
          <w:lang w:val="kk-KZ"/>
        </w:rPr>
        <w:t>-</w:t>
      </w:r>
      <w:r w:rsidRPr="002F33D0">
        <w:rPr>
          <w:rFonts w:ascii="Times New Roman" w:hAnsi="Times New Roman" w:cs="Times New Roman"/>
          <w:sz w:val="28"/>
          <w:szCs w:val="28"/>
        </w:rPr>
        <w:t>0,85) характеризует предприятия, у которых зафиксированы устойчивые связи между цифровыми, кадровыми и технологическими факторами. Такие предприятия демонстрируют развитую инновационную культуру, высокую способность к воспроизводству инноваций и выраженную цифровую зрелость. По результатам SEM-моделирования для данной группы характерны наиболее сильные β-веса по управленческим, кадровым и цифровым блокам.</w:t>
      </w:r>
    </w:p>
    <w:p w14:paraId="745C1AAE" w14:textId="1C882C36"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Лидерский уровень (0,86</w:t>
      </w:r>
      <w:r w:rsidR="00E27253">
        <w:rPr>
          <w:rFonts w:ascii="Times New Roman" w:hAnsi="Times New Roman" w:cs="Times New Roman"/>
          <w:sz w:val="28"/>
          <w:szCs w:val="28"/>
          <w:lang w:val="kk-KZ"/>
        </w:rPr>
        <w:t>-</w:t>
      </w:r>
      <w:r w:rsidRPr="002F33D0">
        <w:rPr>
          <w:rFonts w:ascii="Times New Roman" w:hAnsi="Times New Roman" w:cs="Times New Roman"/>
          <w:sz w:val="28"/>
          <w:szCs w:val="28"/>
        </w:rPr>
        <w:t xml:space="preserve">1,00) соответствует предприятиям с системной инновационной моделью поведения, высокой институциональной интеграцией, устойчивым воспроизводством инноваций и зрелой цифровой средой. Как показано в главе 2, эти предприятия имеют максимальные </w:t>
      </w:r>
      <w:r w:rsidRPr="002F33D0">
        <w:rPr>
          <w:rFonts w:ascii="Times New Roman" w:hAnsi="Times New Roman" w:cs="Times New Roman"/>
          <w:sz w:val="28"/>
          <w:szCs w:val="28"/>
        </w:rPr>
        <w:lastRenderedPageBreak/>
        <w:t>показатели по ресурсно-процессной матрице, активно используют государственные и корпоративные механизмы поддержки инноваций, а также характеризуются высокой степенью организационной резилентности.</w:t>
      </w:r>
    </w:p>
    <w:p w14:paraId="0C786978" w14:textId="05A84884" w:rsidR="002F33D0" w:rsidRPr="002F33D0" w:rsidRDefault="002F33D0" w:rsidP="002F33D0">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Таким образом, предложенная шкала</w:t>
      </w:r>
      <w:r w:rsidR="002D5680">
        <w:rPr>
          <w:rFonts w:ascii="Times New Roman" w:hAnsi="Times New Roman" w:cs="Times New Roman"/>
          <w:sz w:val="28"/>
          <w:szCs w:val="28"/>
          <w:lang w:val="kk-KZ"/>
        </w:rPr>
        <w:t xml:space="preserve"> (таблица 33</w:t>
      </w:r>
      <w:r w:rsidRPr="002F33D0">
        <w:rPr>
          <w:rFonts w:ascii="Times New Roman" w:hAnsi="Times New Roman" w:cs="Times New Roman"/>
          <w:sz w:val="28"/>
          <w:szCs w:val="28"/>
          <w:lang w:val="kk-KZ"/>
        </w:rPr>
        <w:t>)</w:t>
      </w:r>
      <w:r w:rsidRPr="002F33D0">
        <w:rPr>
          <w:rFonts w:ascii="Times New Roman" w:hAnsi="Times New Roman" w:cs="Times New Roman"/>
          <w:sz w:val="28"/>
          <w:szCs w:val="28"/>
        </w:rPr>
        <w:t xml:space="preserve"> основана на эмпирическом распределении предприятий по латентным классам</w:t>
      </w:r>
      <w:r w:rsidRPr="002F33D0">
        <w:rPr>
          <w:rFonts w:ascii="Times New Roman" w:hAnsi="Times New Roman" w:cs="Times New Roman"/>
          <w:sz w:val="28"/>
          <w:szCs w:val="28"/>
          <w:lang w:val="kk-KZ"/>
        </w:rPr>
        <w:t xml:space="preserve"> и </w:t>
      </w:r>
      <w:r w:rsidRPr="002F33D0">
        <w:rPr>
          <w:rFonts w:ascii="Times New Roman" w:hAnsi="Times New Roman" w:cs="Times New Roman"/>
          <w:sz w:val="28"/>
          <w:szCs w:val="28"/>
        </w:rPr>
        <w:t>отражает реальную многоуровневую структуру инновационного развития</w:t>
      </w:r>
      <w:r w:rsidRPr="002F33D0">
        <w:rPr>
          <w:rFonts w:ascii="Times New Roman" w:hAnsi="Times New Roman" w:cs="Times New Roman"/>
          <w:sz w:val="28"/>
          <w:szCs w:val="28"/>
          <w:lang w:val="kk-KZ"/>
        </w:rPr>
        <w:t xml:space="preserve">, что </w:t>
      </w:r>
      <w:r w:rsidRPr="002F33D0">
        <w:rPr>
          <w:rFonts w:ascii="Times New Roman" w:hAnsi="Times New Roman" w:cs="Times New Roman"/>
          <w:sz w:val="28"/>
          <w:szCs w:val="28"/>
        </w:rPr>
        <w:t>обеспечивает строгую научную верификацию интегрального индекса.</w:t>
      </w:r>
    </w:p>
    <w:p w14:paraId="0272D592" w14:textId="77777777" w:rsidR="002F33D0" w:rsidRPr="002F33D0" w:rsidRDefault="002F33D0" w:rsidP="002F33D0">
      <w:pPr>
        <w:spacing w:after="0" w:line="240" w:lineRule="auto"/>
        <w:jc w:val="both"/>
        <w:rPr>
          <w:rFonts w:ascii="Times New Roman" w:hAnsi="Times New Roman" w:cs="Times New Roman"/>
          <w:sz w:val="28"/>
          <w:szCs w:val="28"/>
          <w:lang w:val="kk-KZ"/>
        </w:rPr>
      </w:pPr>
    </w:p>
    <w:p w14:paraId="0A7805A1" w14:textId="18642E6B" w:rsidR="002F33D0" w:rsidRPr="002F33D0" w:rsidRDefault="002D5680" w:rsidP="002F33D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Таблица 33</w:t>
      </w:r>
      <w:r w:rsidR="00E27253">
        <w:rPr>
          <w:rFonts w:ascii="Times New Roman" w:hAnsi="Times New Roman" w:cs="Times New Roman"/>
          <w:sz w:val="28"/>
          <w:szCs w:val="28"/>
          <w:lang w:val="kk-KZ"/>
        </w:rPr>
        <w:t xml:space="preserve"> </w:t>
      </w:r>
      <w:r w:rsidR="002F33D0" w:rsidRPr="002F33D0">
        <w:rPr>
          <w:rFonts w:ascii="Times New Roman" w:hAnsi="Times New Roman" w:cs="Times New Roman"/>
          <w:sz w:val="28"/>
          <w:szCs w:val="28"/>
          <w:lang w:val="kk-KZ"/>
        </w:rPr>
        <w:t>– Шкала интерпретации уровня инновационного потенциала</w:t>
      </w:r>
    </w:p>
    <w:p w14:paraId="397C9ED3" w14:textId="77777777" w:rsidR="002F33D0" w:rsidRPr="002D5680" w:rsidRDefault="002F33D0" w:rsidP="002F33D0">
      <w:pPr>
        <w:spacing w:after="0" w:line="240" w:lineRule="auto"/>
        <w:jc w:val="both"/>
        <w:rPr>
          <w:rFonts w:ascii="Times New Roman" w:hAnsi="Times New Roman" w:cs="Times New Roman"/>
          <w:sz w:val="20"/>
          <w:szCs w:val="20"/>
          <w:lang w:val="kk-KZ"/>
        </w:rPr>
      </w:pPr>
    </w:p>
    <w:tbl>
      <w:tblPr>
        <w:tblStyle w:val="a5"/>
        <w:tblW w:w="0" w:type="auto"/>
        <w:tblLook w:val="04A0" w:firstRow="1" w:lastRow="0" w:firstColumn="1" w:lastColumn="0" w:noHBand="0" w:noVBand="1"/>
      </w:tblPr>
      <w:tblGrid>
        <w:gridCol w:w="1655"/>
        <w:gridCol w:w="7690"/>
      </w:tblGrid>
      <w:tr w:rsidR="002F33D0" w:rsidRPr="002F33D0" w14:paraId="0447D732" w14:textId="77777777" w:rsidTr="002F33D0">
        <w:tc>
          <w:tcPr>
            <w:tcW w:w="0" w:type="auto"/>
            <w:shd w:val="clear" w:color="auto" w:fill="D9D9D9" w:themeFill="background1" w:themeFillShade="D9"/>
            <w:hideMark/>
          </w:tcPr>
          <w:p w14:paraId="7CE5CAFF" w14:textId="77777777" w:rsidR="002F33D0" w:rsidRPr="002F33D0" w:rsidRDefault="002F33D0" w:rsidP="002F33D0">
            <w:pPr>
              <w:ind w:firstLine="0"/>
              <w:jc w:val="both"/>
              <w:rPr>
                <w:rFonts w:eastAsia="Times New Roman"/>
                <w:b/>
                <w:bCs/>
                <w:szCs w:val="24"/>
                <w:lang w:eastAsia="ru-RU"/>
              </w:rPr>
            </w:pPr>
            <w:r w:rsidRPr="002F33D0">
              <w:rPr>
                <w:rFonts w:eastAsia="Times New Roman"/>
                <w:b/>
                <w:bCs/>
                <w:szCs w:val="24"/>
                <w:lang w:eastAsia="ru-RU"/>
              </w:rPr>
              <w:t>Диапазон ИП-индекса</w:t>
            </w:r>
          </w:p>
        </w:tc>
        <w:tc>
          <w:tcPr>
            <w:tcW w:w="0" w:type="auto"/>
            <w:shd w:val="clear" w:color="auto" w:fill="D9D9D9" w:themeFill="background1" w:themeFillShade="D9"/>
            <w:hideMark/>
          </w:tcPr>
          <w:p w14:paraId="16A99F10" w14:textId="77777777" w:rsidR="002F33D0" w:rsidRPr="002F33D0" w:rsidRDefault="002F33D0" w:rsidP="002F33D0">
            <w:pPr>
              <w:ind w:firstLine="0"/>
              <w:jc w:val="both"/>
              <w:rPr>
                <w:rFonts w:eastAsia="Times New Roman"/>
                <w:b/>
                <w:bCs/>
                <w:szCs w:val="24"/>
                <w:lang w:eastAsia="ru-RU"/>
              </w:rPr>
            </w:pPr>
            <w:r w:rsidRPr="002F33D0">
              <w:rPr>
                <w:rFonts w:eastAsia="Times New Roman"/>
                <w:b/>
                <w:bCs/>
                <w:szCs w:val="24"/>
                <w:lang w:eastAsia="ru-RU"/>
              </w:rPr>
              <w:t>Характеристика уровня инновационного потенциала</w:t>
            </w:r>
          </w:p>
        </w:tc>
      </w:tr>
      <w:tr w:rsidR="002F33D0" w:rsidRPr="002F33D0" w14:paraId="38670B42" w14:textId="77777777" w:rsidTr="002F33D0">
        <w:tc>
          <w:tcPr>
            <w:tcW w:w="0" w:type="auto"/>
            <w:shd w:val="clear" w:color="auto" w:fill="F4B083" w:themeFill="accent2" w:themeFillTint="99"/>
            <w:hideMark/>
          </w:tcPr>
          <w:p w14:paraId="53175D59" w14:textId="1E86A8E2" w:rsidR="002F33D0" w:rsidRPr="002F33D0" w:rsidRDefault="002F33D0" w:rsidP="00E27253">
            <w:pPr>
              <w:ind w:firstLine="0"/>
              <w:jc w:val="both"/>
              <w:rPr>
                <w:rFonts w:eastAsia="Times New Roman"/>
                <w:szCs w:val="24"/>
                <w:lang w:eastAsia="ru-RU"/>
              </w:rPr>
            </w:pPr>
            <w:r w:rsidRPr="002F33D0">
              <w:rPr>
                <w:rFonts w:eastAsia="Times New Roman"/>
                <w:b/>
                <w:bCs/>
                <w:szCs w:val="24"/>
                <w:lang w:eastAsia="ru-RU"/>
              </w:rPr>
              <w:t>0,00</w:t>
            </w:r>
            <w:r w:rsidR="00E27253">
              <w:rPr>
                <w:rFonts w:eastAsia="Times New Roman"/>
                <w:b/>
                <w:bCs/>
                <w:szCs w:val="24"/>
                <w:lang w:val="kk-KZ" w:eastAsia="ru-RU"/>
              </w:rPr>
              <w:t>-</w:t>
            </w:r>
            <w:r w:rsidRPr="002F33D0">
              <w:rPr>
                <w:rFonts w:eastAsia="Times New Roman"/>
                <w:b/>
                <w:bCs/>
                <w:szCs w:val="24"/>
                <w:lang w:eastAsia="ru-RU"/>
              </w:rPr>
              <w:t>0,25</w:t>
            </w:r>
          </w:p>
        </w:tc>
        <w:tc>
          <w:tcPr>
            <w:tcW w:w="0" w:type="auto"/>
            <w:shd w:val="clear" w:color="auto" w:fill="F4B083" w:themeFill="accent2" w:themeFillTint="99"/>
            <w:hideMark/>
          </w:tcPr>
          <w:p w14:paraId="42650469" w14:textId="3133799B" w:rsidR="002F33D0" w:rsidRPr="002F33D0" w:rsidRDefault="002F33D0" w:rsidP="002F33D0">
            <w:pPr>
              <w:ind w:firstLine="0"/>
              <w:jc w:val="both"/>
              <w:rPr>
                <w:rFonts w:eastAsia="Times New Roman"/>
                <w:szCs w:val="24"/>
                <w:lang w:eastAsia="ru-RU"/>
              </w:rPr>
            </w:pPr>
            <w:r w:rsidRPr="002F33D0">
              <w:rPr>
                <w:rFonts w:eastAsia="Times New Roman"/>
                <w:b/>
                <w:bCs/>
                <w:szCs w:val="24"/>
                <w:lang w:eastAsia="ru-RU"/>
              </w:rPr>
              <w:t>Низкий</w:t>
            </w:r>
            <w:r w:rsidRPr="002F33D0">
              <w:rPr>
                <w:rFonts w:eastAsia="Times New Roman"/>
                <w:szCs w:val="24"/>
                <w:lang w:eastAsia="ru-RU"/>
              </w:rPr>
              <w:t xml:space="preserve"> </w:t>
            </w:r>
            <w:r w:rsidR="009D20AE">
              <w:rPr>
                <w:rFonts w:eastAsia="Times New Roman"/>
                <w:szCs w:val="24"/>
                <w:lang w:eastAsia="ru-RU"/>
              </w:rPr>
              <w:t>–</w:t>
            </w:r>
            <w:r w:rsidRPr="002F33D0">
              <w:rPr>
                <w:rFonts w:eastAsia="Times New Roman"/>
                <w:szCs w:val="24"/>
                <w:lang w:eastAsia="ru-RU"/>
              </w:rPr>
              <w:t xml:space="preserve"> Инновационный потенциал фрагментарен; инновации внедряются эпизодически, отсутствует согласованная система управления и институциональная поддержка.</w:t>
            </w:r>
          </w:p>
        </w:tc>
      </w:tr>
      <w:tr w:rsidR="002F33D0" w:rsidRPr="002F33D0" w14:paraId="32C2A0F8" w14:textId="77777777" w:rsidTr="002F33D0">
        <w:tc>
          <w:tcPr>
            <w:tcW w:w="0" w:type="auto"/>
            <w:shd w:val="clear" w:color="auto" w:fill="FFD966" w:themeFill="accent4" w:themeFillTint="99"/>
            <w:hideMark/>
          </w:tcPr>
          <w:p w14:paraId="6427B805" w14:textId="4FA94F49" w:rsidR="002F33D0" w:rsidRPr="002F33D0" w:rsidRDefault="002F33D0" w:rsidP="00E27253">
            <w:pPr>
              <w:ind w:firstLine="0"/>
              <w:jc w:val="both"/>
              <w:rPr>
                <w:rFonts w:eastAsia="Times New Roman"/>
                <w:szCs w:val="24"/>
                <w:lang w:eastAsia="ru-RU"/>
              </w:rPr>
            </w:pPr>
            <w:r w:rsidRPr="002F33D0">
              <w:rPr>
                <w:rFonts w:eastAsia="Times New Roman"/>
                <w:b/>
                <w:bCs/>
                <w:szCs w:val="24"/>
                <w:lang w:eastAsia="ru-RU"/>
              </w:rPr>
              <w:t>0,26</w:t>
            </w:r>
            <w:r w:rsidR="00E27253">
              <w:rPr>
                <w:rFonts w:eastAsia="Times New Roman"/>
                <w:b/>
                <w:bCs/>
                <w:szCs w:val="24"/>
                <w:lang w:val="kk-KZ" w:eastAsia="ru-RU"/>
              </w:rPr>
              <w:t>-</w:t>
            </w:r>
            <w:r w:rsidRPr="002F33D0">
              <w:rPr>
                <w:rFonts w:eastAsia="Times New Roman"/>
                <w:b/>
                <w:bCs/>
                <w:szCs w:val="24"/>
                <w:lang w:eastAsia="ru-RU"/>
              </w:rPr>
              <w:t>0,45</w:t>
            </w:r>
          </w:p>
        </w:tc>
        <w:tc>
          <w:tcPr>
            <w:tcW w:w="0" w:type="auto"/>
            <w:shd w:val="clear" w:color="auto" w:fill="FFD966" w:themeFill="accent4" w:themeFillTint="99"/>
            <w:hideMark/>
          </w:tcPr>
          <w:p w14:paraId="62CB77DF" w14:textId="3B0A26CC" w:rsidR="002F33D0" w:rsidRPr="002F33D0" w:rsidRDefault="002F33D0" w:rsidP="002F33D0">
            <w:pPr>
              <w:ind w:firstLine="0"/>
              <w:jc w:val="both"/>
              <w:rPr>
                <w:rFonts w:eastAsia="Times New Roman"/>
                <w:szCs w:val="24"/>
                <w:lang w:eastAsia="ru-RU"/>
              </w:rPr>
            </w:pPr>
            <w:r w:rsidRPr="002F33D0">
              <w:rPr>
                <w:rFonts w:eastAsia="Times New Roman"/>
                <w:b/>
                <w:bCs/>
                <w:szCs w:val="24"/>
                <w:lang w:eastAsia="ru-RU"/>
              </w:rPr>
              <w:t>Средний</w:t>
            </w:r>
            <w:r w:rsidRPr="002F33D0">
              <w:rPr>
                <w:rFonts w:eastAsia="Times New Roman"/>
                <w:szCs w:val="24"/>
                <w:lang w:eastAsia="ru-RU"/>
              </w:rPr>
              <w:t xml:space="preserve"> </w:t>
            </w:r>
            <w:r w:rsidR="009D20AE">
              <w:rPr>
                <w:rFonts w:eastAsia="Times New Roman"/>
                <w:szCs w:val="24"/>
                <w:lang w:eastAsia="ru-RU"/>
              </w:rPr>
              <w:t>–</w:t>
            </w:r>
            <w:r w:rsidRPr="002F33D0">
              <w:rPr>
                <w:rFonts w:eastAsia="Times New Roman"/>
                <w:szCs w:val="24"/>
                <w:lang w:eastAsia="ru-RU"/>
              </w:rPr>
              <w:t xml:space="preserve"> Отдельные элементы инновационной деятельности функционируют, но между ними отсутствует согласованность и стратегическая направленность; инновации носят локальный характер.</w:t>
            </w:r>
          </w:p>
        </w:tc>
      </w:tr>
      <w:tr w:rsidR="002F33D0" w:rsidRPr="002F33D0" w14:paraId="124C848F" w14:textId="77777777" w:rsidTr="002F33D0">
        <w:tc>
          <w:tcPr>
            <w:tcW w:w="0" w:type="auto"/>
            <w:shd w:val="clear" w:color="auto" w:fill="B4C6E7" w:themeFill="accent5" w:themeFillTint="66"/>
            <w:hideMark/>
          </w:tcPr>
          <w:p w14:paraId="6FA626B4" w14:textId="1ACC1CFC" w:rsidR="002F33D0" w:rsidRPr="002F33D0" w:rsidRDefault="002F33D0" w:rsidP="00E27253">
            <w:pPr>
              <w:ind w:firstLine="0"/>
              <w:jc w:val="both"/>
              <w:rPr>
                <w:rFonts w:eastAsia="Times New Roman"/>
                <w:szCs w:val="24"/>
                <w:lang w:eastAsia="ru-RU"/>
              </w:rPr>
            </w:pPr>
            <w:r w:rsidRPr="002F33D0">
              <w:rPr>
                <w:rFonts w:eastAsia="Times New Roman"/>
                <w:b/>
                <w:bCs/>
                <w:szCs w:val="24"/>
                <w:lang w:eastAsia="ru-RU"/>
              </w:rPr>
              <w:t>0,46</w:t>
            </w:r>
            <w:r w:rsidR="00E27253">
              <w:rPr>
                <w:rFonts w:eastAsia="Times New Roman"/>
                <w:b/>
                <w:bCs/>
                <w:szCs w:val="24"/>
                <w:lang w:val="kk-KZ" w:eastAsia="ru-RU"/>
              </w:rPr>
              <w:t>-</w:t>
            </w:r>
            <w:r w:rsidRPr="002F33D0">
              <w:rPr>
                <w:rFonts w:eastAsia="Times New Roman"/>
                <w:b/>
                <w:bCs/>
                <w:szCs w:val="24"/>
                <w:lang w:eastAsia="ru-RU"/>
              </w:rPr>
              <w:t>0,65</w:t>
            </w:r>
          </w:p>
        </w:tc>
        <w:tc>
          <w:tcPr>
            <w:tcW w:w="0" w:type="auto"/>
            <w:shd w:val="clear" w:color="auto" w:fill="B4C6E7" w:themeFill="accent5" w:themeFillTint="66"/>
            <w:hideMark/>
          </w:tcPr>
          <w:p w14:paraId="5427B4B6" w14:textId="1C862BFB" w:rsidR="002F33D0" w:rsidRPr="002F33D0" w:rsidRDefault="002F33D0" w:rsidP="002F33D0">
            <w:pPr>
              <w:ind w:firstLine="0"/>
              <w:jc w:val="both"/>
              <w:rPr>
                <w:rFonts w:eastAsia="Times New Roman"/>
                <w:szCs w:val="24"/>
                <w:lang w:eastAsia="ru-RU"/>
              </w:rPr>
            </w:pPr>
            <w:r w:rsidRPr="002F33D0">
              <w:rPr>
                <w:rFonts w:eastAsia="Times New Roman"/>
                <w:b/>
                <w:bCs/>
                <w:szCs w:val="24"/>
                <w:lang w:eastAsia="ru-RU"/>
              </w:rPr>
              <w:t>Умеренно высокий</w:t>
            </w:r>
            <w:r w:rsidRPr="002F33D0">
              <w:rPr>
                <w:rFonts w:eastAsia="Times New Roman"/>
                <w:szCs w:val="24"/>
                <w:lang w:eastAsia="ru-RU"/>
              </w:rPr>
              <w:t xml:space="preserve"> </w:t>
            </w:r>
            <w:r w:rsidR="009D20AE">
              <w:rPr>
                <w:rFonts w:eastAsia="Times New Roman"/>
                <w:szCs w:val="24"/>
                <w:lang w:eastAsia="ru-RU"/>
              </w:rPr>
              <w:t>–</w:t>
            </w:r>
            <w:r w:rsidRPr="002F33D0">
              <w:rPr>
                <w:rFonts w:eastAsia="Times New Roman"/>
                <w:szCs w:val="24"/>
                <w:lang w:eastAsia="ru-RU"/>
              </w:rPr>
              <w:t xml:space="preserve"> Инновационные процессы становятся целенаправленными, ресурсы частично интегрированы в производственные и управленческие контуры.</w:t>
            </w:r>
          </w:p>
        </w:tc>
      </w:tr>
      <w:tr w:rsidR="002F33D0" w:rsidRPr="002F33D0" w14:paraId="5214B902" w14:textId="77777777" w:rsidTr="002F33D0">
        <w:tc>
          <w:tcPr>
            <w:tcW w:w="0" w:type="auto"/>
            <w:shd w:val="clear" w:color="auto" w:fill="92D050"/>
            <w:hideMark/>
          </w:tcPr>
          <w:p w14:paraId="1C861EA5" w14:textId="391F44EB" w:rsidR="002F33D0" w:rsidRPr="002F33D0" w:rsidRDefault="002F33D0" w:rsidP="00E27253">
            <w:pPr>
              <w:ind w:firstLine="0"/>
              <w:jc w:val="both"/>
              <w:rPr>
                <w:rFonts w:eastAsia="Times New Roman"/>
                <w:szCs w:val="24"/>
                <w:lang w:eastAsia="ru-RU"/>
              </w:rPr>
            </w:pPr>
            <w:r w:rsidRPr="002F33D0">
              <w:rPr>
                <w:rFonts w:eastAsia="Times New Roman"/>
                <w:b/>
                <w:bCs/>
                <w:szCs w:val="24"/>
                <w:lang w:eastAsia="ru-RU"/>
              </w:rPr>
              <w:t>0,66</w:t>
            </w:r>
            <w:r w:rsidR="00E27253">
              <w:rPr>
                <w:rFonts w:eastAsia="Times New Roman"/>
                <w:b/>
                <w:bCs/>
                <w:szCs w:val="24"/>
                <w:lang w:val="kk-KZ" w:eastAsia="ru-RU"/>
              </w:rPr>
              <w:t>-</w:t>
            </w:r>
            <w:r w:rsidRPr="002F33D0">
              <w:rPr>
                <w:rFonts w:eastAsia="Times New Roman"/>
                <w:b/>
                <w:bCs/>
                <w:szCs w:val="24"/>
                <w:lang w:eastAsia="ru-RU"/>
              </w:rPr>
              <w:t>0,85</w:t>
            </w:r>
          </w:p>
        </w:tc>
        <w:tc>
          <w:tcPr>
            <w:tcW w:w="0" w:type="auto"/>
            <w:shd w:val="clear" w:color="auto" w:fill="92D050"/>
            <w:hideMark/>
          </w:tcPr>
          <w:p w14:paraId="6052585C" w14:textId="7EEABAF7" w:rsidR="002F33D0" w:rsidRPr="002F33D0" w:rsidRDefault="002F33D0" w:rsidP="002F33D0">
            <w:pPr>
              <w:ind w:firstLine="0"/>
              <w:jc w:val="both"/>
              <w:rPr>
                <w:rFonts w:eastAsia="Times New Roman"/>
                <w:szCs w:val="24"/>
                <w:lang w:eastAsia="ru-RU"/>
              </w:rPr>
            </w:pPr>
            <w:r w:rsidRPr="002F33D0">
              <w:rPr>
                <w:rFonts w:eastAsia="Times New Roman"/>
                <w:b/>
                <w:bCs/>
                <w:szCs w:val="24"/>
                <w:lang w:eastAsia="ru-RU"/>
              </w:rPr>
              <w:t>Высокий</w:t>
            </w:r>
            <w:r w:rsidRPr="002F33D0">
              <w:rPr>
                <w:rFonts w:eastAsia="Times New Roman"/>
                <w:szCs w:val="24"/>
                <w:lang w:eastAsia="ru-RU"/>
              </w:rPr>
              <w:t xml:space="preserve"> </w:t>
            </w:r>
            <w:r w:rsidR="009D20AE">
              <w:rPr>
                <w:rFonts w:eastAsia="Times New Roman"/>
                <w:szCs w:val="24"/>
                <w:lang w:eastAsia="ru-RU"/>
              </w:rPr>
              <w:t>–</w:t>
            </w:r>
            <w:r w:rsidRPr="002F33D0">
              <w:rPr>
                <w:rFonts w:eastAsia="Times New Roman"/>
                <w:szCs w:val="24"/>
                <w:lang w:eastAsia="ru-RU"/>
              </w:rPr>
              <w:t xml:space="preserve"> Инновации встроены в стратегию предприятия, развита цифровая среда и инновационная культура; обеспечена устойчивая адаптация к технологическим изменениям.</w:t>
            </w:r>
          </w:p>
        </w:tc>
      </w:tr>
      <w:tr w:rsidR="002F33D0" w:rsidRPr="002F33D0" w14:paraId="4371FC69" w14:textId="77777777" w:rsidTr="002F33D0">
        <w:tc>
          <w:tcPr>
            <w:tcW w:w="0" w:type="auto"/>
            <w:shd w:val="clear" w:color="auto" w:fill="C5E0B3" w:themeFill="accent6" w:themeFillTint="66"/>
            <w:hideMark/>
          </w:tcPr>
          <w:p w14:paraId="000A57AC" w14:textId="5EBA8B63" w:rsidR="002F33D0" w:rsidRPr="002F33D0" w:rsidRDefault="002F33D0" w:rsidP="00E27253">
            <w:pPr>
              <w:ind w:firstLine="0"/>
              <w:jc w:val="both"/>
              <w:rPr>
                <w:rFonts w:eastAsia="Times New Roman"/>
                <w:szCs w:val="24"/>
                <w:lang w:eastAsia="ru-RU"/>
              </w:rPr>
            </w:pPr>
            <w:r w:rsidRPr="002F33D0">
              <w:rPr>
                <w:rFonts w:eastAsia="Times New Roman"/>
                <w:b/>
                <w:bCs/>
                <w:szCs w:val="24"/>
                <w:lang w:eastAsia="ru-RU"/>
              </w:rPr>
              <w:t>0,86</w:t>
            </w:r>
            <w:r w:rsidR="00E27253">
              <w:rPr>
                <w:rFonts w:eastAsia="Times New Roman"/>
                <w:b/>
                <w:bCs/>
                <w:szCs w:val="24"/>
                <w:lang w:val="kk-KZ" w:eastAsia="ru-RU"/>
              </w:rPr>
              <w:t>-</w:t>
            </w:r>
            <w:r w:rsidRPr="002F33D0">
              <w:rPr>
                <w:rFonts w:eastAsia="Times New Roman"/>
                <w:b/>
                <w:bCs/>
                <w:szCs w:val="24"/>
                <w:lang w:eastAsia="ru-RU"/>
              </w:rPr>
              <w:t>1,00</w:t>
            </w:r>
          </w:p>
        </w:tc>
        <w:tc>
          <w:tcPr>
            <w:tcW w:w="0" w:type="auto"/>
            <w:shd w:val="clear" w:color="auto" w:fill="C5E0B3" w:themeFill="accent6" w:themeFillTint="66"/>
            <w:hideMark/>
          </w:tcPr>
          <w:p w14:paraId="27D22213" w14:textId="1F606FAD" w:rsidR="002F33D0" w:rsidRPr="002F33D0" w:rsidRDefault="002F33D0" w:rsidP="002F33D0">
            <w:pPr>
              <w:ind w:firstLine="0"/>
              <w:jc w:val="both"/>
              <w:rPr>
                <w:rFonts w:eastAsia="Times New Roman"/>
                <w:szCs w:val="24"/>
                <w:lang w:eastAsia="ru-RU"/>
              </w:rPr>
            </w:pPr>
            <w:r w:rsidRPr="002F33D0">
              <w:rPr>
                <w:rFonts w:eastAsia="Times New Roman"/>
                <w:b/>
                <w:bCs/>
                <w:szCs w:val="24"/>
                <w:lang w:eastAsia="ru-RU"/>
              </w:rPr>
              <w:t>Лидерский уровень</w:t>
            </w:r>
            <w:r w:rsidRPr="002F33D0">
              <w:rPr>
                <w:rFonts w:eastAsia="Times New Roman"/>
                <w:szCs w:val="24"/>
                <w:lang w:eastAsia="ru-RU"/>
              </w:rPr>
              <w:t xml:space="preserve"> </w:t>
            </w:r>
            <w:r w:rsidR="009D20AE">
              <w:rPr>
                <w:rFonts w:eastAsia="Times New Roman"/>
                <w:szCs w:val="24"/>
                <w:lang w:eastAsia="ru-RU"/>
              </w:rPr>
              <w:t>–</w:t>
            </w:r>
            <w:r w:rsidRPr="002F33D0">
              <w:rPr>
                <w:rFonts w:eastAsia="Times New Roman"/>
                <w:szCs w:val="24"/>
                <w:lang w:eastAsia="ru-RU"/>
              </w:rPr>
              <w:t xml:space="preserve"> Достигается цифровая зрелость, устойчивое воспроизводство инноваций и стратегическая ориентация на развитие человеческого капитала и партнёрских экосистем.</w:t>
            </w:r>
          </w:p>
        </w:tc>
      </w:tr>
      <w:tr w:rsidR="002D5680" w:rsidRPr="002F33D0" w14:paraId="70DBAE91" w14:textId="77777777" w:rsidTr="0082050D">
        <w:tc>
          <w:tcPr>
            <w:tcW w:w="0" w:type="auto"/>
            <w:gridSpan w:val="2"/>
            <w:shd w:val="clear" w:color="auto" w:fill="auto"/>
          </w:tcPr>
          <w:p w14:paraId="2E2C3435" w14:textId="2D4ED425" w:rsidR="002D5680" w:rsidRPr="002D5680" w:rsidRDefault="002D5680" w:rsidP="000F3C80">
            <w:pPr>
              <w:ind w:firstLine="455"/>
              <w:jc w:val="both"/>
              <w:rPr>
                <w:rFonts w:eastAsia="Times New Roman"/>
                <w:bCs/>
                <w:szCs w:val="24"/>
                <w:lang w:val="kk-KZ" w:eastAsia="ru-RU"/>
              </w:rPr>
            </w:pPr>
            <w:r w:rsidRPr="00EE311D">
              <w:rPr>
                <w:rFonts w:eastAsia="Times New Roman"/>
                <w:bCs/>
                <w:szCs w:val="24"/>
                <w:lang w:val="kk-KZ" w:eastAsia="ru-RU"/>
              </w:rPr>
              <w:t xml:space="preserve">Примечание – </w:t>
            </w:r>
            <w:r w:rsidR="000F3C80" w:rsidRPr="00EE311D">
              <w:rPr>
                <w:rFonts w:eastAsia="Times New Roman"/>
                <w:bCs/>
                <w:szCs w:val="24"/>
                <w:lang w:val="kk-KZ" w:eastAsia="ru-RU"/>
              </w:rPr>
              <w:t>С</w:t>
            </w:r>
            <w:r w:rsidRPr="00EE311D">
              <w:rPr>
                <w:rFonts w:eastAsia="Times New Roman"/>
                <w:bCs/>
                <w:szCs w:val="24"/>
                <w:lang w:val="kk-KZ" w:eastAsia="ru-RU"/>
              </w:rPr>
              <w:t>оставлено автором</w:t>
            </w:r>
          </w:p>
        </w:tc>
      </w:tr>
    </w:tbl>
    <w:p w14:paraId="06ED1087" w14:textId="77777777" w:rsidR="002F33D0" w:rsidRPr="002F33D0" w:rsidRDefault="002F33D0" w:rsidP="002F33D0">
      <w:pPr>
        <w:spacing w:after="0" w:line="240" w:lineRule="auto"/>
        <w:jc w:val="both"/>
        <w:rPr>
          <w:rFonts w:ascii="Times New Roman" w:hAnsi="Times New Roman" w:cs="Times New Roman"/>
          <w:sz w:val="28"/>
          <w:szCs w:val="28"/>
        </w:rPr>
      </w:pPr>
    </w:p>
    <w:p w14:paraId="4F9FD05A" w14:textId="77777777" w:rsidR="002F33D0" w:rsidRPr="002F33D0" w:rsidRDefault="002F33D0" w:rsidP="002F33D0">
      <w:pPr>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Представленная шкала интерпретации формирует методологическую основу для перехода от количественного значения индекса инновационного потенциала к его управленческой оценке. Она позволяет отнести каждое предприятие к определённому уровню инновационной зрелости и сопоставить его профиль с типологическими характеристиками, выявленными с помощью латентного кластерного анализа во второй главе. Таким образом, шкала служит инструментом содержательной интерпретации, обеспечивая прямую связь интегрального показателя с эмпирическими закономерностями инновационного поведения предприятий.</w:t>
      </w:r>
    </w:p>
    <w:p w14:paraId="4108E735" w14:textId="7FE53E65" w:rsidR="002F33D0" w:rsidRPr="002F33D0" w:rsidRDefault="002F33D0" w:rsidP="002F33D0">
      <w:pPr>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 xml:space="preserve">Для демонстрации практической работы алгоритма и применения указанной шкалы ниже представлен пример расчёта интегрального индекса инновационного потенциала для условного предприятия средней категории </w:t>
      </w:r>
      <w:r w:rsidR="002D5680">
        <w:rPr>
          <w:rFonts w:ascii="Times New Roman" w:hAnsi="Times New Roman" w:cs="Times New Roman"/>
          <w:sz w:val="28"/>
          <w:szCs w:val="28"/>
          <w:lang w:val="kk-KZ"/>
        </w:rPr>
        <w:t>(таблица 3</w:t>
      </w:r>
      <w:r w:rsidRPr="002F33D0">
        <w:rPr>
          <w:rFonts w:ascii="Times New Roman" w:hAnsi="Times New Roman" w:cs="Times New Roman"/>
          <w:sz w:val="28"/>
          <w:szCs w:val="28"/>
          <w:lang w:val="kk-KZ"/>
        </w:rPr>
        <w:t xml:space="preserve">4). Этот пример позволяет проследить весь цикл обработки данных </w:t>
      </w:r>
      <w:r w:rsidR="009D20AE">
        <w:rPr>
          <w:rFonts w:ascii="Times New Roman" w:hAnsi="Times New Roman" w:cs="Times New Roman"/>
          <w:sz w:val="28"/>
          <w:szCs w:val="28"/>
          <w:lang w:val="kk-KZ"/>
        </w:rPr>
        <w:t>–</w:t>
      </w:r>
      <w:r w:rsidRPr="002F33D0">
        <w:rPr>
          <w:rFonts w:ascii="Times New Roman" w:hAnsi="Times New Roman" w:cs="Times New Roman"/>
          <w:sz w:val="28"/>
          <w:szCs w:val="28"/>
          <w:lang w:val="kk-KZ"/>
        </w:rPr>
        <w:t xml:space="preserve"> от нормализации оценок по процессным функциям до применения β-весов и получения итогового значения ИП-индекса, определяющего уровень инновационной зрелости в соответствии с интерпретационными диапазонами.</w:t>
      </w:r>
    </w:p>
    <w:p w14:paraId="1C0E961A" w14:textId="2F59A78D" w:rsidR="002F33D0" w:rsidRDefault="002F33D0" w:rsidP="002F33D0">
      <w:pPr>
        <w:spacing w:after="0" w:line="240" w:lineRule="auto"/>
        <w:jc w:val="both"/>
        <w:rPr>
          <w:rFonts w:ascii="Times New Roman" w:hAnsi="Times New Roman" w:cs="Times New Roman"/>
          <w:sz w:val="28"/>
          <w:szCs w:val="28"/>
        </w:rPr>
      </w:pPr>
    </w:p>
    <w:p w14:paraId="5D499458" w14:textId="77777777" w:rsidR="005129E8" w:rsidRDefault="005129E8" w:rsidP="002F33D0">
      <w:pPr>
        <w:spacing w:after="0" w:line="240" w:lineRule="auto"/>
        <w:jc w:val="both"/>
        <w:rPr>
          <w:rFonts w:ascii="Times New Roman" w:hAnsi="Times New Roman" w:cs="Times New Roman"/>
          <w:sz w:val="28"/>
          <w:szCs w:val="28"/>
        </w:rPr>
      </w:pPr>
    </w:p>
    <w:p w14:paraId="76A135DD" w14:textId="73068C84" w:rsidR="002F33D0" w:rsidRPr="002F33D0" w:rsidRDefault="002D5680" w:rsidP="002F33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Таблица 3</w:t>
      </w:r>
      <w:r w:rsidR="002F33D0" w:rsidRPr="002F33D0">
        <w:rPr>
          <w:rFonts w:ascii="Times New Roman" w:hAnsi="Times New Roman" w:cs="Times New Roman"/>
          <w:sz w:val="28"/>
          <w:szCs w:val="28"/>
        </w:rPr>
        <w:t>4 – Пример расчёта интегрального индекса инновационного потенциала (ИП-индекса)</w:t>
      </w:r>
    </w:p>
    <w:p w14:paraId="219C57FF" w14:textId="77777777" w:rsidR="002F33D0" w:rsidRPr="002D5680" w:rsidRDefault="002F33D0" w:rsidP="002F33D0">
      <w:pPr>
        <w:spacing w:after="0" w:line="240" w:lineRule="auto"/>
        <w:jc w:val="both"/>
        <w:rPr>
          <w:rFonts w:ascii="Times New Roman" w:hAnsi="Times New Roman" w:cs="Times New Roman"/>
          <w:sz w:val="20"/>
          <w:szCs w:val="20"/>
        </w:rPr>
      </w:pPr>
    </w:p>
    <w:tbl>
      <w:tblPr>
        <w:tblStyle w:val="a5"/>
        <w:tblW w:w="0" w:type="auto"/>
        <w:tblLook w:val="04A0" w:firstRow="1" w:lastRow="0" w:firstColumn="1" w:lastColumn="0" w:noHBand="0" w:noVBand="1"/>
      </w:tblPr>
      <w:tblGrid>
        <w:gridCol w:w="2790"/>
        <w:gridCol w:w="709"/>
        <w:gridCol w:w="760"/>
        <w:gridCol w:w="709"/>
        <w:gridCol w:w="760"/>
        <w:gridCol w:w="709"/>
        <w:gridCol w:w="760"/>
        <w:gridCol w:w="636"/>
        <w:gridCol w:w="756"/>
        <w:gridCol w:w="756"/>
      </w:tblGrid>
      <w:tr w:rsidR="002F33D0" w:rsidRPr="002F33D0" w14:paraId="470FFCE6" w14:textId="77777777" w:rsidTr="002F33D0">
        <w:tc>
          <w:tcPr>
            <w:tcW w:w="0" w:type="auto"/>
            <w:shd w:val="clear" w:color="auto" w:fill="D9D9D9" w:themeFill="background1" w:themeFillShade="D9"/>
            <w:hideMark/>
          </w:tcPr>
          <w:p w14:paraId="05E89D18" w14:textId="77777777" w:rsidR="002F33D0" w:rsidRPr="002F33D0" w:rsidRDefault="002F33D0" w:rsidP="002F33D0">
            <w:pPr>
              <w:ind w:firstLine="0"/>
              <w:jc w:val="both"/>
              <w:rPr>
                <w:rFonts w:eastAsia="Times New Roman"/>
                <w:bCs/>
                <w:szCs w:val="24"/>
                <w:lang w:val="kk-KZ" w:eastAsia="ru-RU"/>
              </w:rPr>
            </w:pPr>
            <w:r w:rsidRPr="002F33D0">
              <w:rPr>
                <w:rFonts w:eastAsia="Times New Roman"/>
                <w:bCs/>
                <w:szCs w:val="24"/>
                <w:lang w:eastAsia="ru-RU"/>
              </w:rPr>
              <w:t>Ресурсный компонент</w:t>
            </w:r>
            <w:r w:rsidRPr="002F33D0">
              <w:rPr>
                <w:rFonts w:eastAsia="Times New Roman"/>
                <w:bCs/>
                <w:szCs w:val="24"/>
                <w:lang w:val="kk-KZ" w:eastAsia="ru-RU"/>
              </w:rPr>
              <w:t xml:space="preserve"> (</w:t>
            </w:r>
            <w:r w:rsidRPr="002F33D0">
              <w:rPr>
                <w:rFonts w:eastAsia="Times New Roman"/>
                <w:bCs/>
                <w:i/>
                <w:szCs w:val="24"/>
                <w:lang w:val="kk-KZ" w:eastAsia="ru-RU"/>
              </w:rPr>
              <w:t>і</w:t>
            </w:r>
            <w:r w:rsidRPr="002F33D0">
              <w:rPr>
                <w:rFonts w:eastAsia="Times New Roman"/>
                <w:bCs/>
                <w:szCs w:val="24"/>
                <w:lang w:val="kk-KZ" w:eastAsia="ru-RU"/>
              </w:rPr>
              <w:t>)</w:t>
            </w:r>
          </w:p>
        </w:tc>
        <w:tc>
          <w:tcPr>
            <w:tcW w:w="0" w:type="auto"/>
            <w:shd w:val="clear" w:color="auto" w:fill="D9D9D9" w:themeFill="background1" w:themeFillShade="D9"/>
            <w:hideMark/>
          </w:tcPr>
          <w:p w14:paraId="47DF51D3" w14:textId="77777777" w:rsidR="002F33D0" w:rsidRPr="002F33D0" w:rsidRDefault="002F33D0" w:rsidP="002F33D0">
            <w:pPr>
              <w:ind w:firstLine="0"/>
              <w:jc w:val="both"/>
              <w:rPr>
                <w:rFonts w:eastAsia="Times New Roman"/>
                <w:bCs/>
                <w:szCs w:val="24"/>
                <w:lang w:val="kk-KZ" w:eastAsia="ru-RU"/>
              </w:rPr>
            </w:pPr>
            <w:r w:rsidRPr="002F33D0">
              <w:rPr>
                <w:rFonts w:eastAsia="Times New Roman"/>
                <w:bCs/>
                <w:szCs w:val="24"/>
                <w:lang w:eastAsia="ru-RU"/>
              </w:rPr>
              <w:t>P</w:t>
            </w:r>
            <w:r w:rsidRPr="002F33D0">
              <w:rPr>
                <w:rFonts w:eastAsia="Times New Roman"/>
                <w:bCs/>
                <w:szCs w:val="24"/>
                <w:vertAlign w:val="subscript"/>
                <w:lang w:val="kk-KZ" w:eastAsia="ru-RU"/>
              </w:rPr>
              <w:t>1</w:t>
            </w:r>
            <w:r w:rsidRPr="002F33D0">
              <w:rPr>
                <w:rFonts w:eastAsia="Times New Roman"/>
                <w:bCs/>
                <w:szCs w:val="24"/>
                <w:lang w:val="kk-KZ" w:eastAsia="ru-RU"/>
              </w:rPr>
              <w:t xml:space="preserve">: </w:t>
            </w:r>
            <m:oMath>
              <m:sSub>
                <m:sSubPr>
                  <m:ctrlPr>
                    <w:rPr>
                      <w:rFonts w:ascii="Cambria Math" w:eastAsia="Times New Roman" w:hAnsi="Cambria Math"/>
                      <w:bCs/>
                      <w:i/>
                      <w:szCs w:val="24"/>
                      <w:lang w:val="kk-KZ" w:eastAsia="ru-RU"/>
                    </w:rPr>
                  </m:ctrlPr>
                </m:sSubPr>
                <m:e>
                  <m:r>
                    <w:rPr>
                      <w:rFonts w:ascii="Cambria Math" w:eastAsia="Times New Roman" w:hAnsi="Cambria Math"/>
                      <w:szCs w:val="24"/>
                      <w:lang w:val="en-US" w:eastAsia="ru-RU"/>
                    </w:rPr>
                    <m:t>X</m:t>
                  </m:r>
                </m:e>
                <m:sub>
                  <m:r>
                    <w:rPr>
                      <w:rFonts w:ascii="Cambria Math" w:eastAsia="Times New Roman" w:hAnsi="Cambria Math"/>
                      <w:szCs w:val="24"/>
                      <w:lang w:val="kk-KZ" w:eastAsia="ru-RU"/>
                    </w:rPr>
                    <m:t>i1</m:t>
                  </m:r>
                </m:sub>
              </m:sSub>
            </m:oMath>
            <w:r w:rsidRPr="002F33D0">
              <w:rPr>
                <w:rFonts w:eastAsia="Times New Roman"/>
                <w:bCs/>
                <w:szCs w:val="24"/>
                <w:lang w:val="kk-KZ" w:eastAsia="ru-RU"/>
              </w:rPr>
              <w:t xml:space="preserve"> </w:t>
            </w:r>
          </w:p>
        </w:tc>
        <w:tc>
          <w:tcPr>
            <w:tcW w:w="0" w:type="auto"/>
            <w:shd w:val="clear" w:color="auto" w:fill="D9D9D9" w:themeFill="background1" w:themeFillShade="D9"/>
            <w:hideMark/>
          </w:tcPr>
          <w:p w14:paraId="5D52D6A7" w14:textId="77777777" w:rsidR="002F33D0" w:rsidRPr="002F33D0" w:rsidRDefault="002F33D0" w:rsidP="002F33D0">
            <w:pPr>
              <w:ind w:firstLine="0"/>
              <w:jc w:val="both"/>
              <w:rPr>
                <w:rFonts w:eastAsia="Times New Roman"/>
                <w:bCs/>
                <w:szCs w:val="24"/>
                <w:lang w:eastAsia="ru-RU"/>
              </w:rPr>
            </w:pPr>
            <w:r w:rsidRPr="002F33D0">
              <w:rPr>
                <w:rFonts w:eastAsia="Times New Roman"/>
                <w:bCs/>
                <w:szCs w:val="24"/>
                <w:lang w:eastAsia="ru-RU"/>
              </w:rPr>
              <w:t>P</w:t>
            </w:r>
            <w:r w:rsidRPr="002F33D0">
              <w:rPr>
                <w:rFonts w:eastAsia="Times New Roman"/>
                <w:bCs/>
                <w:szCs w:val="24"/>
                <w:vertAlign w:val="subscript"/>
                <w:lang w:val="kk-KZ" w:eastAsia="ru-RU"/>
              </w:rPr>
              <w:t>1</w:t>
            </w:r>
            <w:r w:rsidRPr="002F33D0">
              <w:rPr>
                <w:rFonts w:eastAsia="Times New Roman"/>
                <w:bCs/>
                <w:szCs w:val="24"/>
                <w:lang w:val="kk-KZ" w:eastAsia="ru-RU"/>
              </w:rPr>
              <w:t>:</w:t>
            </w:r>
            <w:r w:rsidRPr="002F33D0">
              <w:rPr>
                <w:rFonts w:eastAsia="Times New Roman"/>
                <w:bCs/>
                <w:szCs w:val="24"/>
                <w:lang w:val="en-US" w:eastAsia="ru-RU"/>
              </w:rPr>
              <w:t xml:space="preserve"> </w:t>
            </w:r>
            <m:oMath>
              <m:sSubSup>
                <m:sSubSupPr>
                  <m:ctrlPr>
                    <w:rPr>
                      <w:rFonts w:ascii="Cambria Math" w:eastAsia="Times New Roman" w:hAnsi="Cambria Math"/>
                      <w:bCs/>
                      <w:i/>
                      <w:szCs w:val="24"/>
                      <w:lang w:val="kk-KZ" w:eastAsia="ru-RU"/>
                    </w:rPr>
                  </m:ctrlPr>
                </m:sSubSupPr>
                <m:e>
                  <m:r>
                    <w:rPr>
                      <w:rFonts w:ascii="Cambria Math" w:eastAsia="Times New Roman" w:hAnsi="Cambria Math"/>
                      <w:szCs w:val="24"/>
                      <w:lang w:val="kk-KZ" w:eastAsia="ru-RU"/>
                    </w:rPr>
                    <m:t>X</m:t>
                  </m:r>
                </m:e>
                <m:sub>
                  <m:r>
                    <w:rPr>
                      <w:rFonts w:ascii="Cambria Math" w:eastAsia="Times New Roman" w:hAnsi="Cambria Math"/>
                      <w:szCs w:val="24"/>
                      <w:lang w:val="kk-KZ" w:eastAsia="ru-RU"/>
                    </w:rPr>
                    <m:t>i1</m:t>
                  </m:r>
                </m:sub>
                <m:sup>
                  <m:r>
                    <w:rPr>
                      <w:rFonts w:ascii="Cambria Math" w:eastAsia="Times New Roman" w:hAnsi="Cambria Math"/>
                      <w:szCs w:val="24"/>
                      <w:lang w:val="kk-KZ" w:eastAsia="ru-RU"/>
                    </w:rPr>
                    <m:t>'</m:t>
                  </m:r>
                </m:sup>
              </m:sSubSup>
            </m:oMath>
          </w:p>
        </w:tc>
        <w:tc>
          <w:tcPr>
            <w:tcW w:w="0" w:type="auto"/>
            <w:shd w:val="clear" w:color="auto" w:fill="D9D9D9" w:themeFill="background1" w:themeFillShade="D9"/>
            <w:hideMark/>
          </w:tcPr>
          <w:p w14:paraId="4E01BE0D" w14:textId="77777777" w:rsidR="002F33D0" w:rsidRPr="002F33D0" w:rsidRDefault="002F33D0" w:rsidP="002F33D0">
            <w:pPr>
              <w:ind w:firstLine="0"/>
              <w:jc w:val="both"/>
              <w:rPr>
                <w:rFonts w:eastAsia="Times New Roman"/>
                <w:bCs/>
                <w:szCs w:val="24"/>
                <w:lang w:eastAsia="ru-RU"/>
              </w:rPr>
            </w:pPr>
            <w:r w:rsidRPr="002F33D0">
              <w:rPr>
                <w:rFonts w:eastAsia="Times New Roman"/>
                <w:bCs/>
                <w:szCs w:val="24"/>
                <w:lang w:eastAsia="ru-RU"/>
              </w:rPr>
              <w:t>P</w:t>
            </w:r>
            <w:r w:rsidRPr="002F33D0">
              <w:rPr>
                <w:rFonts w:eastAsia="Times New Roman"/>
                <w:bCs/>
                <w:szCs w:val="24"/>
                <w:vertAlign w:val="subscript"/>
                <w:lang w:val="en-US" w:eastAsia="ru-RU"/>
              </w:rPr>
              <w:t>2</w:t>
            </w:r>
            <w:r w:rsidRPr="002F33D0">
              <w:rPr>
                <w:rFonts w:eastAsia="Times New Roman"/>
                <w:bCs/>
                <w:szCs w:val="24"/>
                <w:lang w:val="kk-KZ" w:eastAsia="ru-RU"/>
              </w:rPr>
              <w:t xml:space="preserve">: </w:t>
            </w:r>
            <m:oMath>
              <m:sSub>
                <m:sSubPr>
                  <m:ctrlPr>
                    <w:rPr>
                      <w:rFonts w:ascii="Cambria Math" w:eastAsia="Times New Roman" w:hAnsi="Cambria Math"/>
                      <w:bCs/>
                      <w:i/>
                      <w:szCs w:val="24"/>
                      <w:lang w:val="kk-KZ" w:eastAsia="ru-RU"/>
                    </w:rPr>
                  </m:ctrlPr>
                </m:sSubPr>
                <m:e>
                  <m:r>
                    <w:rPr>
                      <w:rFonts w:ascii="Cambria Math" w:eastAsia="Times New Roman" w:hAnsi="Cambria Math"/>
                      <w:szCs w:val="24"/>
                      <w:lang w:val="en-US" w:eastAsia="ru-RU"/>
                    </w:rPr>
                    <m:t>X</m:t>
                  </m:r>
                </m:e>
                <m:sub>
                  <m:r>
                    <w:rPr>
                      <w:rFonts w:ascii="Cambria Math" w:eastAsia="Times New Roman" w:hAnsi="Cambria Math"/>
                      <w:szCs w:val="24"/>
                      <w:lang w:val="kk-KZ" w:eastAsia="ru-RU"/>
                    </w:rPr>
                    <m:t>i2</m:t>
                  </m:r>
                </m:sub>
              </m:sSub>
            </m:oMath>
            <w:r w:rsidRPr="002F33D0">
              <w:rPr>
                <w:rFonts w:eastAsia="Times New Roman"/>
                <w:bCs/>
                <w:szCs w:val="24"/>
                <w:lang w:val="kk-KZ" w:eastAsia="ru-RU"/>
              </w:rPr>
              <w:t xml:space="preserve"> </w:t>
            </w:r>
          </w:p>
        </w:tc>
        <w:tc>
          <w:tcPr>
            <w:tcW w:w="0" w:type="auto"/>
            <w:shd w:val="clear" w:color="auto" w:fill="D9D9D9" w:themeFill="background1" w:themeFillShade="D9"/>
            <w:hideMark/>
          </w:tcPr>
          <w:p w14:paraId="33E4DC74" w14:textId="77777777" w:rsidR="002F33D0" w:rsidRPr="002F33D0" w:rsidRDefault="002F33D0" w:rsidP="002F33D0">
            <w:pPr>
              <w:ind w:firstLine="0"/>
              <w:jc w:val="both"/>
              <w:rPr>
                <w:rFonts w:eastAsia="Times New Roman"/>
                <w:bCs/>
                <w:szCs w:val="24"/>
                <w:lang w:eastAsia="ru-RU"/>
              </w:rPr>
            </w:pPr>
            <w:r w:rsidRPr="002F33D0">
              <w:rPr>
                <w:rFonts w:eastAsia="Times New Roman"/>
                <w:bCs/>
                <w:szCs w:val="24"/>
                <w:lang w:eastAsia="ru-RU"/>
              </w:rPr>
              <w:t>P</w:t>
            </w:r>
            <w:r w:rsidRPr="002F33D0">
              <w:rPr>
                <w:rFonts w:eastAsia="Times New Roman"/>
                <w:bCs/>
                <w:szCs w:val="24"/>
                <w:vertAlign w:val="subscript"/>
                <w:lang w:val="en-US" w:eastAsia="ru-RU"/>
              </w:rPr>
              <w:t>2</w:t>
            </w:r>
            <w:r w:rsidRPr="002F33D0">
              <w:rPr>
                <w:rFonts w:eastAsia="Times New Roman"/>
                <w:bCs/>
                <w:szCs w:val="24"/>
                <w:lang w:val="kk-KZ" w:eastAsia="ru-RU"/>
              </w:rPr>
              <w:t>:</w:t>
            </w:r>
            <w:r w:rsidRPr="002F33D0">
              <w:rPr>
                <w:rFonts w:eastAsia="Times New Roman"/>
                <w:bCs/>
                <w:szCs w:val="24"/>
                <w:lang w:val="en-US" w:eastAsia="ru-RU"/>
              </w:rPr>
              <w:t xml:space="preserve"> </w:t>
            </w:r>
            <m:oMath>
              <m:sSubSup>
                <m:sSubSupPr>
                  <m:ctrlPr>
                    <w:rPr>
                      <w:rFonts w:ascii="Cambria Math" w:eastAsia="Times New Roman" w:hAnsi="Cambria Math"/>
                      <w:bCs/>
                      <w:i/>
                      <w:szCs w:val="24"/>
                      <w:lang w:val="kk-KZ" w:eastAsia="ru-RU"/>
                    </w:rPr>
                  </m:ctrlPr>
                </m:sSubSupPr>
                <m:e>
                  <m:r>
                    <w:rPr>
                      <w:rFonts w:ascii="Cambria Math" w:eastAsia="Times New Roman" w:hAnsi="Cambria Math"/>
                      <w:szCs w:val="24"/>
                      <w:lang w:val="kk-KZ" w:eastAsia="ru-RU"/>
                    </w:rPr>
                    <m:t>X</m:t>
                  </m:r>
                </m:e>
                <m:sub>
                  <m:r>
                    <w:rPr>
                      <w:rFonts w:ascii="Cambria Math" w:eastAsia="Times New Roman" w:hAnsi="Cambria Math"/>
                      <w:szCs w:val="24"/>
                      <w:lang w:val="kk-KZ" w:eastAsia="ru-RU"/>
                    </w:rPr>
                    <m:t>i2</m:t>
                  </m:r>
                </m:sub>
                <m:sup>
                  <m:r>
                    <w:rPr>
                      <w:rFonts w:ascii="Cambria Math" w:eastAsia="Times New Roman" w:hAnsi="Cambria Math"/>
                      <w:szCs w:val="24"/>
                      <w:lang w:val="kk-KZ" w:eastAsia="ru-RU"/>
                    </w:rPr>
                    <m:t>'</m:t>
                  </m:r>
                </m:sup>
              </m:sSubSup>
            </m:oMath>
          </w:p>
        </w:tc>
        <w:tc>
          <w:tcPr>
            <w:tcW w:w="0" w:type="auto"/>
            <w:shd w:val="clear" w:color="auto" w:fill="D9D9D9" w:themeFill="background1" w:themeFillShade="D9"/>
            <w:hideMark/>
          </w:tcPr>
          <w:p w14:paraId="6DEA1EE9" w14:textId="77777777" w:rsidR="002F33D0" w:rsidRPr="002F33D0" w:rsidRDefault="002F33D0" w:rsidP="002F33D0">
            <w:pPr>
              <w:ind w:firstLine="0"/>
              <w:jc w:val="both"/>
              <w:rPr>
                <w:rFonts w:eastAsia="Times New Roman"/>
                <w:bCs/>
                <w:szCs w:val="24"/>
                <w:lang w:eastAsia="ru-RU"/>
              </w:rPr>
            </w:pPr>
            <w:r w:rsidRPr="002F33D0">
              <w:rPr>
                <w:rFonts w:eastAsia="Times New Roman"/>
                <w:bCs/>
                <w:szCs w:val="24"/>
                <w:lang w:eastAsia="ru-RU"/>
              </w:rPr>
              <w:t>P</w:t>
            </w:r>
            <w:r w:rsidRPr="002F33D0">
              <w:rPr>
                <w:rFonts w:eastAsia="Times New Roman"/>
                <w:bCs/>
                <w:szCs w:val="24"/>
                <w:vertAlign w:val="subscript"/>
                <w:lang w:val="en-US" w:eastAsia="ru-RU"/>
              </w:rPr>
              <w:t>3</w:t>
            </w:r>
            <w:r w:rsidRPr="002F33D0">
              <w:rPr>
                <w:rFonts w:eastAsia="Times New Roman"/>
                <w:bCs/>
                <w:szCs w:val="24"/>
                <w:lang w:val="kk-KZ" w:eastAsia="ru-RU"/>
              </w:rPr>
              <w:t xml:space="preserve">: </w:t>
            </w:r>
            <m:oMath>
              <m:sSub>
                <m:sSubPr>
                  <m:ctrlPr>
                    <w:rPr>
                      <w:rFonts w:ascii="Cambria Math" w:eastAsia="Times New Roman" w:hAnsi="Cambria Math"/>
                      <w:bCs/>
                      <w:i/>
                      <w:szCs w:val="24"/>
                      <w:lang w:val="kk-KZ" w:eastAsia="ru-RU"/>
                    </w:rPr>
                  </m:ctrlPr>
                </m:sSubPr>
                <m:e>
                  <m:r>
                    <w:rPr>
                      <w:rFonts w:ascii="Cambria Math" w:eastAsia="Times New Roman" w:hAnsi="Cambria Math"/>
                      <w:szCs w:val="24"/>
                      <w:lang w:val="en-US" w:eastAsia="ru-RU"/>
                    </w:rPr>
                    <m:t>X</m:t>
                  </m:r>
                </m:e>
                <m:sub>
                  <m:r>
                    <w:rPr>
                      <w:rFonts w:ascii="Cambria Math" w:eastAsia="Times New Roman" w:hAnsi="Cambria Math"/>
                      <w:szCs w:val="24"/>
                      <w:lang w:val="kk-KZ" w:eastAsia="ru-RU"/>
                    </w:rPr>
                    <m:t>i3</m:t>
                  </m:r>
                </m:sub>
              </m:sSub>
            </m:oMath>
            <w:r w:rsidRPr="002F33D0">
              <w:rPr>
                <w:rFonts w:eastAsia="Times New Roman"/>
                <w:bCs/>
                <w:szCs w:val="24"/>
                <w:lang w:val="kk-KZ" w:eastAsia="ru-RU"/>
              </w:rPr>
              <w:t xml:space="preserve"> </w:t>
            </w:r>
          </w:p>
        </w:tc>
        <w:tc>
          <w:tcPr>
            <w:tcW w:w="0" w:type="auto"/>
            <w:shd w:val="clear" w:color="auto" w:fill="D9D9D9" w:themeFill="background1" w:themeFillShade="D9"/>
            <w:hideMark/>
          </w:tcPr>
          <w:p w14:paraId="49B0C981" w14:textId="77777777" w:rsidR="002F33D0" w:rsidRPr="002F33D0" w:rsidRDefault="002F33D0" w:rsidP="002F33D0">
            <w:pPr>
              <w:ind w:firstLine="0"/>
              <w:jc w:val="both"/>
              <w:rPr>
                <w:rFonts w:eastAsia="Times New Roman"/>
                <w:bCs/>
                <w:szCs w:val="24"/>
                <w:lang w:eastAsia="ru-RU"/>
              </w:rPr>
            </w:pPr>
            <w:r w:rsidRPr="002F33D0">
              <w:rPr>
                <w:rFonts w:eastAsia="Times New Roman"/>
                <w:bCs/>
                <w:szCs w:val="24"/>
                <w:lang w:eastAsia="ru-RU"/>
              </w:rPr>
              <w:t>P</w:t>
            </w:r>
            <w:r w:rsidRPr="002F33D0">
              <w:rPr>
                <w:rFonts w:eastAsia="Times New Roman"/>
                <w:bCs/>
                <w:szCs w:val="24"/>
                <w:vertAlign w:val="subscript"/>
                <w:lang w:val="en-US" w:eastAsia="ru-RU"/>
              </w:rPr>
              <w:t>3</w:t>
            </w:r>
            <w:r w:rsidRPr="002F33D0">
              <w:rPr>
                <w:rFonts w:eastAsia="Times New Roman"/>
                <w:bCs/>
                <w:szCs w:val="24"/>
                <w:lang w:val="kk-KZ" w:eastAsia="ru-RU"/>
              </w:rPr>
              <w:t>:</w:t>
            </w:r>
            <w:r w:rsidRPr="002F33D0">
              <w:rPr>
                <w:rFonts w:eastAsia="Times New Roman"/>
                <w:bCs/>
                <w:szCs w:val="24"/>
                <w:lang w:val="en-US" w:eastAsia="ru-RU"/>
              </w:rPr>
              <w:t xml:space="preserve"> </w:t>
            </w:r>
            <m:oMath>
              <m:sSubSup>
                <m:sSubSupPr>
                  <m:ctrlPr>
                    <w:rPr>
                      <w:rFonts w:ascii="Cambria Math" w:eastAsia="Times New Roman" w:hAnsi="Cambria Math"/>
                      <w:bCs/>
                      <w:i/>
                      <w:szCs w:val="24"/>
                      <w:lang w:val="kk-KZ" w:eastAsia="ru-RU"/>
                    </w:rPr>
                  </m:ctrlPr>
                </m:sSubSupPr>
                <m:e>
                  <m:r>
                    <w:rPr>
                      <w:rFonts w:ascii="Cambria Math" w:eastAsia="Times New Roman" w:hAnsi="Cambria Math"/>
                      <w:szCs w:val="24"/>
                      <w:lang w:val="kk-KZ" w:eastAsia="ru-RU"/>
                    </w:rPr>
                    <m:t>X</m:t>
                  </m:r>
                </m:e>
                <m:sub>
                  <m:r>
                    <w:rPr>
                      <w:rFonts w:ascii="Cambria Math" w:eastAsia="Times New Roman" w:hAnsi="Cambria Math"/>
                      <w:szCs w:val="24"/>
                      <w:lang w:val="kk-KZ" w:eastAsia="ru-RU"/>
                    </w:rPr>
                    <m:t>i3</m:t>
                  </m:r>
                </m:sub>
                <m:sup>
                  <m:r>
                    <w:rPr>
                      <w:rFonts w:ascii="Cambria Math" w:eastAsia="Times New Roman" w:hAnsi="Cambria Math"/>
                      <w:szCs w:val="24"/>
                      <w:lang w:val="kk-KZ" w:eastAsia="ru-RU"/>
                    </w:rPr>
                    <m:t>'</m:t>
                  </m:r>
                </m:sup>
              </m:sSubSup>
            </m:oMath>
          </w:p>
        </w:tc>
        <w:tc>
          <w:tcPr>
            <w:tcW w:w="0" w:type="auto"/>
            <w:shd w:val="clear" w:color="auto" w:fill="D9D9D9" w:themeFill="background1" w:themeFillShade="D9"/>
            <w:hideMark/>
          </w:tcPr>
          <w:p w14:paraId="1E2F3341" w14:textId="77777777" w:rsidR="002F33D0" w:rsidRPr="002F33D0" w:rsidRDefault="001D4931" w:rsidP="002F33D0">
            <w:pPr>
              <w:ind w:firstLine="0"/>
              <w:jc w:val="both"/>
              <w:rPr>
                <w:rFonts w:eastAsia="Times New Roman"/>
                <w:bCs/>
                <w:szCs w:val="24"/>
                <w:lang w:eastAsia="ru-RU"/>
              </w:rPr>
            </w:pPr>
            <m:oMathPara>
              <m:oMath>
                <m:sSubSup>
                  <m:sSubSupPr>
                    <m:ctrlPr>
                      <w:rPr>
                        <w:rFonts w:ascii="Cambria Math" w:eastAsia="Times New Roman" w:hAnsi="Cambria Math"/>
                        <w:bCs/>
                        <w:i/>
                        <w:szCs w:val="24"/>
                        <w:lang w:val="kk-KZ" w:eastAsia="ru-RU"/>
                      </w:rPr>
                    </m:ctrlPr>
                  </m:sSubSupPr>
                  <m:e>
                    <m:acc>
                      <m:accPr>
                        <m:chr m:val="̅"/>
                        <m:ctrlPr>
                          <w:rPr>
                            <w:rFonts w:ascii="Cambria Math" w:eastAsia="Times New Roman" w:hAnsi="Cambria Math"/>
                            <w:bCs/>
                            <w:i/>
                            <w:szCs w:val="24"/>
                            <w:lang w:val="kk-KZ" w:eastAsia="ru-RU"/>
                          </w:rPr>
                        </m:ctrlPr>
                      </m:accPr>
                      <m:e>
                        <m:r>
                          <w:rPr>
                            <w:rFonts w:ascii="Cambria Math" w:eastAsia="Times New Roman" w:hAnsi="Cambria Math"/>
                            <w:szCs w:val="24"/>
                            <w:lang w:val="kk-KZ" w:eastAsia="ru-RU"/>
                          </w:rPr>
                          <m:t>X</m:t>
                        </m:r>
                      </m:e>
                    </m:acc>
                  </m:e>
                  <m:sub>
                    <m:r>
                      <w:rPr>
                        <w:rFonts w:ascii="Cambria Math" w:eastAsia="Times New Roman" w:hAnsi="Cambria Math"/>
                        <w:szCs w:val="24"/>
                        <w:lang w:val="kk-KZ" w:eastAsia="ru-RU"/>
                      </w:rPr>
                      <m:t>i</m:t>
                    </m:r>
                  </m:sub>
                  <m:sup>
                    <m:r>
                      <w:rPr>
                        <w:rFonts w:ascii="Cambria Math" w:eastAsia="Times New Roman" w:hAnsi="Cambria Math"/>
                        <w:szCs w:val="24"/>
                        <w:lang w:val="kk-KZ" w:eastAsia="ru-RU"/>
                      </w:rPr>
                      <m:t>'</m:t>
                    </m:r>
                  </m:sup>
                </m:sSubSup>
              </m:oMath>
            </m:oMathPara>
          </w:p>
        </w:tc>
        <w:tc>
          <w:tcPr>
            <w:tcW w:w="0" w:type="auto"/>
            <w:shd w:val="clear" w:color="auto" w:fill="D9D9D9" w:themeFill="background1" w:themeFillShade="D9"/>
            <w:hideMark/>
          </w:tcPr>
          <w:p w14:paraId="13CE12D7" w14:textId="77777777" w:rsidR="002F33D0" w:rsidRPr="002F33D0" w:rsidRDefault="001D4931" w:rsidP="002F33D0">
            <w:pPr>
              <w:ind w:firstLine="0"/>
              <w:jc w:val="both"/>
              <w:rPr>
                <w:rFonts w:eastAsia="Times New Roman"/>
                <w:bCs/>
                <w:szCs w:val="24"/>
                <w:lang w:eastAsia="ru-RU"/>
              </w:rPr>
            </w:pPr>
            <m:oMathPara>
              <m:oMath>
                <m:sSub>
                  <m:sSubPr>
                    <m:ctrlPr>
                      <w:rPr>
                        <w:rFonts w:ascii="Cambria Math" w:hAnsi="Cambria Math"/>
                        <w:szCs w:val="24"/>
                      </w:rPr>
                    </m:ctrlPr>
                  </m:sSubPr>
                  <m:e>
                    <m:r>
                      <w:rPr>
                        <w:rFonts w:ascii="Cambria Math" w:hAnsi="Cambria Math"/>
                        <w:szCs w:val="24"/>
                      </w:rPr>
                      <m:t>β</m:t>
                    </m:r>
                  </m:e>
                  <m:sub>
                    <m:r>
                      <w:rPr>
                        <w:rFonts w:ascii="Cambria Math" w:hAnsi="Cambria Math"/>
                        <w:szCs w:val="24"/>
                      </w:rPr>
                      <m:t>i</m:t>
                    </m:r>
                  </m:sub>
                </m:sSub>
              </m:oMath>
            </m:oMathPara>
          </w:p>
        </w:tc>
        <w:tc>
          <w:tcPr>
            <w:tcW w:w="0" w:type="auto"/>
            <w:shd w:val="clear" w:color="auto" w:fill="D9D9D9" w:themeFill="background1" w:themeFillShade="D9"/>
            <w:hideMark/>
          </w:tcPr>
          <w:p w14:paraId="63B58DDB" w14:textId="77777777" w:rsidR="002F33D0" w:rsidRPr="002F33D0" w:rsidRDefault="001D4931" w:rsidP="002F33D0">
            <w:pPr>
              <w:ind w:firstLine="0"/>
              <w:jc w:val="both"/>
              <w:rPr>
                <w:rFonts w:eastAsia="Times New Roman"/>
                <w:bCs/>
                <w:szCs w:val="24"/>
                <w:lang w:eastAsia="ru-RU"/>
              </w:rPr>
            </w:pPr>
            <m:oMathPara>
              <m:oMath>
                <m:sSub>
                  <m:sSubPr>
                    <m:ctrlPr>
                      <w:rPr>
                        <w:rFonts w:ascii="Cambria Math" w:eastAsia="Cambria Math" w:hAnsi="Cambria Math"/>
                        <w:i/>
                        <w:szCs w:val="24"/>
                      </w:rPr>
                    </m:ctrlPr>
                  </m:sSubPr>
                  <m:e>
                    <m:r>
                      <w:rPr>
                        <w:rFonts w:ascii="Cambria Math" w:eastAsia="Cambria Math" w:hAnsi="Cambria Math"/>
                        <w:szCs w:val="24"/>
                      </w:rPr>
                      <m:t>W</m:t>
                    </m:r>
                  </m:e>
                  <m:sub>
                    <m:r>
                      <w:rPr>
                        <w:rFonts w:ascii="Cambria Math" w:eastAsia="Cambria Math" w:hAnsi="Cambria Math"/>
                        <w:szCs w:val="24"/>
                      </w:rPr>
                      <m:t>i</m:t>
                    </m:r>
                  </m:sub>
                </m:sSub>
              </m:oMath>
            </m:oMathPara>
          </w:p>
        </w:tc>
      </w:tr>
      <w:tr w:rsidR="002F33D0" w:rsidRPr="002F33D0" w14:paraId="62F17AC5" w14:textId="77777777" w:rsidTr="002F33D0">
        <w:tc>
          <w:tcPr>
            <w:tcW w:w="0" w:type="auto"/>
            <w:hideMark/>
          </w:tcPr>
          <w:p w14:paraId="4B65E470" w14:textId="58FEE0CA" w:rsidR="002F33D0" w:rsidRPr="002F33D0" w:rsidRDefault="00545A2C" w:rsidP="0052009A">
            <w:pPr>
              <w:ind w:firstLine="0"/>
              <w:rPr>
                <w:rFonts w:eastAsia="Times New Roman"/>
                <w:szCs w:val="24"/>
                <w:lang w:val="en-US" w:eastAsia="ru-RU"/>
              </w:rPr>
            </w:pPr>
            <w:r>
              <w:rPr>
                <w:rFonts w:eastAsia="Times New Roman"/>
                <w:bCs/>
                <w:szCs w:val="24"/>
                <w:lang w:val="en-US" w:eastAsia="ru-RU"/>
              </w:rPr>
              <w:t>R</w:t>
            </w:r>
            <w:r w:rsidR="002F33D0" w:rsidRPr="00545A2C">
              <w:rPr>
                <w:rFonts w:eastAsia="Times New Roman"/>
                <w:bCs/>
                <w:szCs w:val="24"/>
                <w:vertAlign w:val="subscript"/>
                <w:lang w:eastAsia="ru-RU"/>
              </w:rPr>
              <w:t>1</w:t>
            </w:r>
            <w:r w:rsidR="002F33D0" w:rsidRPr="002F33D0">
              <w:rPr>
                <w:rFonts w:eastAsia="Times New Roman"/>
                <w:bCs/>
                <w:szCs w:val="24"/>
                <w:lang w:eastAsia="ru-RU"/>
              </w:rPr>
              <w:t>. Управленческие ресурсы</w:t>
            </w:r>
            <w:r w:rsidR="002F33D0" w:rsidRPr="002F33D0">
              <w:rPr>
                <w:rFonts w:eastAsia="Times New Roman"/>
                <w:bCs/>
                <w:szCs w:val="24"/>
                <w:lang w:val="en-US" w:eastAsia="ru-RU"/>
              </w:rPr>
              <w:t xml:space="preserve">  </w:t>
            </w:r>
          </w:p>
        </w:tc>
        <w:tc>
          <w:tcPr>
            <w:tcW w:w="0" w:type="auto"/>
            <w:vAlign w:val="center"/>
            <w:hideMark/>
          </w:tcPr>
          <w:p w14:paraId="1EF97135"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4,4</w:t>
            </w:r>
          </w:p>
        </w:tc>
        <w:tc>
          <w:tcPr>
            <w:tcW w:w="0" w:type="auto"/>
            <w:vAlign w:val="center"/>
            <w:hideMark/>
          </w:tcPr>
          <w:p w14:paraId="6278D3E5"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0,88</w:t>
            </w:r>
          </w:p>
        </w:tc>
        <w:tc>
          <w:tcPr>
            <w:tcW w:w="0" w:type="auto"/>
            <w:vAlign w:val="center"/>
            <w:hideMark/>
          </w:tcPr>
          <w:p w14:paraId="5065E9A2"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4,0</w:t>
            </w:r>
          </w:p>
        </w:tc>
        <w:tc>
          <w:tcPr>
            <w:tcW w:w="0" w:type="auto"/>
            <w:vAlign w:val="center"/>
            <w:hideMark/>
          </w:tcPr>
          <w:p w14:paraId="70C0C5D6"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0,80</w:t>
            </w:r>
          </w:p>
        </w:tc>
        <w:tc>
          <w:tcPr>
            <w:tcW w:w="0" w:type="auto"/>
            <w:vAlign w:val="center"/>
            <w:hideMark/>
          </w:tcPr>
          <w:p w14:paraId="2E72A8B7"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4,2</w:t>
            </w:r>
          </w:p>
        </w:tc>
        <w:tc>
          <w:tcPr>
            <w:tcW w:w="0" w:type="auto"/>
            <w:vAlign w:val="center"/>
            <w:hideMark/>
          </w:tcPr>
          <w:p w14:paraId="7FBF45A0"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0,84</w:t>
            </w:r>
          </w:p>
        </w:tc>
        <w:tc>
          <w:tcPr>
            <w:tcW w:w="0" w:type="auto"/>
            <w:vAlign w:val="center"/>
            <w:hideMark/>
          </w:tcPr>
          <w:p w14:paraId="67DF0076" w14:textId="77777777" w:rsidR="002F33D0" w:rsidRPr="002F33D0" w:rsidRDefault="002F33D0" w:rsidP="0052009A">
            <w:pPr>
              <w:ind w:firstLine="0"/>
              <w:jc w:val="center"/>
              <w:rPr>
                <w:rFonts w:eastAsia="Times New Roman"/>
                <w:szCs w:val="24"/>
                <w:lang w:eastAsia="ru-RU"/>
              </w:rPr>
            </w:pPr>
            <w:r w:rsidRPr="002F33D0">
              <w:rPr>
                <w:rFonts w:eastAsia="Times New Roman"/>
                <w:bCs/>
                <w:szCs w:val="24"/>
                <w:lang w:eastAsia="ru-RU"/>
              </w:rPr>
              <w:t>0,84</w:t>
            </w:r>
          </w:p>
        </w:tc>
        <w:tc>
          <w:tcPr>
            <w:tcW w:w="0" w:type="auto"/>
            <w:vAlign w:val="center"/>
            <w:hideMark/>
          </w:tcPr>
          <w:p w14:paraId="71219A16"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0,528</w:t>
            </w:r>
          </w:p>
        </w:tc>
        <w:tc>
          <w:tcPr>
            <w:tcW w:w="0" w:type="auto"/>
            <w:shd w:val="clear" w:color="auto" w:fill="auto"/>
            <w:vAlign w:val="center"/>
            <w:hideMark/>
          </w:tcPr>
          <w:p w14:paraId="31213B6C" w14:textId="77777777" w:rsidR="002F33D0" w:rsidRPr="002F33D0" w:rsidRDefault="002F33D0" w:rsidP="0052009A">
            <w:pPr>
              <w:ind w:firstLine="0"/>
              <w:jc w:val="center"/>
              <w:rPr>
                <w:rFonts w:eastAsia="Times New Roman"/>
                <w:szCs w:val="24"/>
                <w:lang w:eastAsia="ru-RU"/>
              </w:rPr>
            </w:pPr>
            <w:r w:rsidRPr="002F33D0">
              <w:rPr>
                <w:rFonts w:eastAsia="Times New Roman"/>
                <w:bCs/>
                <w:szCs w:val="24"/>
                <w:lang w:eastAsia="ru-RU"/>
              </w:rPr>
              <w:t>0,443</w:t>
            </w:r>
          </w:p>
        </w:tc>
      </w:tr>
      <w:tr w:rsidR="002F33D0" w:rsidRPr="002F33D0" w14:paraId="3F27D685" w14:textId="77777777" w:rsidTr="002F33D0">
        <w:tc>
          <w:tcPr>
            <w:tcW w:w="0" w:type="auto"/>
            <w:hideMark/>
          </w:tcPr>
          <w:p w14:paraId="64FFBDEB" w14:textId="0DB4A0D5" w:rsidR="002F33D0" w:rsidRPr="002F33D0" w:rsidRDefault="00545A2C" w:rsidP="0052009A">
            <w:pPr>
              <w:ind w:firstLine="0"/>
              <w:rPr>
                <w:rFonts w:eastAsia="Times New Roman"/>
                <w:szCs w:val="24"/>
                <w:lang w:val="en-US" w:eastAsia="ru-RU"/>
              </w:rPr>
            </w:pPr>
            <w:r>
              <w:rPr>
                <w:rFonts w:eastAsia="Times New Roman"/>
                <w:bCs/>
                <w:szCs w:val="24"/>
                <w:lang w:val="en-US" w:eastAsia="ru-RU"/>
              </w:rPr>
              <w:t>R</w:t>
            </w:r>
            <w:r w:rsidR="002F33D0" w:rsidRPr="00545A2C">
              <w:rPr>
                <w:rFonts w:eastAsia="Times New Roman"/>
                <w:bCs/>
                <w:szCs w:val="24"/>
                <w:vertAlign w:val="subscript"/>
                <w:lang w:eastAsia="ru-RU"/>
              </w:rPr>
              <w:t>2</w:t>
            </w:r>
            <w:r w:rsidR="002F33D0" w:rsidRPr="002F33D0">
              <w:rPr>
                <w:rFonts w:eastAsia="Times New Roman"/>
                <w:bCs/>
                <w:szCs w:val="24"/>
                <w:lang w:eastAsia="ru-RU"/>
              </w:rPr>
              <w:t>. Технологические ресурсы</w:t>
            </w:r>
            <w:r w:rsidR="002F33D0" w:rsidRPr="002F33D0">
              <w:rPr>
                <w:rFonts w:eastAsia="Times New Roman"/>
                <w:bCs/>
                <w:szCs w:val="24"/>
                <w:lang w:val="en-US" w:eastAsia="ru-RU"/>
              </w:rPr>
              <w:t xml:space="preserve"> </w:t>
            </w:r>
          </w:p>
        </w:tc>
        <w:tc>
          <w:tcPr>
            <w:tcW w:w="0" w:type="auto"/>
            <w:vAlign w:val="center"/>
            <w:hideMark/>
          </w:tcPr>
          <w:p w14:paraId="4225BEDB"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3,9</w:t>
            </w:r>
          </w:p>
        </w:tc>
        <w:tc>
          <w:tcPr>
            <w:tcW w:w="0" w:type="auto"/>
            <w:vAlign w:val="center"/>
            <w:hideMark/>
          </w:tcPr>
          <w:p w14:paraId="3D17B345"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0,78</w:t>
            </w:r>
          </w:p>
        </w:tc>
        <w:tc>
          <w:tcPr>
            <w:tcW w:w="0" w:type="auto"/>
            <w:vAlign w:val="center"/>
            <w:hideMark/>
          </w:tcPr>
          <w:p w14:paraId="5145447E"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3,7</w:t>
            </w:r>
          </w:p>
        </w:tc>
        <w:tc>
          <w:tcPr>
            <w:tcW w:w="0" w:type="auto"/>
            <w:vAlign w:val="center"/>
            <w:hideMark/>
          </w:tcPr>
          <w:p w14:paraId="69617B39"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0,74</w:t>
            </w:r>
          </w:p>
        </w:tc>
        <w:tc>
          <w:tcPr>
            <w:tcW w:w="0" w:type="auto"/>
            <w:vAlign w:val="center"/>
            <w:hideMark/>
          </w:tcPr>
          <w:p w14:paraId="5BC137A9"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3,8</w:t>
            </w:r>
          </w:p>
        </w:tc>
        <w:tc>
          <w:tcPr>
            <w:tcW w:w="0" w:type="auto"/>
            <w:vAlign w:val="center"/>
            <w:hideMark/>
          </w:tcPr>
          <w:p w14:paraId="1E813533"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0,76</w:t>
            </w:r>
          </w:p>
        </w:tc>
        <w:tc>
          <w:tcPr>
            <w:tcW w:w="0" w:type="auto"/>
            <w:vAlign w:val="center"/>
            <w:hideMark/>
          </w:tcPr>
          <w:p w14:paraId="5DE2A118" w14:textId="77777777" w:rsidR="002F33D0" w:rsidRPr="002F33D0" w:rsidRDefault="002F33D0" w:rsidP="0052009A">
            <w:pPr>
              <w:ind w:firstLine="0"/>
              <w:jc w:val="center"/>
              <w:rPr>
                <w:rFonts w:eastAsia="Times New Roman"/>
                <w:szCs w:val="24"/>
                <w:lang w:eastAsia="ru-RU"/>
              </w:rPr>
            </w:pPr>
            <w:r w:rsidRPr="002F33D0">
              <w:rPr>
                <w:rFonts w:eastAsia="Times New Roman"/>
                <w:bCs/>
                <w:szCs w:val="24"/>
                <w:lang w:eastAsia="ru-RU"/>
              </w:rPr>
              <w:t>0,76</w:t>
            </w:r>
          </w:p>
        </w:tc>
        <w:tc>
          <w:tcPr>
            <w:tcW w:w="0" w:type="auto"/>
            <w:vAlign w:val="center"/>
            <w:hideMark/>
          </w:tcPr>
          <w:p w14:paraId="5A4AFF11"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0,510</w:t>
            </w:r>
          </w:p>
        </w:tc>
        <w:tc>
          <w:tcPr>
            <w:tcW w:w="0" w:type="auto"/>
            <w:shd w:val="clear" w:color="auto" w:fill="auto"/>
            <w:vAlign w:val="center"/>
            <w:hideMark/>
          </w:tcPr>
          <w:p w14:paraId="0A2817DB" w14:textId="77777777" w:rsidR="002F33D0" w:rsidRPr="002F33D0" w:rsidRDefault="002F33D0" w:rsidP="0052009A">
            <w:pPr>
              <w:ind w:firstLine="0"/>
              <w:jc w:val="center"/>
              <w:rPr>
                <w:rFonts w:eastAsia="Times New Roman"/>
                <w:szCs w:val="24"/>
                <w:lang w:eastAsia="ru-RU"/>
              </w:rPr>
            </w:pPr>
            <w:r w:rsidRPr="002F33D0">
              <w:rPr>
                <w:rFonts w:eastAsia="Times New Roman"/>
                <w:bCs/>
                <w:szCs w:val="24"/>
                <w:lang w:eastAsia="ru-RU"/>
              </w:rPr>
              <w:t>0,388</w:t>
            </w:r>
          </w:p>
        </w:tc>
      </w:tr>
      <w:tr w:rsidR="002F33D0" w:rsidRPr="002F33D0" w14:paraId="5DFEB0E0" w14:textId="77777777" w:rsidTr="002F33D0">
        <w:tc>
          <w:tcPr>
            <w:tcW w:w="0" w:type="auto"/>
            <w:hideMark/>
          </w:tcPr>
          <w:p w14:paraId="765D7B5D" w14:textId="64882DE6" w:rsidR="002F33D0" w:rsidRPr="002F33D0" w:rsidRDefault="00545A2C" w:rsidP="0052009A">
            <w:pPr>
              <w:ind w:firstLine="0"/>
              <w:rPr>
                <w:rFonts w:eastAsia="Times New Roman"/>
                <w:szCs w:val="24"/>
                <w:lang w:val="en-US" w:eastAsia="ru-RU"/>
              </w:rPr>
            </w:pPr>
            <w:r>
              <w:rPr>
                <w:rFonts w:eastAsia="Times New Roman"/>
                <w:bCs/>
                <w:szCs w:val="24"/>
                <w:lang w:val="en-US" w:eastAsia="ru-RU"/>
              </w:rPr>
              <w:t>R</w:t>
            </w:r>
            <w:r w:rsidR="002F33D0" w:rsidRPr="00545A2C">
              <w:rPr>
                <w:rFonts w:eastAsia="Times New Roman"/>
                <w:bCs/>
                <w:szCs w:val="24"/>
                <w:vertAlign w:val="subscript"/>
                <w:lang w:eastAsia="ru-RU"/>
              </w:rPr>
              <w:t>3</w:t>
            </w:r>
            <w:r w:rsidR="002F33D0" w:rsidRPr="002F33D0">
              <w:rPr>
                <w:rFonts w:eastAsia="Times New Roman"/>
                <w:bCs/>
                <w:szCs w:val="24"/>
                <w:lang w:eastAsia="ru-RU"/>
              </w:rPr>
              <w:t>. Финансовые ресурсы</w:t>
            </w:r>
            <w:r w:rsidR="002F33D0" w:rsidRPr="002F33D0">
              <w:rPr>
                <w:rFonts w:eastAsia="Times New Roman"/>
                <w:bCs/>
                <w:szCs w:val="24"/>
                <w:lang w:val="en-US" w:eastAsia="ru-RU"/>
              </w:rPr>
              <w:t xml:space="preserve"> </w:t>
            </w:r>
          </w:p>
        </w:tc>
        <w:tc>
          <w:tcPr>
            <w:tcW w:w="0" w:type="auto"/>
            <w:vAlign w:val="center"/>
            <w:hideMark/>
          </w:tcPr>
          <w:p w14:paraId="7B5290D3"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3,0</w:t>
            </w:r>
          </w:p>
        </w:tc>
        <w:tc>
          <w:tcPr>
            <w:tcW w:w="0" w:type="auto"/>
            <w:vAlign w:val="center"/>
            <w:hideMark/>
          </w:tcPr>
          <w:p w14:paraId="298ADA2D"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0,60</w:t>
            </w:r>
          </w:p>
        </w:tc>
        <w:tc>
          <w:tcPr>
            <w:tcW w:w="0" w:type="auto"/>
            <w:vAlign w:val="center"/>
            <w:hideMark/>
          </w:tcPr>
          <w:p w14:paraId="4EE0BD00"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2,9</w:t>
            </w:r>
          </w:p>
        </w:tc>
        <w:tc>
          <w:tcPr>
            <w:tcW w:w="0" w:type="auto"/>
            <w:vAlign w:val="center"/>
            <w:hideMark/>
          </w:tcPr>
          <w:p w14:paraId="1EBF7BE0"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0,58</w:t>
            </w:r>
          </w:p>
        </w:tc>
        <w:tc>
          <w:tcPr>
            <w:tcW w:w="0" w:type="auto"/>
            <w:vAlign w:val="center"/>
            <w:hideMark/>
          </w:tcPr>
          <w:p w14:paraId="32FFEFCE"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3,1</w:t>
            </w:r>
          </w:p>
        </w:tc>
        <w:tc>
          <w:tcPr>
            <w:tcW w:w="0" w:type="auto"/>
            <w:vAlign w:val="center"/>
            <w:hideMark/>
          </w:tcPr>
          <w:p w14:paraId="1F9F8ADA"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0,62</w:t>
            </w:r>
          </w:p>
        </w:tc>
        <w:tc>
          <w:tcPr>
            <w:tcW w:w="0" w:type="auto"/>
            <w:vAlign w:val="center"/>
            <w:hideMark/>
          </w:tcPr>
          <w:p w14:paraId="469E9EF1" w14:textId="77777777" w:rsidR="002F33D0" w:rsidRPr="002F33D0" w:rsidRDefault="002F33D0" w:rsidP="0052009A">
            <w:pPr>
              <w:ind w:firstLine="0"/>
              <w:jc w:val="center"/>
              <w:rPr>
                <w:rFonts w:eastAsia="Times New Roman"/>
                <w:szCs w:val="24"/>
                <w:lang w:eastAsia="ru-RU"/>
              </w:rPr>
            </w:pPr>
            <w:r w:rsidRPr="002F33D0">
              <w:rPr>
                <w:rFonts w:eastAsia="Times New Roman"/>
                <w:bCs/>
                <w:szCs w:val="24"/>
                <w:lang w:eastAsia="ru-RU"/>
              </w:rPr>
              <w:t>0,60</w:t>
            </w:r>
          </w:p>
        </w:tc>
        <w:tc>
          <w:tcPr>
            <w:tcW w:w="0" w:type="auto"/>
            <w:vAlign w:val="center"/>
            <w:hideMark/>
          </w:tcPr>
          <w:p w14:paraId="4E4463E8"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0,457</w:t>
            </w:r>
          </w:p>
        </w:tc>
        <w:tc>
          <w:tcPr>
            <w:tcW w:w="0" w:type="auto"/>
            <w:shd w:val="clear" w:color="auto" w:fill="auto"/>
            <w:vAlign w:val="center"/>
            <w:hideMark/>
          </w:tcPr>
          <w:p w14:paraId="30B9ABC0" w14:textId="77777777" w:rsidR="002F33D0" w:rsidRPr="002F33D0" w:rsidRDefault="002F33D0" w:rsidP="0052009A">
            <w:pPr>
              <w:ind w:firstLine="0"/>
              <w:jc w:val="center"/>
              <w:rPr>
                <w:rFonts w:eastAsia="Times New Roman"/>
                <w:szCs w:val="24"/>
                <w:lang w:eastAsia="ru-RU"/>
              </w:rPr>
            </w:pPr>
            <w:r w:rsidRPr="002F33D0">
              <w:rPr>
                <w:rFonts w:eastAsia="Times New Roman"/>
                <w:bCs/>
                <w:szCs w:val="24"/>
                <w:lang w:eastAsia="ru-RU"/>
              </w:rPr>
              <w:t>0,274</w:t>
            </w:r>
          </w:p>
        </w:tc>
      </w:tr>
      <w:tr w:rsidR="002F33D0" w:rsidRPr="002F33D0" w14:paraId="5E234343" w14:textId="77777777" w:rsidTr="002F33D0">
        <w:tc>
          <w:tcPr>
            <w:tcW w:w="0" w:type="auto"/>
            <w:hideMark/>
          </w:tcPr>
          <w:p w14:paraId="0ED47033" w14:textId="67D3EA8F" w:rsidR="002F33D0" w:rsidRPr="002F33D0" w:rsidRDefault="00545A2C" w:rsidP="0052009A">
            <w:pPr>
              <w:ind w:firstLine="0"/>
              <w:rPr>
                <w:rFonts w:eastAsia="Times New Roman"/>
                <w:szCs w:val="24"/>
                <w:lang w:eastAsia="ru-RU"/>
              </w:rPr>
            </w:pPr>
            <w:r>
              <w:rPr>
                <w:rFonts w:eastAsia="Times New Roman"/>
                <w:bCs/>
                <w:szCs w:val="24"/>
                <w:lang w:val="en-US" w:eastAsia="ru-RU"/>
              </w:rPr>
              <w:t>R</w:t>
            </w:r>
            <w:r w:rsidR="002F33D0" w:rsidRPr="00545A2C">
              <w:rPr>
                <w:rFonts w:eastAsia="Times New Roman"/>
                <w:bCs/>
                <w:szCs w:val="24"/>
                <w:vertAlign w:val="subscript"/>
                <w:lang w:eastAsia="ru-RU"/>
              </w:rPr>
              <w:t>4</w:t>
            </w:r>
            <w:r w:rsidR="002F33D0" w:rsidRPr="002F33D0">
              <w:rPr>
                <w:rFonts w:eastAsia="Times New Roman"/>
                <w:bCs/>
                <w:szCs w:val="24"/>
                <w:lang w:eastAsia="ru-RU"/>
              </w:rPr>
              <w:t>. Человеческий капитал</w:t>
            </w:r>
          </w:p>
        </w:tc>
        <w:tc>
          <w:tcPr>
            <w:tcW w:w="0" w:type="auto"/>
            <w:vAlign w:val="center"/>
            <w:hideMark/>
          </w:tcPr>
          <w:p w14:paraId="06E0FA72"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4,0</w:t>
            </w:r>
          </w:p>
        </w:tc>
        <w:tc>
          <w:tcPr>
            <w:tcW w:w="0" w:type="auto"/>
            <w:vAlign w:val="center"/>
            <w:hideMark/>
          </w:tcPr>
          <w:p w14:paraId="7FF49771"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0,80</w:t>
            </w:r>
          </w:p>
        </w:tc>
        <w:tc>
          <w:tcPr>
            <w:tcW w:w="0" w:type="auto"/>
            <w:vAlign w:val="center"/>
            <w:hideMark/>
          </w:tcPr>
          <w:p w14:paraId="6562B472"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4,0</w:t>
            </w:r>
          </w:p>
        </w:tc>
        <w:tc>
          <w:tcPr>
            <w:tcW w:w="0" w:type="auto"/>
            <w:vAlign w:val="center"/>
            <w:hideMark/>
          </w:tcPr>
          <w:p w14:paraId="16B176EC"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0,80</w:t>
            </w:r>
          </w:p>
        </w:tc>
        <w:tc>
          <w:tcPr>
            <w:tcW w:w="0" w:type="auto"/>
            <w:vAlign w:val="center"/>
            <w:hideMark/>
          </w:tcPr>
          <w:p w14:paraId="312BF8BA"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4,0</w:t>
            </w:r>
          </w:p>
        </w:tc>
        <w:tc>
          <w:tcPr>
            <w:tcW w:w="0" w:type="auto"/>
            <w:vAlign w:val="center"/>
            <w:hideMark/>
          </w:tcPr>
          <w:p w14:paraId="7EF1CBDC"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0,80</w:t>
            </w:r>
          </w:p>
        </w:tc>
        <w:tc>
          <w:tcPr>
            <w:tcW w:w="0" w:type="auto"/>
            <w:vAlign w:val="center"/>
            <w:hideMark/>
          </w:tcPr>
          <w:p w14:paraId="1D26C464" w14:textId="77777777" w:rsidR="002F33D0" w:rsidRPr="002F33D0" w:rsidRDefault="002F33D0" w:rsidP="0052009A">
            <w:pPr>
              <w:ind w:firstLine="0"/>
              <w:jc w:val="center"/>
              <w:rPr>
                <w:rFonts w:eastAsia="Times New Roman"/>
                <w:szCs w:val="24"/>
                <w:lang w:eastAsia="ru-RU"/>
              </w:rPr>
            </w:pPr>
            <w:r w:rsidRPr="002F33D0">
              <w:rPr>
                <w:rFonts w:eastAsia="Times New Roman"/>
                <w:bCs/>
                <w:szCs w:val="24"/>
                <w:lang w:eastAsia="ru-RU"/>
              </w:rPr>
              <w:t>0,80</w:t>
            </w:r>
          </w:p>
        </w:tc>
        <w:tc>
          <w:tcPr>
            <w:tcW w:w="0" w:type="auto"/>
            <w:vAlign w:val="center"/>
            <w:hideMark/>
          </w:tcPr>
          <w:p w14:paraId="7348E167"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0,408</w:t>
            </w:r>
          </w:p>
        </w:tc>
        <w:tc>
          <w:tcPr>
            <w:tcW w:w="0" w:type="auto"/>
            <w:shd w:val="clear" w:color="auto" w:fill="auto"/>
            <w:vAlign w:val="center"/>
            <w:hideMark/>
          </w:tcPr>
          <w:p w14:paraId="4DFC2BA5" w14:textId="77777777" w:rsidR="002F33D0" w:rsidRPr="002F33D0" w:rsidRDefault="002F33D0" w:rsidP="0052009A">
            <w:pPr>
              <w:ind w:firstLine="0"/>
              <w:jc w:val="center"/>
              <w:rPr>
                <w:rFonts w:eastAsia="Times New Roman"/>
                <w:szCs w:val="24"/>
                <w:lang w:eastAsia="ru-RU"/>
              </w:rPr>
            </w:pPr>
            <w:r w:rsidRPr="002F33D0">
              <w:rPr>
                <w:rFonts w:eastAsia="Times New Roman"/>
                <w:bCs/>
                <w:szCs w:val="24"/>
                <w:lang w:eastAsia="ru-RU"/>
              </w:rPr>
              <w:t>0,326</w:t>
            </w:r>
          </w:p>
        </w:tc>
      </w:tr>
      <w:tr w:rsidR="002F33D0" w:rsidRPr="002F33D0" w14:paraId="51A2640E" w14:textId="77777777" w:rsidTr="002F33D0">
        <w:tc>
          <w:tcPr>
            <w:tcW w:w="0" w:type="auto"/>
            <w:hideMark/>
          </w:tcPr>
          <w:p w14:paraId="09D857E1" w14:textId="52B609DD" w:rsidR="002F33D0" w:rsidRPr="002F33D0" w:rsidRDefault="00545A2C" w:rsidP="0052009A">
            <w:pPr>
              <w:ind w:firstLine="0"/>
              <w:rPr>
                <w:rFonts w:eastAsia="Times New Roman"/>
                <w:szCs w:val="24"/>
                <w:lang w:eastAsia="ru-RU"/>
              </w:rPr>
            </w:pPr>
            <w:r>
              <w:rPr>
                <w:rFonts w:eastAsia="Times New Roman"/>
                <w:bCs/>
                <w:szCs w:val="24"/>
                <w:lang w:val="en-US" w:eastAsia="ru-RU"/>
              </w:rPr>
              <w:t>R</w:t>
            </w:r>
            <w:r w:rsidR="002F33D0" w:rsidRPr="00545A2C">
              <w:rPr>
                <w:rFonts w:eastAsia="Times New Roman"/>
                <w:bCs/>
                <w:szCs w:val="24"/>
                <w:vertAlign w:val="subscript"/>
                <w:lang w:eastAsia="ru-RU"/>
              </w:rPr>
              <w:t>5</w:t>
            </w:r>
            <w:r w:rsidR="002F33D0" w:rsidRPr="002F33D0">
              <w:rPr>
                <w:rFonts w:eastAsia="Times New Roman"/>
                <w:bCs/>
                <w:szCs w:val="24"/>
                <w:lang w:eastAsia="ru-RU"/>
              </w:rPr>
              <w:t>. Инновационная культура</w:t>
            </w:r>
          </w:p>
        </w:tc>
        <w:tc>
          <w:tcPr>
            <w:tcW w:w="0" w:type="auto"/>
            <w:vAlign w:val="center"/>
            <w:hideMark/>
          </w:tcPr>
          <w:p w14:paraId="4BB013DA"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3,8</w:t>
            </w:r>
          </w:p>
        </w:tc>
        <w:tc>
          <w:tcPr>
            <w:tcW w:w="0" w:type="auto"/>
            <w:vAlign w:val="center"/>
            <w:hideMark/>
          </w:tcPr>
          <w:p w14:paraId="3CF6661E"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0,76</w:t>
            </w:r>
          </w:p>
        </w:tc>
        <w:tc>
          <w:tcPr>
            <w:tcW w:w="0" w:type="auto"/>
            <w:vAlign w:val="center"/>
            <w:hideMark/>
          </w:tcPr>
          <w:p w14:paraId="53B85128"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3,5</w:t>
            </w:r>
          </w:p>
        </w:tc>
        <w:tc>
          <w:tcPr>
            <w:tcW w:w="0" w:type="auto"/>
            <w:vAlign w:val="center"/>
            <w:hideMark/>
          </w:tcPr>
          <w:p w14:paraId="610E5793"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0,70</w:t>
            </w:r>
          </w:p>
        </w:tc>
        <w:tc>
          <w:tcPr>
            <w:tcW w:w="0" w:type="auto"/>
            <w:vAlign w:val="center"/>
            <w:hideMark/>
          </w:tcPr>
          <w:p w14:paraId="7E429FC1"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3,4</w:t>
            </w:r>
          </w:p>
        </w:tc>
        <w:tc>
          <w:tcPr>
            <w:tcW w:w="0" w:type="auto"/>
            <w:vAlign w:val="center"/>
            <w:hideMark/>
          </w:tcPr>
          <w:p w14:paraId="5CF7AAE5"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0,68</w:t>
            </w:r>
          </w:p>
        </w:tc>
        <w:tc>
          <w:tcPr>
            <w:tcW w:w="0" w:type="auto"/>
            <w:vAlign w:val="center"/>
            <w:hideMark/>
          </w:tcPr>
          <w:p w14:paraId="2463EFBB" w14:textId="77777777" w:rsidR="002F33D0" w:rsidRPr="002F33D0" w:rsidRDefault="002F33D0" w:rsidP="0052009A">
            <w:pPr>
              <w:ind w:firstLine="0"/>
              <w:jc w:val="center"/>
              <w:rPr>
                <w:rFonts w:eastAsia="Times New Roman"/>
                <w:szCs w:val="24"/>
                <w:lang w:eastAsia="ru-RU"/>
              </w:rPr>
            </w:pPr>
            <w:r w:rsidRPr="002F33D0">
              <w:rPr>
                <w:rFonts w:eastAsia="Times New Roman"/>
                <w:bCs/>
                <w:szCs w:val="24"/>
                <w:lang w:eastAsia="ru-RU"/>
              </w:rPr>
              <w:t>0,71</w:t>
            </w:r>
          </w:p>
        </w:tc>
        <w:tc>
          <w:tcPr>
            <w:tcW w:w="0" w:type="auto"/>
            <w:vAlign w:val="center"/>
            <w:hideMark/>
          </w:tcPr>
          <w:p w14:paraId="28F098ED"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0,252</w:t>
            </w:r>
          </w:p>
        </w:tc>
        <w:tc>
          <w:tcPr>
            <w:tcW w:w="0" w:type="auto"/>
            <w:shd w:val="clear" w:color="auto" w:fill="auto"/>
            <w:vAlign w:val="center"/>
            <w:hideMark/>
          </w:tcPr>
          <w:p w14:paraId="31277438" w14:textId="77777777" w:rsidR="002F33D0" w:rsidRPr="002F33D0" w:rsidRDefault="002F33D0" w:rsidP="0052009A">
            <w:pPr>
              <w:ind w:firstLine="0"/>
              <w:jc w:val="center"/>
              <w:rPr>
                <w:rFonts w:eastAsia="Times New Roman"/>
                <w:szCs w:val="24"/>
                <w:lang w:eastAsia="ru-RU"/>
              </w:rPr>
            </w:pPr>
            <w:r w:rsidRPr="002F33D0">
              <w:rPr>
                <w:rFonts w:eastAsia="Times New Roman"/>
                <w:bCs/>
                <w:szCs w:val="24"/>
                <w:lang w:eastAsia="ru-RU"/>
              </w:rPr>
              <w:t>0,180</w:t>
            </w:r>
          </w:p>
        </w:tc>
      </w:tr>
      <w:tr w:rsidR="002F33D0" w:rsidRPr="002F33D0" w14:paraId="50AF50AF" w14:textId="77777777" w:rsidTr="002F33D0">
        <w:tc>
          <w:tcPr>
            <w:tcW w:w="0" w:type="auto"/>
            <w:hideMark/>
          </w:tcPr>
          <w:p w14:paraId="5DE55383" w14:textId="033BFCD9" w:rsidR="002F33D0" w:rsidRPr="002F33D0" w:rsidRDefault="00545A2C" w:rsidP="0052009A">
            <w:pPr>
              <w:ind w:firstLine="0"/>
              <w:rPr>
                <w:rFonts w:eastAsia="Times New Roman"/>
                <w:szCs w:val="24"/>
                <w:lang w:eastAsia="ru-RU"/>
              </w:rPr>
            </w:pPr>
            <w:r>
              <w:rPr>
                <w:rFonts w:eastAsia="Times New Roman"/>
                <w:bCs/>
                <w:szCs w:val="24"/>
                <w:lang w:val="en-US" w:eastAsia="ru-RU"/>
              </w:rPr>
              <w:t>R</w:t>
            </w:r>
            <w:r w:rsidR="002F33D0" w:rsidRPr="00545A2C">
              <w:rPr>
                <w:rFonts w:eastAsia="Times New Roman"/>
                <w:bCs/>
                <w:szCs w:val="24"/>
                <w:vertAlign w:val="subscript"/>
                <w:lang w:eastAsia="ru-RU"/>
              </w:rPr>
              <w:t>6</w:t>
            </w:r>
            <w:r w:rsidR="002F33D0" w:rsidRPr="002F33D0">
              <w:rPr>
                <w:rFonts w:eastAsia="Times New Roman"/>
                <w:bCs/>
                <w:szCs w:val="24"/>
                <w:lang w:eastAsia="ru-RU"/>
              </w:rPr>
              <w:t>. Цифровая среда</w:t>
            </w:r>
          </w:p>
        </w:tc>
        <w:tc>
          <w:tcPr>
            <w:tcW w:w="0" w:type="auto"/>
            <w:vAlign w:val="center"/>
            <w:hideMark/>
          </w:tcPr>
          <w:p w14:paraId="41C1AE0B"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4,3</w:t>
            </w:r>
          </w:p>
        </w:tc>
        <w:tc>
          <w:tcPr>
            <w:tcW w:w="0" w:type="auto"/>
            <w:vAlign w:val="center"/>
            <w:hideMark/>
          </w:tcPr>
          <w:p w14:paraId="3E3EB396"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0,86</w:t>
            </w:r>
          </w:p>
        </w:tc>
        <w:tc>
          <w:tcPr>
            <w:tcW w:w="0" w:type="auto"/>
            <w:vAlign w:val="center"/>
            <w:hideMark/>
          </w:tcPr>
          <w:p w14:paraId="067C684C"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4,2</w:t>
            </w:r>
          </w:p>
        </w:tc>
        <w:tc>
          <w:tcPr>
            <w:tcW w:w="0" w:type="auto"/>
            <w:vAlign w:val="center"/>
            <w:hideMark/>
          </w:tcPr>
          <w:p w14:paraId="6DB9E72D"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0,84</w:t>
            </w:r>
          </w:p>
        </w:tc>
        <w:tc>
          <w:tcPr>
            <w:tcW w:w="0" w:type="auto"/>
            <w:vAlign w:val="center"/>
            <w:hideMark/>
          </w:tcPr>
          <w:p w14:paraId="0FE692B3"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4,4</w:t>
            </w:r>
          </w:p>
        </w:tc>
        <w:tc>
          <w:tcPr>
            <w:tcW w:w="0" w:type="auto"/>
            <w:vAlign w:val="center"/>
            <w:hideMark/>
          </w:tcPr>
          <w:p w14:paraId="1B969F7E"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0,88</w:t>
            </w:r>
          </w:p>
        </w:tc>
        <w:tc>
          <w:tcPr>
            <w:tcW w:w="0" w:type="auto"/>
            <w:vAlign w:val="center"/>
            <w:hideMark/>
          </w:tcPr>
          <w:p w14:paraId="7C715CAB" w14:textId="77777777" w:rsidR="002F33D0" w:rsidRPr="002F33D0" w:rsidRDefault="002F33D0" w:rsidP="0052009A">
            <w:pPr>
              <w:ind w:firstLine="0"/>
              <w:jc w:val="center"/>
              <w:rPr>
                <w:rFonts w:eastAsia="Times New Roman"/>
                <w:szCs w:val="24"/>
                <w:lang w:eastAsia="ru-RU"/>
              </w:rPr>
            </w:pPr>
            <w:r w:rsidRPr="002F33D0">
              <w:rPr>
                <w:rFonts w:eastAsia="Times New Roman"/>
                <w:bCs/>
                <w:szCs w:val="24"/>
                <w:lang w:eastAsia="ru-RU"/>
              </w:rPr>
              <w:t>0,86</w:t>
            </w:r>
          </w:p>
        </w:tc>
        <w:tc>
          <w:tcPr>
            <w:tcW w:w="0" w:type="auto"/>
            <w:vAlign w:val="center"/>
            <w:hideMark/>
          </w:tcPr>
          <w:p w14:paraId="23FCF94B"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0,233</w:t>
            </w:r>
          </w:p>
        </w:tc>
        <w:tc>
          <w:tcPr>
            <w:tcW w:w="0" w:type="auto"/>
            <w:shd w:val="clear" w:color="auto" w:fill="auto"/>
            <w:vAlign w:val="center"/>
            <w:hideMark/>
          </w:tcPr>
          <w:p w14:paraId="3AF47EC0" w14:textId="77777777" w:rsidR="002F33D0" w:rsidRPr="002F33D0" w:rsidRDefault="002F33D0" w:rsidP="0052009A">
            <w:pPr>
              <w:ind w:firstLine="0"/>
              <w:jc w:val="center"/>
              <w:rPr>
                <w:rFonts w:eastAsia="Times New Roman"/>
                <w:szCs w:val="24"/>
                <w:lang w:eastAsia="ru-RU"/>
              </w:rPr>
            </w:pPr>
            <w:r w:rsidRPr="002F33D0">
              <w:rPr>
                <w:rFonts w:eastAsia="Times New Roman"/>
                <w:bCs/>
                <w:szCs w:val="24"/>
                <w:lang w:eastAsia="ru-RU"/>
              </w:rPr>
              <w:t>0,200</w:t>
            </w:r>
          </w:p>
        </w:tc>
      </w:tr>
      <w:tr w:rsidR="002F33D0" w:rsidRPr="002F33D0" w14:paraId="47A9F629" w14:textId="77777777" w:rsidTr="002F33D0">
        <w:tc>
          <w:tcPr>
            <w:tcW w:w="0" w:type="auto"/>
            <w:shd w:val="clear" w:color="auto" w:fill="F4B083" w:themeFill="accent2" w:themeFillTint="99"/>
            <w:hideMark/>
          </w:tcPr>
          <w:p w14:paraId="70B7279B" w14:textId="7B1B70F3" w:rsidR="002F33D0" w:rsidRPr="002F33D0" w:rsidRDefault="00545A2C" w:rsidP="0052009A">
            <w:pPr>
              <w:ind w:firstLine="0"/>
              <w:rPr>
                <w:rFonts w:eastAsia="Times New Roman"/>
                <w:szCs w:val="24"/>
                <w:lang w:eastAsia="ru-RU"/>
              </w:rPr>
            </w:pPr>
            <w:r>
              <w:rPr>
                <w:rFonts w:eastAsia="Times New Roman"/>
                <w:bCs/>
                <w:szCs w:val="24"/>
                <w:lang w:val="en-US" w:eastAsia="ru-RU"/>
              </w:rPr>
              <w:t>R</w:t>
            </w:r>
            <w:r w:rsidR="002F33D0" w:rsidRPr="00545A2C">
              <w:rPr>
                <w:rFonts w:eastAsia="Times New Roman"/>
                <w:bCs/>
                <w:szCs w:val="24"/>
                <w:vertAlign w:val="subscript"/>
                <w:lang w:eastAsia="ru-RU"/>
              </w:rPr>
              <w:t>7</w:t>
            </w:r>
            <w:r w:rsidR="002F33D0" w:rsidRPr="002F33D0">
              <w:rPr>
                <w:rFonts w:eastAsia="Times New Roman"/>
                <w:bCs/>
                <w:szCs w:val="24"/>
                <w:lang w:eastAsia="ru-RU"/>
              </w:rPr>
              <w:t>. Институциональная среда</w:t>
            </w:r>
          </w:p>
        </w:tc>
        <w:tc>
          <w:tcPr>
            <w:tcW w:w="0" w:type="auto"/>
            <w:shd w:val="clear" w:color="auto" w:fill="auto"/>
            <w:vAlign w:val="center"/>
            <w:hideMark/>
          </w:tcPr>
          <w:p w14:paraId="3D7763F0"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2,1</w:t>
            </w:r>
          </w:p>
        </w:tc>
        <w:tc>
          <w:tcPr>
            <w:tcW w:w="0" w:type="auto"/>
            <w:shd w:val="clear" w:color="auto" w:fill="F4B083" w:themeFill="accent2" w:themeFillTint="99"/>
            <w:vAlign w:val="center"/>
            <w:hideMark/>
          </w:tcPr>
          <w:p w14:paraId="2841C721"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0,42</w:t>
            </w:r>
          </w:p>
        </w:tc>
        <w:tc>
          <w:tcPr>
            <w:tcW w:w="0" w:type="auto"/>
            <w:shd w:val="clear" w:color="auto" w:fill="auto"/>
            <w:vAlign w:val="center"/>
            <w:hideMark/>
          </w:tcPr>
          <w:p w14:paraId="7E8107C3"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2,0</w:t>
            </w:r>
          </w:p>
        </w:tc>
        <w:tc>
          <w:tcPr>
            <w:tcW w:w="0" w:type="auto"/>
            <w:shd w:val="clear" w:color="auto" w:fill="F4B083" w:themeFill="accent2" w:themeFillTint="99"/>
            <w:vAlign w:val="center"/>
            <w:hideMark/>
          </w:tcPr>
          <w:p w14:paraId="3713CEAF"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0,40</w:t>
            </w:r>
          </w:p>
        </w:tc>
        <w:tc>
          <w:tcPr>
            <w:tcW w:w="0" w:type="auto"/>
            <w:shd w:val="clear" w:color="auto" w:fill="auto"/>
            <w:vAlign w:val="center"/>
            <w:hideMark/>
          </w:tcPr>
          <w:p w14:paraId="0DECD962"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1,9</w:t>
            </w:r>
          </w:p>
        </w:tc>
        <w:tc>
          <w:tcPr>
            <w:tcW w:w="0" w:type="auto"/>
            <w:shd w:val="clear" w:color="auto" w:fill="F4B083" w:themeFill="accent2" w:themeFillTint="99"/>
            <w:vAlign w:val="center"/>
            <w:hideMark/>
          </w:tcPr>
          <w:p w14:paraId="525C34DB" w14:textId="77777777" w:rsidR="002F33D0" w:rsidRPr="002F33D0" w:rsidRDefault="002F33D0" w:rsidP="0052009A">
            <w:pPr>
              <w:ind w:firstLine="0"/>
              <w:jc w:val="center"/>
              <w:rPr>
                <w:rFonts w:eastAsia="Times New Roman"/>
                <w:szCs w:val="24"/>
                <w:lang w:eastAsia="ru-RU"/>
              </w:rPr>
            </w:pPr>
            <w:r w:rsidRPr="002F33D0">
              <w:rPr>
                <w:rFonts w:eastAsia="Times New Roman"/>
                <w:szCs w:val="24"/>
                <w:lang w:eastAsia="ru-RU"/>
              </w:rPr>
              <w:t>0,38</w:t>
            </w:r>
          </w:p>
        </w:tc>
        <w:tc>
          <w:tcPr>
            <w:tcW w:w="0" w:type="auto"/>
            <w:shd w:val="clear" w:color="auto" w:fill="F4B083" w:themeFill="accent2" w:themeFillTint="99"/>
            <w:vAlign w:val="center"/>
            <w:hideMark/>
          </w:tcPr>
          <w:p w14:paraId="36648E80" w14:textId="77777777" w:rsidR="002F33D0" w:rsidRPr="002F33D0" w:rsidRDefault="002F33D0" w:rsidP="0052009A">
            <w:pPr>
              <w:ind w:firstLine="0"/>
              <w:jc w:val="center"/>
              <w:rPr>
                <w:rFonts w:eastAsia="Times New Roman"/>
                <w:szCs w:val="24"/>
                <w:lang w:eastAsia="ru-RU"/>
              </w:rPr>
            </w:pPr>
            <w:r w:rsidRPr="002F33D0">
              <w:rPr>
                <w:rFonts w:eastAsia="Times New Roman"/>
                <w:bCs/>
                <w:szCs w:val="24"/>
                <w:lang w:eastAsia="ru-RU"/>
              </w:rPr>
              <w:t>0,40</w:t>
            </w:r>
          </w:p>
        </w:tc>
        <w:tc>
          <w:tcPr>
            <w:tcW w:w="0" w:type="auto"/>
            <w:shd w:val="clear" w:color="auto" w:fill="auto"/>
            <w:vAlign w:val="center"/>
            <w:hideMark/>
          </w:tcPr>
          <w:p w14:paraId="4ABB8F47" w14:textId="77777777" w:rsidR="002F33D0" w:rsidRPr="002F33D0" w:rsidRDefault="002F33D0" w:rsidP="0052009A">
            <w:pPr>
              <w:ind w:firstLine="0"/>
              <w:jc w:val="center"/>
              <w:rPr>
                <w:rFonts w:eastAsia="Times New Roman"/>
                <w:szCs w:val="24"/>
                <w:lang w:eastAsia="ru-RU"/>
              </w:rPr>
            </w:pPr>
            <w:r w:rsidRPr="002F33D0">
              <w:rPr>
                <w:rFonts w:eastAsia="Times New Roman"/>
                <w:bCs/>
                <w:szCs w:val="24"/>
                <w:lang w:eastAsia="ru-RU"/>
              </w:rPr>
              <w:t>0,363</w:t>
            </w:r>
          </w:p>
        </w:tc>
        <w:tc>
          <w:tcPr>
            <w:tcW w:w="0" w:type="auto"/>
            <w:shd w:val="clear" w:color="auto" w:fill="auto"/>
            <w:vAlign w:val="center"/>
            <w:hideMark/>
          </w:tcPr>
          <w:p w14:paraId="18747B46" w14:textId="77777777" w:rsidR="002F33D0" w:rsidRPr="002F33D0" w:rsidRDefault="002F33D0" w:rsidP="0052009A">
            <w:pPr>
              <w:ind w:firstLine="0"/>
              <w:jc w:val="center"/>
              <w:rPr>
                <w:rFonts w:eastAsia="Times New Roman"/>
                <w:szCs w:val="24"/>
                <w:lang w:eastAsia="ru-RU"/>
              </w:rPr>
            </w:pPr>
            <w:r w:rsidRPr="002F33D0">
              <w:rPr>
                <w:rFonts w:eastAsia="Times New Roman"/>
                <w:bCs/>
                <w:szCs w:val="24"/>
                <w:lang w:eastAsia="ru-RU"/>
              </w:rPr>
              <w:t>0,145</w:t>
            </w:r>
          </w:p>
        </w:tc>
      </w:tr>
      <w:tr w:rsidR="002F33D0" w:rsidRPr="002F33D0" w14:paraId="5CB44FB2" w14:textId="77777777" w:rsidTr="002F33D0">
        <w:tc>
          <w:tcPr>
            <w:tcW w:w="0" w:type="auto"/>
            <w:gridSpan w:val="8"/>
            <w:vAlign w:val="center"/>
          </w:tcPr>
          <w:p w14:paraId="5E55528B" w14:textId="77777777" w:rsidR="002F33D0" w:rsidRPr="002F33D0" w:rsidRDefault="002F33D0" w:rsidP="002F33D0">
            <w:pPr>
              <w:ind w:firstLine="0"/>
              <w:jc w:val="both"/>
              <w:rPr>
                <w:rFonts w:eastAsia="Times New Roman"/>
                <w:bCs/>
                <w:szCs w:val="24"/>
                <w:lang w:eastAsia="ru-RU"/>
              </w:rPr>
            </w:pPr>
            <w:r w:rsidRPr="002F33D0">
              <w:rPr>
                <w:rFonts w:eastAsia="Times New Roman"/>
                <w:bCs/>
                <w:szCs w:val="24"/>
                <w:lang w:val="kk-KZ" w:eastAsia="ru-RU"/>
              </w:rPr>
              <w:t xml:space="preserve">Сумма </w:t>
            </w:r>
          </w:p>
        </w:tc>
        <w:tc>
          <w:tcPr>
            <w:tcW w:w="0" w:type="auto"/>
          </w:tcPr>
          <w:p w14:paraId="0A4C7B90" w14:textId="77777777" w:rsidR="002F33D0" w:rsidRPr="002F33D0" w:rsidRDefault="002F33D0" w:rsidP="002F33D0">
            <w:pPr>
              <w:ind w:firstLine="0"/>
              <w:jc w:val="both"/>
              <w:rPr>
                <w:rFonts w:eastAsia="Times New Roman"/>
                <w:bCs/>
                <w:szCs w:val="24"/>
                <w:lang w:val="en-US" w:eastAsia="ru-RU"/>
              </w:rPr>
            </w:pPr>
            <w:r w:rsidRPr="002F33D0">
              <w:rPr>
                <w:rFonts w:eastAsia="Times New Roman"/>
                <w:bCs/>
                <w:szCs w:val="24"/>
                <w:lang w:val="en-US" w:eastAsia="ru-RU"/>
              </w:rPr>
              <w:t>2</w:t>
            </w:r>
            <w:r w:rsidRPr="002F33D0">
              <w:rPr>
                <w:rFonts w:eastAsia="Times New Roman"/>
                <w:bCs/>
                <w:szCs w:val="24"/>
                <w:lang w:val="kk-KZ" w:eastAsia="ru-RU"/>
              </w:rPr>
              <w:t>,</w:t>
            </w:r>
            <w:r w:rsidRPr="002F33D0">
              <w:rPr>
                <w:rFonts w:eastAsia="Times New Roman"/>
                <w:bCs/>
                <w:szCs w:val="24"/>
                <w:lang w:val="en-US" w:eastAsia="ru-RU"/>
              </w:rPr>
              <w:t>751</w:t>
            </w:r>
          </w:p>
        </w:tc>
        <w:tc>
          <w:tcPr>
            <w:tcW w:w="0" w:type="auto"/>
          </w:tcPr>
          <w:p w14:paraId="332CE75B" w14:textId="77777777" w:rsidR="002F33D0" w:rsidRPr="002F33D0" w:rsidRDefault="002F33D0" w:rsidP="002F33D0">
            <w:pPr>
              <w:ind w:firstLine="0"/>
              <w:jc w:val="both"/>
              <w:rPr>
                <w:rFonts w:eastAsia="Times New Roman"/>
                <w:bCs/>
                <w:szCs w:val="24"/>
                <w:lang w:val="kk-KZ" w:eastAsia="ru-RU"/>
              </w:rPr>
            </w:pPr>
            <w:r w:rsidRPr="002F33D0">
              <w:rPr>
                <w:rFonts w:eastAsia="Times New Roman"/>
                <w:bCs/>
                <w:szCs w:val="24"/>
                <w:lang w:val="kk-KZ" w:eastAsia="ru-RU"/>
              </w:rPr>
              <w:t>1,956</w:t>
            </w:r>
          </w:p>
        </w:tc>
      </w:tr>
      <w:tr w:rsidR="002F33D0" w:rsidRPr="002F33D0" w14:paraId="5827C199" w14:textId="77777777" w:rsidTr="002F33D0">
        <w:tc>
          <w:tcPr>
            <w:tcW w:w="0" w:type="auto"/>
            <w:gridSpan w:val="9"/>
            <w:shd w:val="clear" w:color="auto" w:fill="92D050"/>
            <w:vAlign w:val="center"/>
            <w:hideMark/>
          </w:tcPr>
          <w:p w14:paraId="0C623E01" w14:textId="77777777" w:rsidR="002F33D0" w:rsidRPr="002F33D0" w:rsidRDefault="002F33D0" w:rsidP="002F33D0">
            <w:pPr>
              <w:ind w:firstLine="0"/>
              <w:jc w:val="both"/>
              <w:rPr>
                <w:rFonts w:eastAsia="Times New Roman"/>
                <w:szCs w:val="24"/>
                <w:lang w:eastAsia="ru-RU"/>
              </w:rPr>
            </w:pPr>
            <w:r w:rsidRPr="002F33D0">
              <w:rPr>
                <w:rFonts w:eastAsiaTheme="minorEastAsia"/>
                <w:szCs w:val="24"/>
                <w:lang w:val="kk-KZ"/>
              </w:rPr>
              <w:t>Индекс инновационного потенциала (</w:t>
            </w:r>
            <m:oMath>
              <m:r>
                <m:rPr>
                  <m:sty m:val="p"/>
                </m:rPr>
                <w:rPr>
                  <w:rFonts w:ascii="Cambria Math" w:hAnsi="Cambria Math"/>
                  <w:szCs w:val="24"/>
                </w:rPr>
                <m:t>IP-Index</m:t>
              </m:r>
            </m:oMath>
            <w:r w:rsidRPr="002F33D0">
              <w:rPr>
                <w:rFonts w:eastAsiaTheme="minorEastAsia"/>
                <w:szCs w:val="24"/>
                <w:lang w:val="kk-KZ"/>
              </w:rPr>
              <w:t>)</w:t>
            </w:r>
          </w:p>
        </w:tc>
        <w:tc>
          <w:tcPr>
            <w:tcW w:w="0" w:type="auto"/>
            <w:shd w:val="clear" w:color="auto" w:fill="92D050"/>
            <w:hideMark/>
          </w:tcPr>
          <w:p w14:paraId="2FF153C7" w14:textId="77777777" w:rsidR="002F33D0" w:rsidRPr="002F33D0" w:rsidRDefault="002F33D0" w:rsidP="002F33D0">
            <w:pPr>
              <w:ind w:firstLine="0"/>
              <w:jc w:val="both"/>
              <w:rPr>
                <w:rFonts w:eastAsia="Times New Roman"/>
                <w:szCs w:val="24"/>
                <w:lang w:val="kk-KZ" w:eastAsia="ru-RU"/>
              </w:rPr>
            </w:pPr>
            <w:r w:rsidRPr="002F33D0">
              <w:rPr>
                <w:rFonts w:eastAsia="Times New Roman"/>
                <w:bCs/>
                <w:szCs w:val="24"/>
                <w:lang w:eastAsia="ru-RU"/>
              </w:rPr>
              <w:t>0,</w:t>
            </w:r>
            <w:r w:rsidRPr="002F33D0">
              <w:rPr>
                <w:rFonts w:eastAsia="Times New Roman"/>
                <w:bCs/>
                <w:szCs w:val="24"/>
                <w:lang w:val="kk-KZ" w:eastAsia="ru-RU"/>
              </w:rPr>
              <w:t>71</w:t>
            </w:r>
          </w:p>
        </w:tc>
      </w:tr>
      <w:tr w:rsidR="00356FEF" w:rsidRPr="002F33D0" w14:paraId="4C338A76" w14:textId="77777777" w:rsidTr="000F3C80">
        <w:tc>
          <w:tcPr>
            <w:tcW w:w="0" w:type="auto"/>
            <w:gridSpan w:val="10"/>
            <w:shd w:val="clear" w:color="auto" w:fill="auto"/>
            <w:vAlign w:val="center"/>
          </w:tcPr>
          <w:p w14:paraId="34B98517" w14:textId="6C65D90C" w:rsidR="00356FEF" w:rsidRPr="00356FEF" w:rsidRDefault="00356FEF" w:rsidP="000F3C80">
            <w:pPr>
              <w:ind w:firstLine="459"/>
              <w:jc w:val="both"/>
              <w:rPr>
                <w:rFonts w:eastAsia="Times New Roman"/>
                <w:bCs/>
                <w:szCs w:val="24"/>
                <w:lang w:val="kk-KZ" w:eastAsia="ru-RU"/>
              </w:rPr>
            </w:pPr>
            <w:r w:rsidRPr="00EE311D">
              <w:rPr>
                <w:rFonts w:eastAsia="Times New Roman"/>
                <w:bCs/>
                <w:szCs w:val="24"/>
                <w:lang w:val="kk-KZ" w:eastAsia="ru-RU"/>
              </w:rPr>
              <w:t xml:space="preserve">Примечание – </w:t>
            </w:r>
            <w:r w:rsidR="000F3C80" w:rsidRPr="00EE311D">
              <w:rPr>
                <w:rFonts w:eastAsia="Times New Roman"/>
                <w:bCs/>
                <w:szCs w:val="24"/>
                <w:lang w:val="kk-KZ" w:eastAsia="ru-RU"/>
              </w:rPr>
              <w:t>С</w:t>
            </w:r>
            <w:r w:rsidRPr="00EE311D">
              <w:rPr>
                <w:rFonts w:eastAsia="Times New Roman"/>
                <w:bCs/>
                <w:szCs w:val="24"/>
                <w:lang w:val="kk-KZ" w:eastAsia="ru-RU"/>
              </w:rPr>
              <w:t>оставлено автором</w:t>
            </w:r>
          </w:p>
        </w:tc>
      </w:tr>
    </w:tbl>
    <w:p w14:paraId="083AEF4A" w14:textId="77777777" w:rsidR="002F33D0" w:rsidRPr="002F33D0" w:rsidRDefault="002F33D0" w:rsidP="002F33D0">
      <w:pPr>
        <w:spacing w:after="0" w:line="240" w:lineRule="auto"/>
        <w:jc w:val="both"/>
        <w:rPr>
          <w:rFonts w:ascii="Times New Roman" w:hAnsi="Times New Roman" w:cs="Times New Roman"/>
          <w:sz w:val="28"/>
          <w:szCs w:val="28"/>
        </w:rPr>
      </w:pPr>
    </w:p>
    <w:p w14:paraId="57FAA227" w14:textId="6BEF7378" w:rsidR="002F33D0" w:rsidRPr="002F33D0" w:rsidRDefault="002F33D0" w:rsidP="0052009A">
      <w:pPr>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 xml:space="preserve">Анализ итогового значения индекса инновационного потенциала (0,71) для условного предприятия средней категории позволяет продемонстрировать ключевое методологическое отличие разработанной методики </w:t>
      </w:r>
      <w:r w:rsidR="009D20AE">
        <w:rPr>
          <w:rFonts w:ascii="Times New Roman" w:hAnsi="Times New Roman" w:cs="Times New Roman"/>
          <w:sz w:val="28"/>
          <w:szCs w:val="28"/>
          <w:lang w:val="kk-KZ"/>
        </w:rPr>
        <w:t>–</w:t>
      </w:r>
      <w:r w:rsidRPr="002F33D0">
        <w:rPr>
          <w:rFonts w:ascii="Times New Roman" w:hAnsi="Times New Roman" w:cs="Times New Roman"/>
          <w:sz w:val="28"/>
          <w:szCs w:val="28"/>
          <w:lang w:val="kk-KZ"/>
        </w:rPr>
        <w:t xml:space="preserve"> использование объективного эконометрического взвешивания. Полученное значение IP-индекса 0,71 соответствует Высокому уровню инновационного потенциала (диапазон 0,66</w:t>
      </w:r>
      <w:r w:rsidR="00E27253">
        <w:rPr>
          <w:rFonts w:ascii="Times New Roman" w:hAnsi="Times New Roman" w:cs="Times New Roman"/>
          <w:sz w:val="28"/>
          <w:szCs w:val="28"/>
          <w:lang w:val="kk-KZ"/>
        </w:rPr>
        <w:t>-</w:t>
      </w:r>
      <w:r w:rsidRPr="002F33D0">
        <w:rPr>
          <w:rFonts w:ascii="Times New Roman" w:hAnsi="Times New Roman" w:cs="Times New Roman"/>
          <w:sz w:val="28"/>
          <w:szCs w:val="28"/>
          <w:lang w:val="kk-KZ"/>
        </w:rPr>
        <w:t xml:space="preserve">0,85) согласно калибровочной шкале. </w:t>
      </w:r>
    </w:p>
    <w:p w14:paraId="452B9BD1" w14:textId="77777777" w:rsidR="002F33D0" w:rsidRPr="002F33D0" w:rsidRDefault="002F33D0" w:rsidP="0052009A">
      <w:pPr>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На первый взгляд, такой высокий результат может показаться нелогичным, учитывая, что производительность по отдельным факторам, например, по Институциональной среде (</w:t>
      </w:r>
      <m:oMath>
        <m:sSubSup>
          <m:sSubSupPr>
            <m:ctrlPr>
              <w:rPr>
                <w:rFonts w:ascii="Cambria Math" w:eastAsia="Times New Roman" w:hAnsi="Cambria Math" w:cs="Times New Roman"/>
                <w:bCs/>
                <w:i/>
                <w:sz w:val="28"/>
                <w:szCs w:val="28"/>
                <w:lang w:val="kk-KZ" w:eastAsia="ru-RU"/>
              </w:rPr>
            </m:ctrlPr>
          </m:sSubSupPr>
          <m:e>
            <m:acc>
              <m:accPr>
                <m:chr m:val="̅"/>
                <m:ctrlPr>
                  <w:rPr>
                    <w:rFonts w:ascii="Cambria Math" w:eastAsia="Times New Roman" w:hAnsi="Cambria Math" w:cs="Times New Roman"/>
                    <w:bCs/>
                    <w:i/>
                    <w:sz w:val="28"/>
                    <w:szCs w:val="28"/>
                    <w:lang w:val="kk-KZ" w:eastAsia="ru-RU"/>
                  </w:rPr>
                </m:ctrlPr>
              </m:accPr>
              <m:e>
                <m:r>
                  <w:rPr>
                    <w:rFonts w:ascii="Cambria Math" w:eastAsia="Times New Roman" w:hAnsi="Cambria Math" w:cs="Times New Roman"/>
                    <w:sz w:val="28"/>
                    <w:szCs w:val="28"/>
                    <w:lang w:val="kk-KZ" w:eastAsia="ru-RU"/>
                  </w:rPr>
                  <m:t>X</m:t>
                </m:r>
              </m:e>
            </m:acc>
          </m:e>
          <m:sub>
            <m:r>
              <w:rPr>
                <w:rFonts w:ascii="Cambria Math" w:eastAsia="Times New Roman" w:hAnsi="Cambria Math" w:cs="Times New Roman"/>
                <w:sz w:val="28"/>
                <w:szCs w:val="28"/>
                <w:lang w:val="kk-KZ" w:eastAsia="ru-RU"/>
              </w:rPr>
              <m:t>i</m:t>
            </m:r>
          </m:sub>
          <m:sup>
            <m:r>
              <w:rPr>
                <w:rFonts w:ascii="Cambria Math" w:eastAsia="Times New Roman" w:hAnsi="Cambria Math" w:cs="Times New Roman"/>
                <w:sz w:val="28"/>
                <w:szCs w:val="28"/>
                <w:lang w:val="kk-KZ" w:eastAsia="ru-RU"/>
              </w:rPr>
              <m:t>'</m:t>
            </m:r>
          </m:sup>
        </m:sSubSup>
      </m:oMath>
      <w:r w:rsidRPr="002F33D0">
        <w:rPr>
          <w:rFonts w:ascii="Times New Roman" w:hAnsi="Times New Roman" w:cs="Times New Roman"/>
          <w:sz w:val="28"/>
          <w:szCs w:val="28"/>
          <w:lang w:val="kk-KZ"/>
        </w:rPr>
        <w:t>=0,40), является низкой, а взвешенный вклад (</w:t>
      </w: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W</m:t>
            </m:r>
          </m:e>
          <m:sub>
            <m:r>
              <w:rPr>
                <w:rFonts w:ascii="Cambria Math" w:eastAsia="Cambria Math" w:hAnsi="Cambria Math" w:cs="Times New Roman"/>
                <w:sz w:val="28"/>
                <w:szCs w:val="28"/>
              </w:rPr>
              <m:t>i</m:t>
            </m:r>
          </m:sub>
        </m:sSub>
      </m:oMath>
      <w:r w:rsidRPr="002F33D0">
        <w:rPr>
          <w:rFonts w:ascii="Times New Roman" w:hAnsi="Times New Roman" w:cs="Times New Roman"/>
          <w:sz w:val="28"/>
          <w:szCs w:val="28"/>
          <w:lang w:val="kk-KZ"/>
        </w:rPr>
        <w:t>) по некоторым компонентам также не достигает максимальных значений. Однако этот результат корректен и подтверждает, что инновационный потенциал определяется не простым среднеарифметическим всех ресурсов, а взвешенным средним, которое отражает статистически доказанную силу влияния каждого компонента.</w:t>
      </w:r>
    </w:p>
    <w:p w14:paraId="35057F1D" w14:textId="77777777" w:rsidR="002F33D0" w:rsidRPr="002F33D0" w:rsidRDefault="002F33D0" w:rsidP="0052009A">
      <w:pPr>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Высокий уровень IP-Index (0,71) обусловлен следующими методологическими и эмпирическими факторами:</w:t>
      </w:r>
    </w:p>
    <w:p w14:paraId="2EEA3B60" w14:textId="77777777" w:rsidR="002F33D0" w:rsidRPr="002F33D0" w:rsidRDefault="002F33D0" w:rsidP="0052009A">
      <w:pPr>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1. Приоритет статистически значимых драйверов. Разработанный IP-индекс базируется на β-коэффициентах, полученных из структурного моделирования (SEM), которые показывают реальную силу влияния каждого ресурса на инновационный потенциал. Для предприятий средней категории наиболее значимыми драйверами оказались Управленческие ресурсы (β=0,528) и Технологические ресурсы (β=0,510).</w:t>
      </w:r>
    </w:p>
    <w:p w14:paraId="6AF4A26C" w14:textId="77777777" w:rsidR="002F33D0" w:rsidRPr="002F33D0" w:rsidRDefault="002F33D0" w:rsidP="0052009A">
      <w:pPr>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2. Высокая производительность по ключевым факторам. Условное предприятие демонстрирует высокую производительность (</w:t>
      </w:r>
      <m:oMath>
        <m:sSubSup>
          <m:sSubSupPr>
            <m:ctrlPr>
              <w:rPr>
                <w:rFonts w:ascii="Cambria Math" w:eastAsia="Times New Roman" w:hAnsi="Cambria Math" w:cs="Times New Roman"/>
                <w:bCs/>
                <w:i/>
                <w:sz w:val="28"/>
                <w:szCs w:val="28"/>
                <w:lang w:val="kk-KZ" w:eastAsia="ru-RU"/>
              </w:rPr>
            </m:ctrlPr>
          </m:sSubSupPr>
          <m:e>
            <m:acc>
              <m:accPr>
                <m:chr m:val="̅"/>
                <m:ctrlPr>
                  <w:rPr>
                    <w:rFonts w:ascii="Cambria Math" w:eastAsia="Times New Roman" w:hAnsi="Cambria Math" w:cs="Times New Roman"/>
                    <w:bCs/>
                    <w:i/>
                    <w:sz w:val="28"/>
                    <w:szCs w:val="28"/>
                    <w:lang w:val="kk-KZ" w:eastAsia="ru-RU"/>
                  </w:rPr>
                </m:ctrlPr>
              </m:accPr>
              <m:e>
                <m:r>
                  <w:rPr>
                    <w:rFonts w:ascii="Cambria Math" w:eastAsia="Times New Roman" w:hAnsi="Cambria Math" w:cs="Times New Roman"/>
                    <w:sz w:val="28"/>
                    <w:szCs w:val="28"/>
                    <w:lang w:val="kk-KZ" w:eastAsia="ru-RU"/>
                  </w:rPr>
                  <m:t>X</m:t>
                </m:r>
              </m:e>
            </m:acc>
          </m:e>
          <m:sub>
            <m:r>
              <w:rPr>
                <w:rFonts w:ascii="Cambria Math" w:eastAsia="Times New Roman" w:hAnsi="Cambria Math" w:cs="Times New Roman"/>
                <w:sz w:val="28"/>
                <w:szCs w:val="28"/>
                <w:lang w:val="kk-KZ" w:eastAsia="ru-RU"/>
              </w:rPr>
              <m:t>i</m:t>
            </m:r>
          </m:sub>
          <m:sup>
            <m:r>
              <w:rPr>
                <w:rFonts w:ascii="Cambria Math" w:eastAsia="Times New Roman" w:hAnsi="Cambria Math" w:cs="Times New Roman"/>
                <w:sz w:val="28"/>
                <w:szCs w:val="28"/>
                <w:lang w:val="kk-KZ" w:eastAsia="ru-RU"/>
              </w:rPr>
              <m:t>'</m:t>
            </m:r>
          </m:sup>
        </m:sSubSup>
      </m:oMath>
      <w:r w:rsidRPr="002F33D0">
        <w:rPr>
          <w:rFonts w:ascii="Times New Roman" w:hAnsi="Times New Roman" w:cs="Times New Roman"/>
          <w:sz w:val="28"/>
          <w:szCs w:val="28"/>
          <w:lang w:val="kk-KZ"/>
        </w:rPr>
        <w:t>) именно в тех областях, которые имеют наибольший статистический вес. Нормализованные оценки по Управленческим ресурсам (</w:t>
      </w:r>
      <m:oMath>
        <m:sSubSup>
          <m:sSubSupPr>
            <m:ctrlPr>
              <w:rPr>
                <w:rFonts w:ascii="Cambria Math" w:eastAsia="Times New Roman" w:hAnsi="Cambria Math" w:cs="Times New Roman"/>
                <w:bCs/>
                <w:i/>
                <w:sz w:val="28"/>
                <w:szCs w:val="28"/>
                <w:lang w:val="kk-KZ" w:eastAsia="ru-RU"/>
              </w:rPr>
            </m:ctrlPr>
          </m:sSubSupPr>
          <m:e>
            <m:acc>
              <m:accPr>
                <m:chr m:val="̅"/>
                <m:ctrlPr>
                  <w:rPr>
                    <w:rFonts w:ascii="Cambria Math" w:eastAsia="Times New Roman" w:hAnsi="Cambria Math" w:cs="Times New Roman"/>
                    <w:bCs/>
                    <w:i/>
                    <w:sz w:val="28"/>
                    <w:szCs w:val="28"/>
                    <w:lang w:val="kk-KZ" w:eastAsia="ru-RU"/>
                  </w:rPr>
                </m:ctrlPr>
              </m:accPr>
              <m:e>
                <m:r>
                  <w:rPr>
                    <w:rFonts w:ascii="Cambria Math" w:eastAsia="Times New Roman" w:hAnsi="Cambria Math" w:cs="Times New Roman"/>
                    <w:sz w:val="28"/>
                    <w:szCs w:val="28"/>
                    <w:lang w:val="kk-KZ" w:eastAsia="ru-RU"/>
                  </w:rPr>
                  <m:t>X</m:t>
                </m:r>
              </m:e>
            </m:acc>
          </m:e>
          <m:sub>
            <m:r>
              <w:rPr>
                <w:rFonts w:ascii="Cambria Math" w:eastAsia="Times New Roman" w:hAnsi="Cambria Math" w:cs="Times New Roman"/>
                <w:sz w:val="28"/>
                <w:szCs w:val="28"/>
                <w:lang w:val="kk-KZ" w:eastAsia="ru-RU"/>
              </w:rPr>
              <m:t>i</m:t>
            </m:r>
          </m:sub>
          <m:sup>
            <m:r>
              <w:rPr>
                <w:rFonts w:ascii="Cambria Math" w:eastAsia="Times New Roman" w:hAnsi="Cambria Math" w:cs="Times New Roman"/>
                <w:sz w:val="28"/>
                <w:szCs w:val="28"/>
                <w:lang w:val="kk-KZ" w:eastAsia="ru-RU"/>
              </w:rPr>
              <m:t>'</m:t>
            </m:r>
          </m:sup>
        </m:sSubSup>
      </m:oMath>
      <w:r w:rsidRPr="002F33D0">
        <w:rPr>
          <w:rFonts w:ascii="Times New Roman" w:hAnsi="Times New Roman" w:cs="Times New Roman"/>
          <w:sz w:val="28"/>
          <w:szCs w:val="28"/>
          <w:lang w:val="kk-KZ"/>
        </w:rPr>
        <w:t xml:space="preserve">=0,84) и Технологическим ресурсам </w:t>
      </w:r>
      <w:r w:rsidRPr="002F33D0">
        <w:rPr>
          <w:rFonts w:ascii="Times New Roman" w:hAnsi="Times New Roman" w:cs="Times New Roman"/>
          <w:sz w:val="28"/>
          <w:szCs w:val="28"/>
          <w:lang w:val="kk-KZ"/>
        </w:rPr>
        <w:lastRenderedPageBreak/>
        <w:t>(</w:t>
      </w:r>
      <m:oMath>
        <m:sSubSup>
          <m:sSubSupPr>
            <m:ctrlPr>
              <w:rPr>
                <w:rFonts w:ascii="Cambria Math" w:eastAsia="Times New Roman" w:hAnsi="Cambria Math" w:cs="Times New Roman"/>
                <w:bCs/>
                <w:i/>
                <w:sz w:val="28"/>
                <w:szCs w:val="28"/>
                <w:lang w:val="kk-KZ" w:eastAsia="ru-RU"/>
              </w:rPr>
            </m:ctrlPr>
          </m:sSubSupPr>
          <m:e>
            <m:acc>
              <m:accPr>
                <m:chr m:val="̅"/>
                <m:ctrlPr>
                  <w:rPr>
                    <w:rFonts w:ascii="Cambria Math" w:eastAsia="Times New Roman" w:hAnsi="Cambria Math" w:cs="Times New Roman"/>
                    <w:bCs/>
                    <w:i/>
                    <w:sz w:val="28"/>
                    <w:szCs w:val="28"/>
                    <w:lang w:val="kk-KZ" w:eastAsia="ru-RU"/>
                  </w:rPr>
                </m:ctrlPr>
              </m:accPr>
              <m:e>
                <m:r>
                  <w:rPr>
                    <w:rFonts w:ascii="Cambria Math" w:eastAsia="Times New Roman" w:hAnsi="Cambria Math" w:cs="Times New Roman"/>
                    <w:sz w:val="28"/>
                    <w:szCs w:val="28"/>
                    <w:lang w:val="kk-KZ" w:eastAsia="ru-RU"/>
                  </w:rPr>
                  <m:t>X</m:t>
                </m:r>
              </m:e>
            </m:acc>
          </m:e>
          <m:sub>
            <m:r>
              <w:rPr>
                <w:rFonts w:ascii="Cambria Math" w:eastAsia="Times New Roman" w:hAnsi="Cambria Math" w:cs="Times New Roman"/>
                <w:sz w:val="28"/>
                <w:szCs w:val="28"/>
                <w:lang w:val="kk-KZ" w:eastAsia="ru-RU"/>
              </w:rPr>
              <m:t>i</m:t>
            </m:r>
          </m:sub>
          <m:sup>
            <m:r>
              <w:rPr>
                <w:rFonts w:ascii="Cambria Math" w:eastAsia="Times New Roman" w:hAnsi="Cambria Math" w:cs="Times New Roman"/>
                <w:sz w:val="28"/>
                <w:szCs w:val="28"/>
                <w:lang w:val="kk-KZ" w:eastAsia="ru-RU"/>
              </w:rPr>
              <m:t>'</m:t>
            </m:r>
          </m:sup>
        </m:sSubSup>
      </m:oMath>
      <w:r w:rsidRPr="002F33D0">
        <w:rPr>
          <w:rFonts w:ascii="Times New Roman" w:hAnsi="Times New Roman" w:cs="Times New Roman"/>
          <w:sz w:val="28"/>
          <w:szCs w:val="28"/>
          <w:lang w:val="kk-KZ"/>
        </w:rPr>
        <w:t>=0,76) близки к идеальным, что обеспечивает максимальный суммарный вклад (</w:t>
      </w: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W</m:t>
            </m:r>
          </m:e>
          <m:sub>
            <m:r>
              <w:rPr>
                <w:rFonts w:ascii="Cambria Math" w:eastAsia="Cambria Math" w:hAnsi="Cambria Math" w:cs="Times New Roman"/>
                <w:sz w:val="28"/>
                <w:szCs w:val="28"/>
              </w:rPr>
              <m:t>i</m:t>
            </m:r>
          </m:sub>
        </m:sSub>
      </m:oMath>
      <w:r w:rsidRPr="002F33D0">
        <w:rPr>
          <w:rFonts w:ascii="Times New Roman" w:hAnsi="Times New Roman" w:cs="Times New Roman"/>
          <w:sz w:val="28"/>
          <w:szCs w:val="28"/>
          <w:lang w:val="kk-KZ"/>
        </w:rPr>
        <w:t>) от наиболее важных компонентов. Этот сформированный ядровой потенциал (управление и технологии) является мощным «драйвером» общего индекса.</w:t>
      </w:r>
    </w:p>
    <w:p w14:paraId="4607ED30" w14:textId="77777777" w:rsidR="002F33D0" w:rsidRPr="002F33D0" w:rsidRDefault="002F33D0" w:rsidP="0052009A">
      <w:pPr>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3. Статистическое смягчение слабых зон. Низкая оценка в Институциональной среде (</w:t>
      </w:r>
      <m:oMath>
        <m:sSubSup>
          <m:sSubSupPr>
            <m:ctrlPr>
              <w:rPr>
                <w:rFonts w:ascii="Cambria Math" w:eastAsia="Times New Roman" w:hAnsi="Cambria Math" w:cs="Times New Roman"/>
                <w:bCs/>
                <w:i/>
                <w:sz w:val="28"/>
                <w:szCs w:val="28"/>
                <w:lang w:val="kk-KZ" w:eastAsia="ru-RU"/>
              </w:rPr>
            </m:ctrlPr>
          </m:sSubSupPr>
          <m:e>
            <m:acc>
              <m:accPr>
                <m:chr m:val="̅"/>
                <m:ctrlPr>
                  <w:rPr>
                    <w:rFonts w:ascii="Cambria Math" w:eastAsia="Times New Roman" w:hAnsi="Cambria Math" w:cs="Times New Roman"/>
                    <w:bCs/>
                    <w:i/>
                    <w:sz w:val="28"/>
                    <w:szCs w:val="28"/>
                    <w:lang w:val="kk-KZ" w:eastAsia="ru-RU"/>
                  </w:rPr>
                </m:ctrlPr>
              </m:accPr>
              <m:e>
                <m:r>
                  <w:rPr>
                    <w:rFonts w:ascii="Cambria Math" w:eastAsia="Times New Roman" w:hAnsi="Cambria Math" w:cs="Times New Roman"/>
                    <w:sz w:val="28"/>
                    <w:szCs w:val="28"/>
                    <w:lang w:val="kk-KZ" w:eastAsia="ru-RU"/>
                  </w:rPr>
                  <m:t>X</m:t>
                </m:r>
              </m:e>
            </m:acc>
          </m:e>
          <m:sub>
            <m:r>
              <w:rPr>
                <w:rFonts w:ascii="Cambria Math" w:eastAsia="Times New Roman" w:hAnsi="Cambria Math" w:cs="Times New Roman"/>
                <w:sz w:val="28"/>
                <w:szCs w:val="28"/>
                <w:lang w:val="kk-KZ" w:eastAsia="ru-RU"/>
              </w:rPr>
              <m:t>i</m:t>
            </m:r>
          </m:sub>
          <m:sup>
            <m:r>
              <w:rPr>
                <w:rFonts w:ascii="Cambria Math" w:eastAsia="Times New Roman" w:hAnsi="Cambria Math" w:cs="Times New Roman"/>
                <w:sz w:val="28"/>
                <w:szCs w:val="28"/>
                <w:lang w:val="kk-KZ" w:eastAsia="ru-RU"/>
              </w:rPr>
              <m:t>'</m:t>
            </m:r>
          </m:sup>
        </m:sSubSup>
      </m:oMath>
      <w:r w:rsidRPr="002F33D0">
        <w:rPr>
          <w:rFonts w:ascii="Times New Roman" w:hAnsi="Times New Roman" w:cs="Times New Roman"/>
          <w:sz w:val="28"/>
          <w:szCs w:val="28"/>
          <w:lang w:val="kk-KZ"/>
        </w:rPr>
        <w:t>=0,40) свидетельствует о наличии критической зоны (слабое взаимодействие с господдержкой). Однако весовой коэффициент этого фактора (β=0,363) ниже, чем у ключевых драйверов. В результате, несмотря на слабость этого компонента, его отрицательное влияние статистически компенсируется высоким развитием наиболее значимых факторов.</w:t>
      </w:r>
    </w:p>
    <w:p w14:paraId="39233044" w14:textId="18F6EEFF" w:rsidR="002F33D0" w:rsidRPr="002F33D0" w:rsidRDefault="002F33D0" w:rsidP="0052009A">
      <w:pPr>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 xml:space="preserve">4. Нормализация на сумму весов. Итоговое значение </w:t>
      </w:r>
      <w:r w:rsidR="00CA0203" w:rsidRPr="002F33D0">
        <w:rPr>
          <w:rFonts w:ascii="Times New Roman" w:hAnsi="Times New Roman" w:cs="Times New Roman"/>
          <w:sz w:val="28"/>
          <w:szCs w:val="28"/>
          <w:lang w:val="kk-KZ"/>
        </w:rPr>
        <w:t>IP-Index</w:t>
      </w:r>
      <w:r w:rsidRPr="002F33D0">
        <w:rPr>
          <w:rFonts w:ascii="Times New Roman" w:hAnsi="Times New Roman" w:cs="Times New Roman"/>
          <w:sz w:val="28"/>
          <w:szCs w:val="28"/>
          <w:lang w:val="kk-KZ"/>
        </w:rPr>
        <w:t xml:space="preserve"> (0,71) получено как взвешенное среднее (сумма взвешенных вкладов ∑</w:t>
      </w:r>
      <m:oMath>
        <m:sSub>
          <m:sSubPr>
            <m:ctrlPr>
              <w:rPr>
                <w:rFonts w:ascii="Cambria Math" w:eastAsia="Cambria Math" w:hAnsi="Cambria Math" w:cs="Times New Roman"/>
                <w:i/>
                <w:sz w:val="28"/>
                <w:szCs w:val="28"/>
              </w:rPr>
            </m:ctrlPr>
          </m:sSubPr>
          <m:e>
            <m:r>
              <w:rPr>
                <w:rFonts w:ascii="Cambria Math" w:eastAsia="Cambria Math" w:hAnsi="Cambria Math" w:cs="Times New Roman"/>
                <w:sz w:val="28"/>
                <w:szCs w:val="28"/>
              </w:rPr>
              <m:t>W</m:t>
            </m:r>
          </m:e>
          <m:sub>
            <m:r>
              <w:rPr>
                <w:rFonts w:ascii="Cambria Math" w:eastAsia="Cambria Math" w:hAnsi="Cambria Math" w:cs="Times New Roman"/>
                <w:sz w:val="28"/>
                <w:szCs w:val="28"/>
              </w:rPr>
              <m:t>i</m:t>
            </m:r>
          </m:sub>
        </m:sSub>
      </m:oMath>
      <w:r w:rsidRPr="002F33D0">
        <w:rPr>
          <w:rFonts w:ascii="Times New Roman" w:eastAsiaTheme="minorEastAsia" w:hAnsi="Times New Roman" w:cs="Times New Roman"/>
          <w:sz w:val="28"/>
          <w:szCs w:val="28"/>
          <w:lang w:val="kk-KZ"/>
        </w:rPr>
        <w:t xml:space="preserve"> </w:t>
      </w:r>
      <w:r w:rsidRPr="002F33D0">
        <w:rPr>
          <w:rFonts w:ascii="Times New Roman" w:hAnsi="Times New Roman" w:cs="Times New Roman"/>
          <w:sz w:val="28"/>
          <w:szCs w:val="28"/>
          <w:lang w:val="kk-KZ"/>
        </w:rPr>
        <w:t>=1,956, деленная на сумму всех весов ∑β</w:t>
      </w:r>
      <w:r w:rsidRPr="002F33D0">
        <w:rPr>
          <w:rFonts w:ascii="Times New Roman" w:hAnsi="Times New Roman" w:cs="Times New Roman"/>
          <w:i/>
          <w:sz w:val="28"/>
          <w:szCs w:val="28"/>
          <w:vertAlign w:val="subscript"/>
          <w:lang w:val="kk-KZ"/>
        </w:rPr>
        <w:t>i</w:t>
      </w:r>
      <w:r w:rsidRPr="002F33D0">
        <w:rPr>
          <w:rFonts w:ascii="Times New Roman" w:hAnsi="Times New Roman" w:cs="Times New Roman"/>
          <w:sz w:val="28"/>
          <w:szCs w:val="28"/>
          <w:lang w:val="kk-KZ"/>
        </w:rPr>
        <w:t>=2,751). Эта процедура обеспечивает корректную нормализацию результата к шкале 0–1, позволяя интерпретировать индекс в соответствии с установленными эмпирическими пороговыми значениями.</w:t>
      </w:r>
    </w:p>
    <w:p w14:paraId="15FF74C7" w14:textId="33694856" w:rsidR="002F33D0" w:rsidRPr="002F33D0" w:rsidRDefault="002F33D0" w:rsidP="0052009A">
      <w:pPr>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 xml:space="preserve">Таким образом, высокий </w:t>
      </w:r>
      <w:r w:rsidR="00CA0203" w:rsidRPr="002F33D0">
        <w:rPr>
          <w:rFonts w:ascii="Times New Roman" w:hAnsi="Times New Roman" w:cs="Times New Roman"/>
          <w:sz w:val="28"/>
          <w:szCs w:val="28"/>
          <w:lang w:val="kk-KZ"/>
        </w:rPr>
        <w:t>IP-Index</w:t>
      </w:r>
      <w:r w:rsidRPr="002F33D0">
        <w:rPr>
          <w:rFonts w:ascii="Times New Roman" w:hAnsi="Times New Roman" w:cs="Times New Roman"/>
          <w:sz w:val="28"/>
          <w:szCs w:val="28"/>
          <w:lang w:val="kk-KZ"/>
        </w:rPr>
        <w:t xml:space="preserve"> отражает, что предприятие успешно развило основные детерминанты инновационного потенциала (управление, технологии, человеческий капитал), которые, согласно эмпирической модели, имеют наибольшее значение для инновационной результативности. Наличие критических зон, таких как </w:t>
      </w:r>
      <w:r w:rsidR="00CA0203">
        <w:rPr>
          <w:rFonts w:ascii="Times New Roman" w:hAnsi="Times New Roman" w:cs="Times New Roman"/>
          <w:sz w:val="28"/>
          <w:szCs w:val="28"/>
          <w:lang w:val="kk-KZ"/>
        </w:rPr>
        <w:t>и</w:t>
      </w:r>
      <w:r w:rsidRPr="002F33D0">
        <w:rPr>
          <w:rFonts w:ascii="Times New Roman" w:hAnsi="Times New Roman" w:cs="Times New Roman"/>
          <w:sz w:val="28"/>
          <w:szCs w:val="28"/>
          <w:lang w:val="kk-KZ"/>
        </w:rPr>
        <w:t>нституциональная среда, требует целенаправленного проектирования, но не снижает общий потенциал, который задаётся сильными внутренними драйверами.</w:t>
      </w:r>
    </w:p>
    <w:p w14:paraId="042FA221" w14:textId="7419F5C1" w:rsidR="002F33D0" w:rsidRPr="002F33D0" w:rsidRDefault="002F33D0" w:rsidP="0052009A">
      <w:pPr>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 xml:space="preserve">Выявленная критическая зона </w:t>
      </w:r>
      <w:r w:rsidR="009D20AE">
        <w:rPr>
          <w:rFonts w:ascii="Times New Roman" w:hAnsi="Times New Roman" w:cs="Times New Roman"/>
          <w:sz w:val="28"/>
          <w:szCs w:val="28"/>
          <w:lang w:val="kk-KZ"/>
        </w:rPr>
        <w:t>–</w:t>
      </w:r>
      <w:r w:rsidRPr="002F33D0">
        <w:rPr>
          <w:rFonts w:ascii="Times New Roman" w:hAnsi="Times New Roman" w:cs="Times New Roman"/>
          <w:sz w:val="28"/>
          <w:szCs w:val="28"/>
          <w:lang w:val="kk-KZ"/>
        </w:rPr>
        <w:t xml:space="preserve"> институциональная среда </w:t>
      </w:r>
      <w:r w:rsidR="009D20AE">
        <w:rPr>
          <w:rFonts w:ascii="Times New Roman" w:hAnsi="Times New Roman" w:cs="Times New Roman"/>
          <w:sz w:val="28"/>
          <w:szCs w:val="28"/>
          <w:lang w:val="kk-KZ"/>
        </w:rPr>
        <w:t>–</w:t>
      </w:r>
      <w:r w:rsidRPr="002F33D0">
        <w:rPr>
          <w:rFonts w:ascii="Times New Roman" w:hAnsi="Times New Roman" w:cs="Times New Roman"/>
          <w:sz w:val="28"/>
          <w:szCs w:val="28"/>
          <w:lang w:val="kk-KZ"/>
        </w:rPr>
        <w:t xml:space="preserve"> отражает структурную несбалансированность между высоким внутренним потенциалом предприятия и слабой включённостью в институциональные механизмы инновационного развития. Низкое значение агрегированной нормализованной оценки (0,40) свидетельствует о фрагментарном взаимодействии с программами государственной поддержки, недостаточной информированности о доступных инструментах и повышенных трансакционных издержках участия в институциональных инициативах. При этом весовой коэффициент (0,363), полученный по результатам SEM-моделирования, подтверждает, что институциональные ограничения оказывают существенное влияние на формирование инновационного потенциала, хотя их негативный эффект частично компенсируется высоким развитием внутренних драйверов (управленческие, технологические, цифровые ресурсы).</w:t>
      </w:r>
    </w:p>
    <w:p w14:paraId="326B896E" w14:textId="77777777" w:rsidR="002F33D0" w:rsidRPr="002F33D0" w:rsidRDefault="002F33D0" w:rsidP="00251026">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Для средних предприятий, аналогичных приведённому примеру, целесообразно формировать адресные меры усиления институциональной среды. Наиболее значимыми направлениями являются:</w:t>
      </w:r>
    </w:p>
    <w:p w14:paraId="628418B3" w14:textId="7BCF8AA3" w:rsidR="002F33D0" w:rsidRPr="002F33D0" w:rsidRDefault="00251026" w:rsidP="00251026">
      <w:pPr>
        <w:pStyle w:val="a3"/>
        <w:numPr>
          <w:ilvl w:val="0"/>
          <w:numId w:val="27"/>
        </w:numPr>
        <w:tabs>
          <w:tab w:val="left" w:pos="851"/>
        </w:tabs>
        <w:spacing w:after="0" w:line="240" w:lineRule="auto"/>
        <w:ind w:left="0" w:firstLine="567"/>
        <w:jc w:val="both"/>
        <w:rPr>
          <w:rFonts w:ascii="Times New Roman" w:hAnsi="Times New Roman" w:cs="Times New Roman"/>
          <w:sz w:val="28"/>
          <w:szCs w:val="28"/>
          <w:lang w:val="kk-KZ"/>
        </w:rPr>
      </w:pPr>
      <w:r w:rsidRPr="00251026">
        <w:rPr>
          <w:rFonts w:ascii="Times New Roman" w:hAnsi="Times New Roman" w:cs="Times New Roman"/>
          <w:sz w:val="28"/>
          <w:szCs w:val="28"/>
          <w:lang w:val="kk-KZ"/>
        </w:rPr>
        <w:t xml:space="preserve">формирование цифровых механизмов снижения трансакционных издержек участия в программах поддержки, предполагающих использование </w:t>
      </w:r>
      <w:r w:rsidRPr="00251026">
        <w:rPr>
          <w:rFonts w:ascii="Times New Roman" w:hAnsi="Times New Roman" w:cs="Times New Roman"/>
          <w:sz w:val="28"/>
          <w:szCs w:val="28"/>
          <w:lang w:val="kk-KZ"/>
        </w:rPr>
        <w:lastRenderedPageBreak/>
        <w:t>сервисов «единого окна» для упрощения процедур подачи документов, консультирования и последующего мониторинга результатов</w:t>
      </w:r>
      <w:r w:rsidR="002F33D0" w:rsidRPr="002F33D0">
        <w:rPr>
          <w:rFonts w:ascii="Times New Roman" w:hAnsi="Times New Roman" w:cs="Times New Roman"/>
          <w:sz w:val="28"/>
          <w:szCs w:val="28"/>
          <w:lang w:val="kk-KZ"/>
        </w:rPr>
        <w:t>;</w:t>
      </w:r>
    </w:p>
    <w:p w14:paraId="00B47FC5" w14:textId="455E1253" w:rsidR="002F33D0" w:rsidRPr="002F33D0" w:rsidRDefault="00251026" w:rsidP="00251026">
      <w:pPr>
        <w:pStyle w:val="a3"/>
        <w:numPr>
          <w:ilvl w:val="0"/>
          <w:numId w:val="27"/>
        </w:numPr>
        <w:tabs>
          <w:tab w:val="left" w:pos="851"/>
        </w:tabs>
        <w:spacing w:after="0" w:line="240" w:lineRule="auto"/>
        <w:ind w:left="0" w:firstLine="567"/>
        <w:jc w:val="both"/>
        <w:rPr>
          <w:rFonts w:ascii="Times New Roman" w:hAnsi="Times New Roman" w:cs="Times New Roman"/>
          <w:sz w:val="28"/>
          <w:szCs w:val="28"/>
          <w:lang w:val="kk-KZ"/>
        </w:rPr>
      </w:pPr>
      <w:r w:rsidRPr="00251026">
        <w:rPr>
          <w:rFonts w:ascii="Times New Roman" w:hAnsi="Times New Roman" w:cs="Times New Roman"/>
          <w:sz w:val="28"/>
          <w:szCs w:val="28"/>
          <w:lang w:val="kk-KZ"/>
        </w:rPr>
        <w:t>формирование условий для более активного участия средних предприятий в программах софинансирования НИОКР и цифровых преобразований, направленных на внедрение современных управленческих и аналитических цифровых решений, включая ERP-системы, Big Da</w:t>
      </w:r>
      <w:r>
        <w:rPr>
          <w:rFonts w:ascii="Times New Roman" w:hAnsi="Times New Roman" w:cs="Times New Roman"/>
          <w:sz w:val="28"/>
          <w:szCs w:val="28"/>
          <w:lang w:val="kk-KZ"/>
        </w:rPr>
        <w:t>ta-платформы и облачные сервисы</w:t>
      </w:r>
      <w:r w:rsidR="002F33D0" w:rsidRPr="002F33D0">
        <w:rPr>
          <w:rFonts w:ascii="Times New Roman" w:hAnsi="Times New Roman" w:cs="Times New Roman"/>
          <w:sz w:val="28"/>
          <w:szCs w:val="28"/>
          <w:lang w:val="kk-KZ"/>
        </w:rPr>
        <w:t>;</w:t>
      </w:r>
    </w:p>
    <w:p w14:paraId="27965BE5" w14:textId="77777777" w:rsidR="002F33D0" w:rsidRPr="002F33D0" w:rsidRDefault="002F33D0" w:rsidP="00251026">
      <w:pPr>
        <w:pStyle w:val="a3"/>
        <w:numPr>
          <w:ilvl w:val="0"/>
          <w:numId w:val="27"/>
        </w:numPr>
        <w:tabs>
          <w:tab w:val="left" w:pos="851"/>
        </w:tabs>
        <w:spacing w:after="0" w:line="240" w:lineRule="auto"/>
        <w:ind w:left="0"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интеграция в инновационные экосистемы, прежде всего через сотрудничество с технопарками и отраслевыми акселераторами (Astana Hub, Tech Garden), а также участие в обучающих и консалтинговых треках, направленных на повышение цифровой зрелости и управленческой компетентности.</w:t>
      </w:r>
    </w:p>
    <w:p w14:paraId="4E5023ED" w14:textId="77777777"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Реализация этих мер позволит повысить значение вклада институциональной среды в инновационный потенциал предприятия, устранить институциональные ограничения и обеспечить согласованность внутренних и внешних элементов инновационного потенциала.</w:t>
      </w:r>
    </w:p>
    <w:p w14:paraId="737F283A" w14:textId="77777777"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Таким образом, работа на примере демонстрирует, что разработанный алгоритм позволяет не только вычислить интегральный показатель инновационного потенциала, но и выявить структурные дисбалансы, которые в дальнейшем становятся объектами проектирования. Инструмент обеспечивает полную связку между количественной оценкой, интерпретацией и управленческой логикой принятия решений: от выявления сильных сторон до формирования адресных траекторий развития.</w:t>
      </w:r>
    </w:p>
    <w:p w14:paraId="70373B98" w14:textId="77777777" w:rsidR="002F33D0" w:rsidRPr="002F33D0" w:rsidRDefault="002F33D0" w:rsidP="0052009A">
      <w:pPr>
        <w:tabs>
          <w:tab w:val="left" w:pos="851"/>
        </w:tabs>
        <w:spacing w:after="0" w:line="240" w:lineRule="auto"/>
        <w:ind w:firstLine="567"/>
        <w:jc w:val="both"/>
        <w:rPr>
          <w:rFonts w:ascii="Times New Roman" w:hAnsi="Times New Roman" w:cs="Times New Roman"/>
          <w:b/>
          <w:sz w:val="28"/>
          <w:szCs w:val="28"/>
          <w:lang w:val="kk-KZ"/>
        </w:rPr>
      </w:pPr>
      <w:r w:rsidRPr="002F33D0">
        <w:rPr>
          <w:rFonts w:ascii="Times New Roman" w:hAnsi="Times New Roman" w:cs="Times New Roman"/>
          <w:b/>
          <w:sz w:val="28"/>
          <w:szCs w:val="28"/>
          <w:lang w:val="kk-KZ"/>
        </w:rPr>
        <w:t>3.2.4 Механизм визуализации и генерации адресных рекомендаций</w:t>
      </w:r>
    </w:p>
    <w:p w14:paraId="11F6203F" w14:textId="77777777"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Разработанный диагностический инструмент оценки инновационного потенциала предпринимательских структур предполагает не только получение интегрального индекса, но и формирование визуальных представлений, позволяющих интерпретировать результаты комплексной оценки и определить направления управленческого воздействия. Визуализация является ключевым элементом методики, поскольку обеспечивает переход от абстрактных числовых значений к практическому управленческому анализу, выявляет структурные дисбалансы и формирует основу для проектирования инновационного развития предприятия.</w:t>
      </w:r>
    </w:p>
    <w:p w14:paraId="2A3FC543" w14:textId="77777777"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Метод визуализации основан на трёх аналитических модулях:</w:t>
      </w:r>
    </w:p>
    <w:p w14:paraId="6B7F73E7" w14:textId="77777777" w:rsidR="002F33D0" w:rsidRPr="002F33D0" w:rsidRDefault="002F33D0" w:rsidP="007F5E68">
      <w:pPr>
        <w:pStyle w:val="a3"/>
        <w:numPr>
          <w:ilvl w:val="0"/>
          <w:numId w:val="28"/>
        </w:numPr>
        <w:tabs>
          <w:tab w:val="left" w:pos="851"/>
        </w:tabs>
        <w:spacing w:after="0" w:line="240" w:lineRule="auto"/>
        <w:ind w:left="0"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тепловая карта ресурсно-процессной матрицы:</w:t>
      </w:r>
    </w:p>
    <w:p w14:paraId="138E5996" w14:textId="77777777" w:rsidR="002F33D0" w:rsidRPr="002F33D0" w:rsidRDefault="002F33D0" w:rsidP="007F5E68">
      <w:pPr>
        <w:pStyle w:val="a3"/>
        <w:numPr>
          <w:ilvl w:val="0"/>
          <w:numId w:val="28"/>
        </w:numPr>
        <w:tabs>
          <w:tab w:val="left" w:pos="851"/>
        </w:tabs>
        <w:spacing w:after="0" w:line="240" w:lineRule="auto"/>
        <w:ind w:left="0"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ресурсный профиль предприятия:</w:t>
      </w:r>
    </w:p>
    <w:p w14:paraId="570F7BEC" w14:textId="77777777" w:rsidR="002F33D0" w:rsidRPr="002F33D0" w:rsidRDefault="002F33D0" w:rsidP="007F5E68">
      <w:pPr>
        <w:pStyle w:val="a3"/>
        <w:numPr>
          <w:ilvl w:val="0"/>
          <w:numId w:val="28"/>
        </w:numPr>
        <w:tabs>
          <w:tab w:val="left" w:pos="851"/>
        </w:tabs>
        <w:spacing w:after="0" w:line="240" w:lineRule="auto"/>
        <w:ind w:left="0"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интегральная карта инновационного потенциала,</w:t>
      </w:r>
    </w:p>
    <w:p w14:paraId="081201ED" w14:textId="77777777"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каждый из которых отражает различные аспекты диагностики и способствует формированию обоснованных управленческих рекомендаций.</w:t>
      </w:r>
    </w:p>
    <w:p w14:paraId="35E097DF" w14:textId="5E1E6192"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Ключевым визуальным инструментом является тепловая карта, формируемая по матрице </w:t>
      </w:r>
      <w:r w:rsidR="00CA0203" w:rsidRPr="002F33D0">
        <w:rPr>
          <w:rFonts w:ascii="Times New Roman" w:hAnsi="Times New Roman" w:cs="Times New Roman"/>
          <w:sz w:val="28"/>
          <w:szCs w:val="28"/>
        </w:rPr>
        <w:t>(Rᵢ×Pⱼ)</w:t>
      </w:r>
      <w:r w:rsidRPr="002F33D0">
        <w:rPr>
          <w:rFonts w:ascii="Times New Roman" w:hAnsi="Times New Roman" w:cs="Times New Roman"/>
          <w:sz w:val="28"/>
          <w:szCs w:val="28"/>
        </w:rPr>
        <w:t xml:space="preserve">. Эта матрица отображает нормализованные значения </w:t>
      </w:r>
      <w:r w:rsidRPr="002F33D0">
        <w:rPr>
          <w:rFonts w:ascii="Times New Roman" w:hAnsi="Times New Roman" w:cs="Times New Roman"/>
          <w:sz w:val="28"/>
          <w:szCs w:val="28"/>
          <w:lang w:val="kk-KZ"/>
        </w:rPr>
        <w:t>(</w:t>
      </w:r>
      <m:oMath>
        <m:sSubSup>
          <m:sSubSupPr>
            <m:ctrlPr>
              <w:rPr>
                <w:rFonts w:ascii="Cambria Math" w:eastAsia="Times New Roman" w:hAnsi="Cambria Math" w:cs="Times New Roman"/>
                <w:bCs/>
                <w:i/>
                <w:sz w:val="28"/>
                <w:szCs w:val="28"/>
                <w:lang w:val="kk-KZ" w:eastAsia="ru-RU"/>
              </w:rPr>
            </m:ctrlPr>
          </m:sSubSupPr>
          <m:e>
            <m:acc>
              <m:accPr>
                <m:chr m:val="̅"/>
                <m:ctrlPr>
                  <w:rPr>
                    <w:rFonts w:ascii="Cambria Math" w:eastAsia="Times New Roman" w:hAnsi="Cambria Math" w:cs="Times New Roman"/>
                    <w:bCs/>
                    <w:i/>
                    <w:sz w:val="28"/>
                    <w:szCs w:val="28"/>
                    <w:lang w:val="kk-KZ" w:eastAsia="ru-RU"/>
                  </w:rPr>
                </m:ctrlPr>
              </m:accPr>
              <m:e>
                <m:r>
                  <w:rPr>
                    <w:rFonts w:ascii="Cambria Math" w:eastAsia="Times New Roman" w:hAnsi="Cambria Math" w:cs="Times New Roman"/>
                    <w:sz w:val="28"/>
                    <w:szCs w:val="28"/>
                    <w:lang w:val="kk-KZ" w:eastAsia="ru-RU"/>
                  </w:rPr>
                  <m:t>X</m:t>
                </m:r>
              </m:e>
            </m:acc>
          </m:e>
          <m:sub>
            <m:r>
              <w:rPr>
                <w:rFonts w:ascii="Cambria Math" w:eastAsia="Times New Roman" w:hAnsi="Cambria Math" w:cs="Times New Roman"/>
                <w:sz w:val="28"/>
                <w:szCs w:val="28"/>
                <w:lang w:val="kk-KZ" w:eastAsia="ru-RU"/>
              </w:rPr>
              <m:t>i</m:t>
            </m:r>
            <m:r>
              <w:rPr>
                <w:rFonts w:ascii="Cambria Math" w:eastAsia="Times New Roman" w:hAnsi="Cambria Math" w:cs="Times New Roman"/>
                <w:sz w:val="28"/>
                <w:szCs w:val="28"/>
                <w:lang w:val="en-US" w:eastAsia="ru-RU"/>
              </w:rPr>
              <m:t>j</m:t>
            </m:r>
          </m:sub>
          <m:sup>
            <m:r>
              <w:rPr>
                <w:rFonts w:ascii="Cambria Math" w:eastAsia="Times New Roman" w:hAnsi="Cambria Math" w:cs="Times New Roman"/>
                <w:sz w:val="28"/>
                <w:szCs w:val="28"/>
                <w:lang w:val="kk-KZ" w:eastAsia="ru-RU"/>
              </w:rPr>
              <m:t>'</m:t>
            </m:r>
          </m:sup>
        </m:sSubSup>
      </m:oMath>
      <w:r w:rsidRPr="002F33D0">
        <w:rPr>
          <w:rFonts w:ascii="Times New Roman" w:eastAsiaTheme="minorEastAsia" w:hAnsi="Times New Roman" w:cs="Times New Roman"/>
          <w:bCs/>
          <w:sz w:val="28"/>
          <w:szCs w:val="28"/>
          <w:lang w:val="kk-KZ" w:eastAsia="ru-RU"/>
        </w:rPr>
        <w:t xml:space="preserve">) </w:t>
      </w:r>
      <w:r w:rsidRPr="002F33D0">
        <w:rPr>
          <w:rFonts w:ascii="Times New Roman" w:hAnsi="Times New Roman" w:cs="Times New Roman"/>
          <w:sz w:val="28"/>
          <w:szCs w:val="28"/>
        </w:rPr>
        <w:t>для каждого ресурса (R</w:t>
      </w:r>
      <w:r w:rsidRPr="002F33D0">
        <w:rPr>
          <w:rFonts w:ascii="Times New Roman" w:hAnsi="Times New Roman" w:cs="Times New Roman"/>
          <w:sz w:val="28"/>
          <w:szCs w:val="28"/>
          <w:vertAlign w:val="subscript"/>
          <w:lang w:val="kk-KZ"/>
        </w:rPr>
        <w:t>1</w:t>
      </w:r>
      <w:r w:rsidR="00E27253">
        <w:rPr>
          <w:rFonts w:ascii="Times New Roman" w:hAnsi="Times New Roman" w:cs="Times New Roman"/>
          <w:sz w:val="28"/>
          <w:szCs w:val="28"/>
          <w:lang w:val="kk-KZ"/>
        </w:rPr>
        <w:t>-</w:t>
      </w:r>
      <w:r w:rsidRPr="002F33D0">
        <w:rPr>
          <w:rFonts w:ascii="Times New Roman" w:hAnsi="Times New Roman" w:cs="Times New Roman"/>
          <w:sz w:val="28"/>
          <w:szCs w:val="28"/>
        </w:rPr>
        <w:t>R</w:t>
      </w:r>
      <w:r w:rsidRPr="002F33D0">
        <w:rPr>
          <w:rFonts w:ascii="Times New Roman" w:hAnsi="Times New Roman" w:cs="Times New Roman"/>
          <w:sz w:val="28"/>
          <w:szCs w:val="28"/>
          <w:vertAlign w:val="subscript"/>
          <w:lang w:val="kk-KZ"/>
        </w:rPr>
        <w:t>7</w:t>
      </w:r>
      <w:r w:rsidRPr="002F33D0">
        <w:rPr>
          <w:rFonts w:ascii="Times New Roman" w:hAnsi="Times New Roman" w:cs="Times New Roman"/>
          <w:sz w:val="28"/>
          <w:szCs w:val="28"/>
        </w:rPr>
        <w:t>) в разрезе трёх процессных функций (P</w:t>
      </w:r>
      <w:r w:rsidRPr="002F33D0">
        <w:rPr>
          <w:rFonts w:ascii="Times New Roman" w:hAnsi="Times New Roman" w:cs="Times New Roman"/>
          <w:sz w:val="28"/>
          <w:szCs w:val="28"/>
          <w:vertAlign w:val="subscript"/>
          <w:lang w:val="kk-KZ"/>
        </w:rPr>
        <w:t>1</w:t>
      </w:r>
      <w:r w:rsidR="00E27253">
        <w:rPr>
          <w:rFonts w:ascii="Times New Roman" w:hAnsi="Times New Roman" w:cs="Times New Roman"/>
          <w:sz w:val="28"/>
          <w:szCs w:val="28"/>
          <w:lang w:val="kk-KZ"/>
        </w:rPr>
        <w:t>-</w:t>
      </w:r>
      <w:r w:rsidRPr="002F33D0">
        <w:rPr>
          <w:rFonts w:ascii="Times New Roman" w:hAnsi="Times New Roman" w:cs="Times New Roman"/>
          <w:sz w:val="28"/>
          <w:szCs w:val="28"/>
        </w:rPr>
        <w:t>P</w:t>
      </w:r>
      <w:r w:rsidRPr="002F33D0">
        <w:rPr>
          <w:rFonts w:ascii="Times New Roman" w:hAnsi="Times New Roman" w:cs="Times New Roman"/>
          <w:sz w:val="28"/>
          <w:szCs w:val="28"/>
          <w:vertAlign w:val="subscript"/>
          <w:lang w:val="kk-KZ"/>
        </w:rPr>
        <w:t>3</w:t>
      </w:r>
      <w:r w:rsidRPr="002F33D0">
        <w:rPr>
          <w:rFonts w:ascii="Times New Roman" w:hAnsi="Times New Roman" w:cs="Times New Roman"/>
          <w:sz w:val="28"/>
          <w:szCs w:val="28"/>
        </w:rPr>
        <w:t>). Интенсивность цвета отражает уровень развития соответствующего компонента:</w:t>
      </w:r>
    </w:p>
    <w:p w14:paraId="042F1763" w14:textId="4F28338D" w:rsidR="002F33D0" w:rsidRPr="002F33D0" w:rsidRDefault="002F33D0" w:rsidP="007F5E68">
      <w:pPr>
        <w:pStyle w:val="a3"/>
        <w:numPr>
          <w:ilvl w:val="0"/>
          <w:numId w:val="29"/>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lastRenderedPageBreak/>
        <w:t xml:space="preserve">зелёный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высокая оценка (&gt;0,70)</w:t>
      </w:r>
      <w:r w:rsidRPr="002F33D0">
        <w:rPr>
          <w:rFonts w:ascii="Times New Roman" w:hAnsi="Times New Roman" w:cs="Times New Roman"/>
          <w:sz w:val="28"/>
          <w:szCs w:val="28"/>
          <w:lang w:val="kk-KZ"/>
        </w:rPr>
        <w:t>;</w:t>
      </w:r>
    </w:p>
    <w:p w14:paraId="1DA0EE7C" w14:textId="7CCBF2C6" w:rsidR="002F33D0" w:rsidRPr="002F33D0" w:rsidRDefault="002F33D0" w:rsidP="007F5E68">
      <w:pPr>
        <w:pStyle w:val="a3"/>
        <w:numPr>
          <w:ilvl w:val="0"/>
          <w:numId w:val="29"/>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жёлтый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средний уровень (0,40</w:t>
      </w:r>
      <w:r w:rsidR="00E27253">
        <w:rPr>
          <w:rFonts w:ascii="Times New Roman" w:hAnsi="Times New Roman" w:cs="Times New Roman"/>
          <w:sz w:val="28"/>
          <w:szCs w:val="28"/>
          <w:lang w:val="kk-KZ"/>
        </w:rPr>
        <w:t>-</w:t>
      </w:r>
      <w:r w:rsidRPr="002F33D0">
        <w:rPr>
          <w:rFonts w:ascii="Times New Roman" w:hAnsi="Times New Roman" w:cs="Times New Roman"/>
          <w:sz w:val="28"/>
          <w:szCs w:val="28"/>
        </w:rPr>
        <w:t>0,70)</w:t>
      </w:r>
      <w:r w:rsidRPr="002F33D0">
        <w:rPr>
          <w:rFonts w:ascii="Times New Roman" w:hAnsi="Times New Roman" w:cs="Times New Roman"/>
          <w:sz w:val="28"/>
          <w:szCs w:val="28"/>
          <w:lang w:val="kk-KZ"/>
        </w:rPr>
        <w:t>;</w:t>
      </w:r>
    </w:p>
    <w:p w14:paraId="41E9C365" w14:textId="283F1C92" w:rsidR="002F33D0" w:rsidRPr="002F33D0" w:rsidRDefault="002F33D0" w:rsidP="007F5E68">
      <w:pPr>
        <w:pStyle w:val="a3"/>
        <w:numPr>
          <w:ilvl w:val="0"/>
          <w:numId w:val="29"/>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красный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критическая зона (&lt;0,40).</w:t>
      </w:r>
    </w:p>
    <w:p w14:paraId="3FF9C3F2" w14:textId="77777777"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Такая визуализация позволяет выявить </w:t>
      </w:r>
      <w:r w:rsidRPr="002F33D0">
        <w:rPr>
          <w:rFonts w:ascii="Times New Roman" w:hAnsi="Times New Roman" w:cs="Times New Roman"/>
          <w:sz w:val="28"/>
          <w:szCs w:val="28"/>
          <w:lang w:val="kk-KZ"/>
        </w:rPr>
        <w:t>критические зоны</w:t>
      </w:r>
      <w:r w:rsidRPr="002F33D0">
        <w:rPr>
          <w:rFonts w:ascii="Times New Roman" w:hAnsi="Times New Roman" w:cs="Times New Roman"/>
          <w:sz w:val="28"/>
          <w:szCs w:val="28"/>
        </w:rPr>
        <w:t xml:space="preserve"> в ресурсно-процессной системе предприятия: те элементы, где слабые значения</w:t>
      </w:r>
      <w:r w:rsidRPr="002F33D0">
        <w:rPr>
          <w:rFonts w:ascii="Times New Roman" w:hAnsi="Times New Roman" w:cs="Times New Roman"/>
          <w:sz w:val="28"/>
          <w:szCs w:val="28"/>
          <w:lang w:val="kk-KZ"/>
        </w:rPr>
        <w:t xml:space="preserve"> нормализованных значений</w:t>
      </w:r>
      <w:r w:rsidRPr="002F33D0">
        <w:rPr>
          <w:rFonts w:ascii="Times New Roman" w:hAnsi="Times New Roman" w:cs="Times New Roman"/>
          <w:sz w:val="28"/>
          <w:szCs w:val="28"/>
        </w:rPr>
        <w:t xml:space="preserve"> </w:t>
      </w:r>
      <w:r w:rsidRPr="002F33D0">
        <w:rPr>
          <w:rFonts w:ascii="Times New Roman" w:hAnsi="Times New Roman" w:cs="Times New Roman"/>
          <w:sz w:val="28"/>
          <w:szCs w:val="28"/>
          <w:lang w:val="kk-KZ"/>
        </w:rPr>
        <w:t>(</w:t>
      </w:r>
      <m:oMath>
        <m:sSubSup>
          <m:sSubSupPr>
            <m:ctrlPr>
              <w:rPr>
                <w:rFonts w:ascii="Cambria Math" w:eastAsia="Times New Roman" w:hAnsi="Cambria Math" w:cs="Times New Roman"/>
                <w:bCs/>
                <w:i/>
                <w:sz w:val="28"/>
                <w:szCs w:val="28"/>
                <w:lang w:val="kk-KZ" w:eastAsia="ru-RU"/>
              </w:rPr>
            </m:ctrlPr>
          </m:sSubSupPr>
          <m:e>
            <m:acc>
              <m:accPr>
                <m:chr m:val="̅"/>
                <m:ctrlPr>
                  <w:rPr>
                    <w:rFonts w:ascii="Cambria Math" w:eastAsia="Times New Roman" w:hAnsi="Cambria Math" w:cs="Times New Roman"/>
                    <w:bCs/>
                    <w:i/>
                    <w:sz w:val="28"/>
                    <w:szCs w:val="28"/>
                    <w:lang w:val="kk-KZ" w:eastAsia="ru-RU"/>
                  </w:rPr>
                </m:ctrlPr>
              </m:accPr>
              <m:e>
                <m:r>
                  <w:rPr>
                    <w:rFonts w:ascii="Cambria Math" w:eastAsia="Times New Roman" w:hAnsi="Cambria Math" w:cs="Times New Roman"/>
                    <w:sz w:val="28"/>
                    <w:szCs w:val="28"/>
                    <w:lang w:val="kk-KZ" w:eastAsia="ru-RU"/>
                  </w:rPr>
                  <m:t>X</m:t>
                </m:r>
              </m:e>
            </m:acc>
          </m:e>
          <m:sub>
            <m:r>
              <w:rPr>
                <w:rFonts w:ascii="Cambria Math" w:eastAsia="Times New Roman" w:hAnsi="Cambria Math" w:cs="Times New Roman"/>
                <w:sz w:val="28"/>
                <w:szCs w:val="28"/>
                <w:lang w:val="kk-KZ" w:eastAsia="ru-RU"/>
              </w:rPr>
              <m:t>i</m:t>
            </m:r>
            <m:r>
              <w:rPr>
                <w:rFonts w:ascii="Cambria Math" w:eastAsia="Times New Roman" w:hAnsi="Cambria Math" w:cs="Times New Roman"/>
                <w:sz w:val="28"/>
                <w:szCs w:val="28"/>
                <w:lang w:val="en-US" w:eastAsia="ru-RU"/>
              </w:rPr>
              <m:t>j</m:t>
            </m:r>
          </m:sub>
          <m:sup>
            <m:r>
              <w:rPr>
                <w:rFonts w:ascii="Cambria Math" w:eastAsia="Times New Roman" w:hAnsi="Cambria Math" w:cs="Times New Roman"/>
                <w:sz w:val="28"/>
                <w:szCs w:val="28"/>
                <w:lang w:val="kk-KZ" w:eastAsia="ru-RU"/>
              </w:rPr>
              <m:t>'</m:t>
            </m:r>
          </m:sup>
        </m:sSubSup>
      </m:oMath>
      <w:r w:rsidRPr="002F33D0">
        <w:rPr>
          <w:rFonts w:ascii="Times New Roman" w:eastAsiaTheme="minorEastAsia" w:hAnsi="Times New Roman" w:cs="Times New Roman"/>
          <w:bCs/>
          <w:sz w:val="28"/>
          <w:szCs w:val="28"/>
          <w:lang w:val="kk-KZ" w:eastAsia="ru-RU"/>
        </w:rPr>
        <w:t xml:space="preserve">) </w:t>
      </w:r>
      <w:r w:rsidRPr="002F33D0">
        <w:rPr>
          <w:rFonts w:ascii="Times New Roman" w:hAnsi="Times New Roman" w:cs="Times New Roman"/>
          <w:sz w:val="28"/>
          <w:szCs w:val="28"/>
        </w:rPr>
        <w:t xml:space="preserve"> сочетаются с высокими β-весами.</w:t>
      </w:r>
    </w:p>
    <w:p w14:paraId="6BDEF4FA" w14:textId="543AA1AB" w:rsidR="002F33D0" w:rsidRPr="003D0751" w:rsidRDefault="002F33D0" w:rsidP="0052009A">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rPr>
        <w:t xml:space="preserve">Ниже приведён условный </w:t>
      </w:r>
      <w:r w:rsidR="003D0751">
        <w:rPr>
          <w:rFonts w:ascii="Times New Roman" w:hAnsi="Times New Roman" w:cs="Times New Roman"/>
          <w:sz w:val="28"/>
          <w:szCs w:val="28"/>
        </w:rPr>
        <w:t>пример структуры тепловой карты</w:t>
      </w:r>
      <w:r w:rsidR="003D0751">
        <w:rPr>
          <w:rFonts w:ascii="Times New Roman" w:hAnsi="Times New Roman" w:cs="Times New Roman"/>
          <w:sz w:val="28"/>
          <w:szCs w:val="28"/>
          <w:lang w:val="kk-KZ"/>
        </w:rPr>
        <w:t xml:space="preserve"> (таблица 35)</w:t>
      </w:r>
    </w:p>
    <w:p w14:paraId="63690165" w14:textId="77777777" w:rsidR="002F33D0" w:rsidRPr="002F33D0" w:rsidRDefault="002F33D0" w:rsidP="002F33D0">
      <w:pPr>
        <w:spacing w:after="0" w:line="240" w:lineRule="auto"/>
        <w:jc w:val="both"/>
        <w:rPr>
          <w:rFonts w:ascii="Times New Roman" w:hAnsi="Times New Roman" w:cs="Times New Roman"/>
          <w:sz w:val="28"/>
          <w:szCs w:val="28"/>
        </w:rPr>
      </w:pPr>
    </w:p>
    <w:p w14:paraId="4E677328" w14:textId="49FFE5E4" w:rsidR="002F33D0" w:rsidRPr="002F33D0" w:rsidRDefault="003D0751" w:rsidP="002F33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w:t>
      </w:r>
      <w:r>
        <w:rPr>
          <w:rFonts w:ascii="Times New Roman" w:hAnsi="Times New Roman" w:cs="Times New Roman"/>
          <w:sz w:val="28"/>
          <w:szCs w:val="28"/>
          <w:lang w:val="kk-KZ"/>
        </w:rPr>
        <w:t>35</w:t>
      </w:r>
      <w:r w:rsidR="002F33D0" w:rsidRPr="002F33D0">
        <w:rPr>
          <w:rFonts w:ascii="Times New Roman" w:hAnsi="Times New Roman" w:cs="Times New Roman"/>
          <w:sz w:val="28"/>
          <w:szCs w:val="28"/>
        </w:rPr>
        <w:t xml:space="preserve"> – Тепловая карта ресурсно-процессной матрицы инновационного потенциала предприятия</w:t>
      </w:r>
    </w:p>
    <w:p w14:paraId="71B99BD9" w14:textId="77777777" w:rsidR="002F33D0" w:rsidRPr="003D0751" w:rsidRDefault="002F33D0" w:rsidP="002F33D0">
      <w:pPr>
        <w:spacing w:after="0" w:line="240" w:lineRule="auto"/>
        <w:jc w:val="both"/>
        <w:rPr>
          <w:rFonts w:ascii="Times New Roman" w:hAnsi="Times New Roman" w:cs="Times New Roman"/>
          <w:sz w:val="20"/>
          <w:szCs w:val="20"/>
        </w:rPr>
      </w:pPr>
    </w:p>
    <w:tbl>
      <w:tblPr>
        <w:tblStyle w:val="a5"/>
        <w:tblW w:w="5000" w:type="pct"/>
        <w:tblLook w:val="04A0" w:firstRow="1" w:lastRow="0" w:firstColumn="1" w:lastColumn="0" w:noHBand="0" w:noVBand="1"/>
      </w:tblPr>
      <w:tblGrid>
        <w:gridCol w:w="4106"/>
        <w:gridCol w:w="1701"/>
        <w:gridCol w:w="1843"/>
        <w:gridCol w:w="1695"/>
      </w:tblGrid>
      <w:tr w:rsidR="002F33D0" w:rsidRPr="0052009A" w14:paraId="0F9CB573" w14:textId="77777777" w:rsidTr="002F33D0">
        <w:tc>
          <w:tcPr>
            <w:tcW w:w="2197" w:type="pct"/>
            <w:shd w:val="clear" w:color="auto" w:fill="D9D9D9" w:themeFill="background1" w:themeFillShade="D9"/>
            <w:hideMark/>
          </w:tcPr>
          <w:p w14:paraId="789CB742"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 xml:space="preserve">Ресурсные компоненты </w:t>
            </w:r>
          </w:p>
        </w:tc>
        <w:tc>
          <w:tcPr>
            <w:tcW w:w="910" w:type="pct"/>
            <w:shd w:val="clear" w:color="auto" w:fill="D9D9D9" w:themeFill="background1" w:themeFillShade="D9"/>
            <w:hideMark/>
          </w:tcPr>
          <w:p w14:paraId="2F2F60AE"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P</w:t>
            </w:r>
            <w:r w:rsidRPr="0052009A">
              <w:rPr>
                <w:rFonts w:eastAsia="Times New Roman"/>
                <w:bCs/>
                <w:szCs w:val="24"/>
                <w:vertAlign w:val="subscript"/>
                <w:lang w:val="kk-KZ" w:eastAsia="ru-RU"/>
              </w:rPr>
              <w:t>1</w:t>
            </w:r>
          </w:p>
        </w:tc>
        <w:tc>
          <w:tcPr>
            <w:tcW w:w="986" w:type="pct"/>
            <w:shd w:val="clear" w:color="auto" w:fill="D9D9D9" w:themeFill="background1" w:themeFillShade="D9"/>
            <w:hideMark/>
          </w:tcPr>
          <w:p w14:paraId="479CB6DF"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P</w:t>
            </w:r>
            <w:r w:rsidRPr="0052009A">
              <w:rPr>
                <w:rFonts w:eastAsia="Times New Roman"/>
                <w:bCs/>
                <w:szCs w:val="24"/>
                <w:vertAlign w:val="subscript"/>
                <w:lang w:val="kk-KZ" w:eastAsia="ru-RU"/>
              </w:rPr>
              <w:t>2</w:t>
            </w:r>
          </w:p>
        </w:tc>
        <w:tc>
          <w:tcPr>
            <w:tcW w:w="907" w:type="pct"/>
            <w:shd w:val="clear" w:color="auto" w:fill="D9D9D9" w:themeFill="background1" w:themeFillShade="D9"/>
            <w:hideMark/>
          </w:tcPr>
          <w:p w14:paraId="622063AC"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P</w:t>
            </w:r>
            <w:r w:rsidRPr="0052009A">
              <w:rPr>
                <w:rFonts w:eastAsia="Times New Roman"/>
                <w:bCs/>
                <w:szCs w:val="24"/>
                <w:vertAlign w:val="subscript"/>
                <w:lang w:val="kk-KZ" w:eastAsia="ru-RU"/>
              </w:rPr>
              <w:t>3</w:t>
            </w:r>
          </w:p>
        </w:tc>
      </w:tr>
      <w:tr w:rsidR="002F33D0" w:rsidRPr="0052009A" w14:paraId="6E74113B" w14:textId="77777777" w:rsidTr="002F33D0">
        <w:tc>
          <w:tcPr>
            <w:tcW w:w="2197" w:type="pct"/>
            <w:shd w:val="clear" w:color="auto" w:fill="D9D9D9" w:themeFill="background1" w:themeFillShade="D9"/>
            <w:hideMark/>
          </w:tcPr>
          <w:p w14:paraId="09E9A8D7" w14:textId="50750464" w:rsidR="002F33D0" w:rsidRPr="0052009A" w:rsidRDefault="00CA0203" w:rsidP="002F33D0">
            <w:pPr>
              <w:ind w:firstLine="0"/>
              <w:jc w:val="both"/>
              <w:rPr>
                <w:rFonts w:eastAsia="Times New Roman"/>
                <w:szCs w:val="24"/>
                <w:lang w:val="kk-KZ" w:eastAsia="ru-RU"/>
              </w:rPr>
            </w:pPr>
            <w:r>
              <w:rPr>
                <w:rFonts w:eastAsia="Times New Roman"/>
                <w:bCs/>
                <w:szCs w:val="24"/>
                <w:lang w:val="en-US" w:eastAsia="ru-RU"/>
              </w:rPr>
              <w:t>R</w:t>
            </w:r>
            <w:r w:rsidR="002F33D0" w:rsidRPr="00CA0203">
              <w:rPr>
                <w:rFonts w:eastAsia="Times New Roman"/>
                <w:bCs/>
                <w:szCs w:val="24"/>
                <w:vertAlign w:val="subscript"/>
                <w:lang w:eastAsia="ru-RU"/>
              </w:rPr>
              <w:t>1</w:t>
            </w:r>
            <w:r w:rsidR="002F33D0" w:rsidRPr="0052009A">
              <w:rPr>
                <w:rFonts w:eastAsia="Times New Roman"/>
                <w:bCs/>
                <w:szCs w:val="24"/>
                <w:lang w:eastAsia="ru-RU"/>
              </w:rPr>
              <w:t>. Управленческие ресурсы</w:t>
            </w:r>
            <w:r w:rsidR="002F33D0" w:rsidRPr="0052009A">
              <w:rPr>
                <w:rFonts w:eastAsia="Times New Roman"/>
                <w:bCs/>
                <w:szCs w:val="24"/>
                <w:lang w:val="kk-KZ" w:eastAsia="ru-RU"/>
              </w:rPr>
              <w:t xml:space="preserve"> (MR)</w:t>
            </w:r>
          </w:p>
        </w:tc>
        <w:tc>
          <w:tcPr>
            <w:tcW w:w="910" w:type="pct"/>
            <w:shd w:val="clear" w:color="auto" w:fill="C5E0B3" w:themeFill="accent6" w:themeFillTint="66"/>
            <w:vAlign w:val="center"/>
            <w:hideMark/>
          </w:tcPr>
          <w:p w14:paraId="63FEEC16" w14:textId="77777777" w:rsidR="002F33D0" w:rsidRPr="0052009A" w:rsidRDefault="002F33D0" w:rsidP="002F33D0">
            <w:pPr>
              <w:ind w:firstLine="0"/>
              <w:jc w:val="both"/>
              <w:rPr>
                <w:rFonts w:eastAsia="Times New Roman"/>
                <w:szCs w:val="24"/>
                <w:lang w:eastAsia="ru-RU"/>
              </w:rPr>
            </w:pPr>
            <w:r w:rsidRPr="0052009A">
              <w:rPr>
                <w:rFonts w:eastAsia="Times New Roman"/>
                <w:szCs w:val="24"/>
                <w:lang w:eastAsia="ru-RU"/>
              </w:rPr>
              <w:t>0,84</w:t>
            </w:r>
          </w:p>
        </w:tc>
        <w:tc>
          <w:tcPr>
            <w:tcW w:w="986" w:type="pct"/>
            <w:shd w:val="clear" w:color="auto" w:fill="C5E0B3" w:themeFill="accent6" w:themeFillTint="66"/>
            <w:vAlign w:val="center"/>
            <w:hideMark/>
          </w:tcPr>
          <w:p w14:paraId="45B3F9BC" w14:textId="77777777" w:rsidR="002F33D0" w:rsidRPr="0052009A" w:rsidRDefault="002F33D0" w:rsidP="002F33D0">
            <w:pPr>
              <w:ind w:firstLine="0"/>
              <w:jc w:val="both"/>
              <w:rPr>
                <w:rFonts w:eastAsia="Times New Roman"/>
                <w:szCs w:val="24"/>
                <w:lang w:eastAsia="ru-RU"/>
              </w:rPr>
            </w:pPr>
            <w:r w:rsidRPr="0052009A">
              <w:rPr>
                <w:rFonts w:eastAsia="Times New Roman"/>
                <w:szCs w:val="24"/>
                <w:lang w:eastAsia="ru-RU"/>
              </w:rPr>
              <w:t>0,80</w:t>
            </w:r>
          </w:p>
        </w:tc>
        <w:tc>
          <w:tcPr>
            <w:tcW w:w="907" w:type="pct"/>
            <w:shd w:val="clear" w:color="auto" w:fill="C5E0B3" w:themeFill="accent6" w:themeFillTint="66"/>
            <w:vAlign w:val="center"/>
            <w:hideMark/>
          </w:tcPr>
          <w:p w14:paraId="248070CC" w14:textId="77777777" w:rsidR="002F33D0" w:rsidRPr="0052009A" w:rsidRDefault="002F33D0" w:rsidP="002F33D0">
            <w:pPr>
              <w:ind w:firstLine="0"/>
              <w:jc w:val="both"/>
              <w:rPr>
                <w:rFonts w:eastAsia="Times New Roman"/>
                <w:szCs w:val="24"/>
                <w:lang w:eastAsia="ru-RU"/>
              </w:rPr>
            </w:pPr>
            <w:r w:rsidRPr="0052009A">
              <w:rPr>
                <w:rFonts w:eastAsia="Times New Roman"/>
                <w:szCs w:val="24"/>
                <w:lang w:eastAsia="ru-RU"/>
              </w:rPr>
              <w:t>0,84</w:t>
            </w:r>
          </w:p>
        </w:tc>
      </w:tr>
      <w:tr w:rsidR="002F33D0" w:rsidRPr="0052009A" w14:paraId="15FDA372" w14:textId="77777777" w:rsidTr="002F33D0">
        <w:tc>
          <w:tcPr>
            <w:tcW w:w="2197" w:type="pct"/>
            <w:shd w:val="clear" w:color="auto" w:fill="D9D9D9" w:themeFill="background1" w:themeFillShade="D9"/>
            <w:hideMark/>
          </w:tcPr>
          <w:p w14:paraId="75C5FD71" w14:textId="17947AD0" w:rsidR="002F33D0" w:rsidRPr="0052009A" w:rsidRDefault="00CA0203" w:rsidP="002F33D0">
            <w:pPr>
              <w:ind w:firstLine="0"/>
              <w:jc w:val="both"/>
              <w:rPr>
                <w:rFonts w:eastAsia="Times New Roman"/>
                <w:szCs w:val="24"/>
                <w:lang w:val="kk-KZ" w:eastAsia="ru-RU"/>
              </w:rPr>
            </w:pPr>
            <w:r>
              <w:rPr>
                <w:rFonts w:eastAsia="Times New Roman"/>
                <w:bCs/>
                <w:szCs w:val="24"/>
                <w:lang w:val="en-US" w:eastAsia="ru-RU"/>
              </w:rPr>
              <w:t>R</w:t>
            </w:r>
            <w:r w:rsidR="002F33D0" w:rsidRPr="00CA0203">
              <w:rPr>
                <w:rFonts w:eastAsia="Times New Roman"/>
                <w:bCs/>
                <w:szCs w:val="24"/>
                <w:vertAlign w:val="subscript"/>
                <w:lang w:eastAsia="ru-RU"/>
              </w:rPr>
              <w:t>2</w:t>
            </w:r>
            <w:r w:rsidR="002F33D0" w:rsidRPr="0052009A">
              <w:rPr>
                <w:rFonts w:eastAsia="Times New Roman"/>
                <w:bCs/>
                <w:szCs w:val="24"/>
                <w:lang w:eastAsia="ru-RU"/>
              </w:rPr>
              <w:t>. Технологические ресурсы</w:t>
            </w:r>
            <w:r w:rsidR="002F33D0" w:rsidRPr="0052009A">
              <w:rPr>
                <w:rFonts w:eastAsia="Times New Roman"/>
                <w:bCs/>
                <w:szCs w:val="24"/>
                <w:lang w:val="kk-KZ" w:eastAsia="ru-RU"/>
              </w:rPr>
              <w:t xml:space="preserve"> (TR)</w:t>
            </w:r>
          </w:p>
        </w:tc>
        <w:tc>
          <w:tcPr>
            <w:tcW w:w="910" w:type="pct"/>
            <w:shd w:val="clear" w:color="auto" w:fill="C5E0B3" w:themeFill="accent6" w:themeFillTint="66"/>
            <w:vAlign w:val="center"/>
            <w:hideMark/>
          </w:tcPr>
          <w:p w14:paraId="4798BF60" w14:textId="77777777" w:rsidR="002F33D0" w:rsidRPr="0052009A" w:rsidRDefault="002F33D0" w:rsidP="002F33D0">
            <w:pPr>
              <w:ind w:firstLine="0"/>
              <w:jc w:val="both"/>
              <w:rPr>
                <w:rFonts w:eastAsia="Times New Roman"/>
                <w:szCs w:val="24"/>
                <w:lang w:eastAsia="ru-RU"/>
              </w:rPr>
            </w:pPr>
            <w:r w:rsidRPr="0052009A">
              <w:rPr>
                <w:rFonts w:eastAsia="Times New Roman"/>
                <w:szCs w:val="24"/>
                <w:lang w:eastAsia="ru-RU"/>
              </w:rPr>
              <w:t>0,78</w:t>
            </w:r>
          </w:p>
        </w:tc>
        <w:tc>
          <w:tcPr>
            <w:tcW w:w="986" w:type="pct"/>
            <w:shd w:val="clear" w:color="auto" w:fill="FFD966" w:themeFill="accent4" w:themeFillTint="99"/>
            <w:vAlign w:val="center"/>
            <w:hideMark/>
          </w:tcPr>
          <w:p w14:paraId="49F2B24C" w14:textId="77777777" w:rsidR="002F33D0" w:rsidRPr="0052009A" w:rsidRDefault="002F33D0" w:rsidP="002F33D0">
            <w:pPr>
              <w:ind w:firstLine="0"/>
              <w:jc w:val="both"/>
              <w:rPr>
                <w:rFonts w:eastAsia="Times New Roman"/>
                <w:szCs w:val="24"/>
                <w:lang w:eastAsia="ru-RU"/>
              </w:rPr>
            </w:pPr>
            <w:r w:rsidRPr="0052009A">
              <w:rPr>
                <w:rFonts w:eastAsia="Times New Roman"/>
                <w:szCs w:val="24"/>
                <w:lang w:eastAsia="ru-RU"/>
              </w:rPr>
              <w:t>0,74</w:t>
            </w:r>
          </w:p>
        </w:tc>
        <w:tc>
          <w:tcPr>
            <w:tcW w:w="907" w:type="pct"/>
            <w:shd w:val="clear" w:color="auto" w:fill="FFD966" w:themeFill="accent4" w:themeFillTint="99"/>
            <w:vAlign w:val="center"/>
            <w:hideMark/>
          </w:tcPr>
          <w:p w14:paraId="7EAEE113" w14:textId="77777777" w:rsidR="002F33D0" w:rsidRPr="0052009A" w:rsidRDefault="002F33D0" w:rsidP="002F33D0">
            <w:pPr>
              <w:ind w:firstLine="0"/>
              <w:jc w:val="both"/>
              <w:rPr>
                <w:rFonts w:eastAsia="Times New Roman"/>
                <w:szCs w:val="24"/>
                <w:lang w:eastAsia="ru-RU"/>
              </w:rPr>
            </w:pPr>
            <w:r w:rsidRPr="0052009A">
              <w:rPr>
                <w:rFonts w:eastAsia="Times New Roman"/>
                <w:szCs w:val="24"/>
                <w:lang w:eastAsia="ru-RU"/>
              </w:rPr>
              <w:t>0,76</w:t>
            </w:r>
          </w:p>
        </w:tc>
      </w:tr>
      <w:tr w:rsidR="002F33D0" w:rsidRPr="0052009A" w14:paraId="32711CB8" w14:textId="77777777" w:rsidTr="002F33D0">
        <w:tc>
          <w:tcPr>
            <w:tcW w:w="2197" w:type="pct"/>
            <w:shd w:val="clear" w:color="auto" w:fill="D9D9D9" w:themeFill="background1" w:themeFillShade="D9"/>
            <w:hideMark/>
          </w:tcPr>
          <w:p w14:paraId="3E740489" w14:textId="12A1CF28" w:rsidR="002F33D0" w:rsidRPr="0052009A" w:rsidRDefault="00CA0203" w:rsidP="002F33D0">
            <w:pPr>
              <w:ind w:firstLine="0"/>
              <w:jc w:val="both"/>
              <w:rPr>
                <w:rFonts w:eastAsia="Times New Roman"/>
                <w:szCs w:val="24"/>
                <w:lang w:val="kk-KZ" w:eastAsia="ru-RU"/>
              </w:rPr>
            </w:pPr>
            <w:r>
              <w:rPr>
                <w:rFonts w:eastAsia="Times New Roman"/>
                <w:bCs/>
                <w:szCs w:val="24"/>
                <w:lang w:val="en-US" w:eastAsia="ru-RU"/>
              </w:rPr>
              <w:t>R</w:t>
            </w:r>
            <w:r w:rsidR="002F33D0" w:rsidRPr="00CA0203">
              <w:rPr>
                <w:rFonts w:eastAsia="Times New Roman"/>
                <w:bCs/>
                <w:szCs w:val="24"/>
                <w:vertAlign w:val="subscript"/>
                <w:lang w:eastAsia="ru-RU"/>
              </w:rPr>
              <w:t>3</w:t>
            </w:r>
            <w:r w:rsidR="002F33D0" w:rsidRPr="0052009A">
              <w:rPr>
                <w:rFonts w:eastAsia="Times New Roman"/>
                <w:bCs/>
                <w:szCs w:val="24"/>
                <w:lang w:eastAsia="ru-RU"/>
              </w:rPr>
              <w:t>. Финансовые ресурсы</w:t>
            </w:r>
            <w:r w:rsidR="002F33D0" w:rsidRPr="0052009A">
              <w:rPr>
                <w:rFonts w:eastAsia="Times New Roman"/>
                <w:bCs/>
                <w:szCs w:val="24"/>
                <w:lang w:val="kk-KZ" w:eastAsia="ru-RU"/>
              </w:rPr>
              <w:t xml:space="preserve"> (FR)</w:t>
            </w:r>
          </w:p>
        </w:tc>
        <w:tc>
          <w:tcPr>
            <w:tcW w:w="910" w:type="pct"/>
            <w:shd w:val="clear" w:color="auto" w:fill="FFD966" w:themeFill="accent4" w:themeFillTint="99"/>
            <w:vAlign w:val="center"/>
            <w:hideMark/>
          </w:tcPr>
          <w:p w14:paraId="03DED77C" w14:textId="77777777" w:rsidR="002F33D0" w:rsidRPr="0052009A" w:rsidRDefault="002F33D0" w:rsidP="002F33D0">
            <w:pPr>
              <w:ind w:firstLine="0"/>
              <w:jc w:val="both"/>
              <w:rPr>
                <w:rFonts w:eastAsia="Times New Roman"/>
                <w:szCs w:val="24"/>
                <w:lang w:eastAsia="ru-RU"/>
              </w:rPr>
            </w:pPr>
            <w:r w:rsidRPr="0052009A">
              <w:rPr>
                <w:rFonts w:eastAsia="Times New Roman"/>
                <w:szCs w:val="24"/>
                <w:lang w:eastAsia="ru-RU"/>
              </w:rPr>
              <w:t>0,60</w:t>
            </w:r>
          </w:p>
        </w:tc>
        <w:tc>
          <w:tcPr>
            <w:tcW w:w="986" w:type="pct"/>
            <w:shd w:val="clear" w:color="auto" w:fill="FFD966" w:themeFill="accent4" w:themeFillTint="99"/>
            <w:vAlign w:val="center"/>
            <w:hideMark/>
          </w:tcPr>
          <w:p w14:paraId="16FD701D" w14:textId="77777777" w:rsidR="002F33D0" w:rsidRPr="0052009A" w:rsidRDefault="002F33D0" w:rsidP="002F33D0">
            <w:pPr>
              <w:ind w:firstLine="0"/>
              <w:jc w:val="both"/>
              <w:rPr>
                <w:rFonts w:eastAsia="Times New Roman"/>
                <w:szCs w:val="24"/>
                <w:lang w:eastAsia="ru-RU"/>
              </w:rPr>
            </w:pPr>
            <w:r w:rsidRPr="0052009A">
              <w:rPr>
                <w:rFonts w:eastAsia="Times New Roman"/>
                <w:szCs w:val="24"/>
                <w:lang w:eastAsia="ru-RU"/>
              </w:rPr>
              <w:t>0,58</w:t>
            </w:r>
          </w:p>
        </w:tc>
        <w:tc>
          <w:tcPr>
            <w:tcW w:w="907" w:type="pct"/>
            <w:shd w:val="clear" w:color="auto" w:fill="FFD966" w:themeFill="accent4" w:themeFillTint="99"/>
            <w:vAlign w:val="center"/>
            <w:hideMark/>
          </w:tcPr>
          <w:p w14:paraId="13C2C7A1" w14:textId="77777777" w:rsidR="002F33D0" w:rsidRPr="0052009A" w:rsidRDefault="002F33D0" w:rsidP="002F33D0">
            <w:pPr>
              <w:ind w:firstLine="0"/>
              <w:jc w:val="both"/>
              <w:rPr>
                <w:rFonts w:eastAsia="Times New Roman"/>
                <w:szCs w:val="24"/>
                <w:lang w:eastAsia="ru-RU"/>
              </w:rPr>
            </w:pPr>
            <w:r w:rsidRPr="0052009A">
              <w:rPr>
                <w:rFonts w:eastAsia="Times New Roman"/>
                <w:szCs w:val="24"/>
                <w:lang w:eastAsia="ru-RU"/>
              </w:rPr>
              <w:t>0,62</w:t>
            </w:r>
          </w:p>
        </w:tc>
      </w:tr>
      <w:tr w:rsidR="002F33D0" w:rsidRPr="0052009A" w14:paraId="69BEEC38" w14:textId="77777777" w:rsidTr="002F33D0">
        <w:tc>
          <w:tcPr>
            <w:tcW w:w="2197" w:type="pct"/>
            <w:shd w:val="clear" w:color="auto" w:fill="D9D9D9" w:themeFill="background1" w:themeFillShade="D9"/>
            <w:hideMark/>
          </w:tcPr>
          <w:p w14:paraId="38677F48" w14:textId="60ECDAA0" w:rsidR="002F33D0" w:rsidRPr="0052009A" w:rsidRDefault="00CA0203" w:rsidP="002F33D0">
            <w:pPr>
              <w:ind w:firstLine="0"/>
              <w:jc w:val="both"/>
              <w:rPr>
                <w:rFonts w:eastAsia="Times New Roman"/>
                <w:szCs w:val="24"/>
                <w:lang w:val="kk-KZ" w:eastAsia="ru-RU"/>
              </w:rPr>
            </w:pPr>
            <w:r>
              <w:rPr>
                <w:rFonts w:eastAsia="Times New Roman"/>
                <w:bCs/>
                <w:szCs w:val="24"/>
                <w:lang w:val="en-US" w:eastAsia="ru-RU"/>
              </w:rPr>
              <w:t>R</w:t>
            </w:r>
            <w:r w:rsidR="002F33D0" w:rsidRPr="00CA0203">
              <w:rPr>
                <w:rFonts w:eastAsia="Times New Roman"/>
                <w:bCs/>
                <w:szCs w:val="24"/>
                <w:vertAlign w:val="subscript"/>
                <w:lang w:eastAsia="ru-RU"/>
              </w:rPr>
              <w:t>4</w:t>
            </w:r>
            <w:r w:rsidR="002F33D0" w:rsidRPr="0052009A">
              <w:rPr>
                <w:rFonts w:eastAsia="Times New Roman"/>
                <w:bCs/>
                <w:szCs w:val="24"/>
                <w:lang w:eastAsia="ru-RU"/>
              </w:rPr>
              <w:t>. Человеческий капитал</w:t>
            </w:r>
            <w:r w:rsidR="002F33D0" w:rsidRPr="0052009A">
              <w:rPr>
                <w:rFonts w:eastAsia="Times New Roman"/>
                <w:bCs/>
                <w:szCs w:val="24"/>
                <w:lang w:val="kk-KZ" w:eastAsia="ru-RU"/>
              </w:rPr>
              <w:t xml:space="preserve"> (HR)</w:t>
            </w:r>
          </w:p>
        </w:tc>
        <w:tc>
          <w:tcPr>
            <w:tcW w:w="910" w:type="pct"/>
            <w:shd w:val="clear" w:color="auto" w:fill="C5E0B3" w:themeFill="accent6" w:themeFillTint="66"/>
            <w:vAlign w:val="center"/>
            <w:hideMark/>
          </w:tcPr>
          <w:p w14:paraId="758ACF16" w14:textId="77777777" w:rsidR="002F33D0" w:rsidRPr="0052009A" w:rsidRDefault="002F33D0" w:rsidP="002F33D0">
            <w:pPr>
              <w:ind w:firstLine="0"/>
              <w:jc w:val="both"/>
              <w:rPr>
                <w:rFonts w:eastAsia="Times New Roman"/>
                <w:szCs w:val="24"/>
                <w:lang w:eastAsia="ru-RU"/>
              </w:rPr>
            </w:pPr>
            <w:r w:rsidRPr="0052009A">
              <w:rPr>
                <w:rFonts w:eastAsia="Times New Roman"/>
                <w:szCs w:val="24"/>
                <w:lang w:eastAsia="ru-RU"/>
              </w:rPr>
              <w:t>0,80</w:t>
            </w:r>
          </w:p>
        </w:tc>
        <w:tc>
          <w:tcPr>
            <w:tcW w:w="986" w:type="pct"/>
            <w:shd w:val="clear" w:color="auto" w:fill="C5E0B3" w:themeFill="accent6" w:themeFillTint="66"/>
            <w:vAlign w:val="center"/>
            <w:hideMark/>
          </w:tcPr>
          <w:p w14:paraId="69376857" w14:textId="77777777" w:rsidR="002F33D0" w:rsidRPr="0052009A" w:rsidRDefault="002F33D0" w:rsidP="002F33D0">
            <w:pPr>
              <w:ind w:firstLine="0"/>
              <w:jc w:val="both"/>
              <w:rPr>
                <w:rFonts w:eastAsia="Times New Roman"/>
                <w:szCs w:val="24"/>
                <w:lang w:eastAsia="ru-RU"/>
              </w:rPr>
            </w:pPr>
            <w:r w:rsidRPr="0052009A">
              <w:rPr>
                <w:rFonts w:eastAsia="Times New Roman"/>
                <w:szCs w:val="24"/>
                <w:lang w:eastAsia="ru-RU"/>
              </w:rPr>
              <w:t>0,80</w:t>
            </w:r>
          </w:p>
        </w:tc>
        <w:tc>
          <w:tcPr>
            <w:tcW w:w="907" w:type="pct"/>
            <w:shd w:val="clear" w:color="auto" w:fill="C5E0B3" w:themeFill="accent6" w:themeFillTint="66"/>
            <w:vAlign w:val="center"/>
            <w:hideMark/>
          </w:tcPr>
          <w:p w14:paraId="0DAABA6F" w14:textId="77777777" w:rsidR="002F33D0" w:rsidRPr="0052009A" w:rsidRDefault="002F33D0" w:rsidP="002F33D0">
            <w:pPr>
              <w:ind w:firstLine="0"/>
              <w:jc w:val="both"/>
              <w:rPr>
                <w:rFonts w:eastAsia="Times New Roman"/>
                <w:szCs w:val="24"/>
                <w:lang w:eastAsia="ru-RU"/>
              </w:rPr>
            </w:pPr>
            <w:r w:rsidRPr="0052009A">
              <w:rPr>
                <w:rFonts w:eastAsia="Times New Roman"/>
                <w:szCs w:val="24"/>
                <w:lang w:eastAsia="ru-RU"/>
              </w:rPr>
              <w:t>0,80</w:t>
            </w:r>
          </w:p>
        </w:tc>
      </w:tr>
      <w:tr w:rsidR="002F33D0" w:rsidRPr="0052009A" w14:paraId="3F3A856C" w14:textId="77777777" w:rsidTr="002F33D0">
        <w:tc>
          <w:tcPr>
            <w:tcW w:w="2197" w:type="pct"/>
            <w:shd w:val="clear" w:color="auto" w:fill="D9D9D9" w:themeFill="background1" w:themeFillShade="D9"/>
            <w:hideMark/>
          </w:tcPr>
          <w:p w14:paraId="5C790D83" w14:textId="72ACC5FA" w:rsidR="002F33D0" w:rsidRPr="0052009A" w:rsidRDefault="00CA0203" w:rsidP="002F33D0">
            <w:pPr>
              <w:ind w:firstLine="0"/>
              <w:jc w:val="both"/>
              <w:rPr>
                <w:rFonts w:eastAsia="Times New Roman"/>
                <w:szCs w:val="24"/>
                <w:lang w:val="kk-KZ" w:eastAsia="ru-RU"/>
              </w:rPr>
            </w:pPr>
            <w:r>
              <w:rPr>
                <w:rFonts w:eastAsia="Times New Roman"/>
                <w:bCs/>
                <w:szCs w:val="24"/>
                <w:lang w:val="en-US" w:eastAsia="ru-RU"/>
              </w:rPr>
              <w:t>R</w:t>
            </w:r>
            <w:r w:rsidR="002F33D0" w:rsidRPr="00CA0203">
              <w:rPr>
                <w:rFonts w:eastAsia="Times New Roman"/>
                <w:bCs/>
                <w:szCs w:val="24"/>
                <w:vertAlign w:val="subscript"/>
                <w:lang w:eastAsia="ru-RU"/>
              </w:rPr>
              <w:t>5</w:t>
            </w:r>
            <w:r w:rsidR="002F33D0" w:rsidRPr="0052009A">
              <w:rPr>
                <w:rFonts w:eastAsia="Times New Roman"/>
                <w:bCs/>
                <w:szCs w:val="24"/>
                <w:lang w:eastAsia="ru-RU"/>
              </w:rPr>
              <w:t>. Инновационная культура</w:t>
            </w:r>
            <w:r w:rsidR="002F33D0" w:rsidRPr="0052009A">
              <w:rPr>
                <w:rFonts w:eastAsia="Times New Roman"/>
                <w:bCs/>
                <w:szCs w:val="24"/>
                <w:lang w:val="kk-KZ" w:eastAsia="ru-RU"/>
              </w:rPr>
              <w:t xml:space="preserve"> (IC)</w:t>
            </w:r>
          </w:p>
        </w:tc>
        <w:tc>
          <w:tcPr>
            <w:tcW w:w="910" w:type="pct"/>
            <w:shd w:val="clear" w:color="auto" w:fill="FFD966" w:themeFill="accent4" w:themeFillTint="99"/>
            <w:vAlign w:val="center"/>
            <w:hideMark/>
          </w:tcPr>
          <w:p w14:paraId="2B084D62" w14:textId="77777777" w:rsidR="002F33D0" w:rsidRPr="0052009A" w:rsidRDefault="002F33D0" w:rsidP="002F33D0">
            <w:pPr>
              <w:ind w:firstLine="0"/>
              <w:jc w:val="both"/>
              <w:rPr>
                <w:rFonts w:eastAsia="Times New Roman"/>
                <w:szCs w:val="24"/>
                <w:lang w:eastAsia="ru-RU"/>
              </w:rPr>
            </w:pPr>
            <w:r w:rsidRPr="0052009A">
              <w:rPr>
                <w:rFonts w:eastAsia="Times New Roman"/>
                <w:szCs w:val="24"/>
                <w:lang w:eastAsia="ru-RU"/>
              </w:rPr>
              <w:t>0,76</w:t>
            </w:r>
          </w:p>
        </w:tc>
        <w:tc>
          <w:tcPr>
            <w:tcW w:w="986" w:type="pct"/>
            <w:shd w:val="clear" w:color="auto" w:fill="FFD966" w:themeFill="accent4" w:themeFillTint="99"/>
            <w:vAlign w:val="center"/>
            <w:hideMark/>
          </w:tcPr>
          <w:p w14:paraId="788D6690" w14:textId="77777777" w:rsidR="002F33D0" w:rsidRPr="0052009A" w:rsidRDefault="002F33D0" w:rsidP="002F33D0">
            <w:pPr>
              <w:ind w:firstLine="0"/>
              <w:jc w:val="both"/>
              <w:rPr>
                <w:rFonts w:eastAsia="Times New Roman"/>
                <w:szCs w:val="24"/>
                <w:lang w:eastAsia="ru-RU"/>
              </w:rPr>
            </w:pPr>
            <w:r w:rsidRPr="0052009A">
              <w:rPr>
                <w:rFonts w:eastAsia="Times New Roman"/>
                <w:szCs w:val="24"/>
                <w:lang w:eastAsia="ru-RU"/>
              </w:rPr>
              <w:t>0,70</w:t>
            </w:r>
          </w:p>
        </w:tc>
        <w:tc>
          <w:tcPr>
            <w:tcW w:w="907" w:type="pct"/>
            <w:shd w:val="clear" w:color="auto" w:fill="FFD966" w:themeFill="accent4" w:themeFillTint="99"/>
            <w:vAlign w:val="center"/>
            <w:hideMark/>
          </w:tcPr>
          <w:p w14:paraId="63A4AAD4" w14:textId="77777777" w:rsidR="002F33D0" w:rsidRPr="0052009A" w:rsidRDefault="002F33D0" w:rsidP="002F33D0">
            <w:pPr>
              <w:ind w:firstLine="0"/>
              <w:jc w:val="both"/>
              <w:rPr>
                <w:rFonts w:eastAsia="Times New Roman"/>
                <w:szCs w:val="24"/>
                <w:lang w:eastAsia="ru-RU"/>
              </w:rPr>
            </w:pPr>
            <w:r w:rsidRPr="0052009A">
              <w:rPr>
                <w:rFonts w:eastAsia="Times New Roman"/>
                <w:szCs w:val="24"/>
                <w:lang w:eastAsia="ru-RU"/>
              </w:rPr>
              <w:t>0,68</w:t>
            </w:r>
          </w:p>
        </w:tc>
      </w:tr>
      <w:tr w:rsidR="002F33D0" w:rsidRPr="0052009A" w14:paraId="3851FE18" w14:textId="77777777" w:rsidTr="002F33D0">
        <w:tc>
          <w:tcPr>
            <w:tcW w:w="2197" w:type="pct"/>
            <w:shd w:val="clear" w:color="auto" w:fill="D9D9D9" w:themeFill="background1" w:themeFillShade="D9"/>
            <w:hideMark/>
          </w:tcPr>
          <w:p w14:paraId="431D441F" w14:textId="3271B74A" w:rsidR="002F33D0" w:rsidRPr="0052009A" w:rsidRDefault="00CA0203" w:rsidP="002F33D0">
            <w:pPr>
              <w:ind w:firstLine="0"/>
              <w:jc w:val="both"/>
              <w:rPr>
                <w:rFonts w:eastAsia="Times New Roman"/>
                <w:szCs w:val="24"/>
                <w:lang w:val="kk-KZ" w:eastAsia="ru-RU"/>
              </w:rPr>
            </w:pPr>
            <w:r>
              <w:rPr>
                <w:rFonts w:eastAsia="Times New Roman"/>
                <w:bCs/>
                <w:szCs w:val="24"/>
                <w:lang w:val="en-US" w:eastAsia="ru-RU"/>
              </w:rPr>
              <w:t>R</w:t>
            </w:r>
            <w:r w:rsidR="002F33D0" w:rsidRPr="00CA0203">
              <w:rPr>
                <w:rFonts w:eastAsia="Times New Roman"/>
                <w:bCs/>
                <w:szCs w:val="24"/>
                <w:vertAlign w:val="subscript"/>
                <w:lang w:eastAsia="ru-RU"/>
              </w:rPr>
              <w:t>6</w:t>
            </w:r>
            <w:r w:rsidR="002F33D0" w:rsidRPr="0052009A">
              <w:rPr>
                <w:rFonts w:eastAsia="Times New Roman"/>
                <w:bCs/>
                <w:szCs w:val="24"/>
                <w:lang w:eastAsia="ru-RU"/>
              </w:rPr>
              <w:t>. Цифровая среда</w:t>
            </w:r>
            <w:r w:rsidR="002F33D0" w:rsidRPr="0052009A">
              <w:rPr>
                <w:rFonts w:eastAsia="Times New Roman"/>
                <w:bCs/>
                <w:szCs w:val="24"/>
                <w:lang w:val="kk-KZ" w:eastAsia="ru-RU"/>
              </w:rPr>
              <w:t xml:space="preserve"> (DS)</w:t>
            </w:r>
          </w:p>
        </w:tc>
        <w:tc>
          <w:tcPr>
            <w:tcW w:w="910" w:type="pct"/>
            <w:shd w:val="clear" w:color="auto" w:fill="C5E0B3" w:themeFill="accent6" w:themeFillTint="66"/>
            <w:vAlign w:val="center"/>
            <w:hideMark/>
          </w:tcPr>
          <w:p w14:paraId="54CB2277" w14:textId="77777777" w:rsidR="002F33D0" w:rsidRPr="0052009A" w:rsidRDefault="002F33D0" w:rsidP="002F33D0">
            <w:pPr>
              <w:ind w:firstLine="0"/>
              <w:jc w:val="both"/>
              <w:rPr>
                <w:rFonts w:eastAsia="Times New Roman"/>
                <w:szCs w:val="24"/>
                <w:lang w:eastAsia="ru-RU"/>
              </w:rPr>
            </w:pPr>
            <w:r w:rsidRPr="0052009A">
              <w:rPr>
                <w:rFonts w:eastAsia="Times New Roman"/>
                <w:szCs w:val="24"/>
                <w:lang w:eastAsia="ru-RU"/>
              </w:rPr>
              <w:t>0,86</w:t>
            </w:r>
          </w:p>
        </w:tc>
        <w:tc>
          <w:tcPr>
            <w:tcW w:w="986" w:type="pct"/>
            <w:shd w:val="clear" w:color="auto" w:fill="C5E0B3" w:themeFill="accent6" w:themeFillTint="66"/>
            <w:vAlign w:val="center"/>
            <w:hideMark/>
          </w:tcPr>
          <w:p w14:paraId="0FF61AD5" w14:textId="77777777" w:rsidR="002F33D0" w:rsidRPr="0052009A" w:rsidRDefault="002F33D0" w:rsidP="002F33D0">
            <w:pPr>
              <w:ind w:firstLine="0"/>
              <w:jc w:val="both"/>
              <w:rPr>
                <w:rFonts w:eastAsia="Times New Roman"/>
                <w:szCs w:val="24"/>
                <w:lang w:eastAsia="ru-RU"/>
              </w:rPr>
            </w:pPr>
            <w:r w:rsidRPr="0052009A">
              <w:rPr>
                <w:rFonts w:eastAsia="Times New Roman"/>
                <w:szCs w:val="24"/>
                <w:lang w:eastAsia="ru-RU"/>
              </w:rPr>
              <w:t>0,84</w:t>
            </w:r>
          </w:p>
        </w:tc>
        <w:tc>
          <w:tcPr>
            <w:tcW w:w="907" w:type="pct"/>
            <w:shd w:val="clear" w:color="auto" w:fill="C5E0B3" w:themeFill="accent6" w:themeFillTint="66"/>
            <w:vAlign w:val="center"/>
            <w:hideMark/>
          </w:tcPr>
          <w:p w14:paraId="6F700A8F" w14:textId="77777777" w:rsidR="002F33D0" w:rsidRPr="0052009A" w:rsidRDefault="002F33D0" w:rsidP="002F33D0">
            <w:pPr>
              <w:ind w:firstLine="0"/>
              <w:jc w:val="both"/>
              <w:rPr>
                <w:rFonts w:eastAsia="Times New Roman"/>
                <w:szCs w:val="24"/>
                <w:lang w:eastAsia="ru-RU"/>
              </w:rPr>
            </w:pPr>
            <w:r w:rsidRPr="0052009A">
              <w:rPr>
                <w:rFonts w:eastAsia="Times New Roman"/>
                <w:szCs w:val="24"/>
                <w:lang w:eastAsia="ru-RU"/>
              </w:rPr>
              <w:t>0,88</w:t>
            </w:r>
          </w:p>
        </w:tc>
      </w:tr>
      <w:tr w:rsidR="002F33D0" w:rsidRPr="0052009A" w14:paraId="0BB03F66" w14:textId="77777777" w:rsidTr="002F33D0">
        <w:tc>
          <w:tcPr>
            <w:tcW w:w="2197" w:type="pct"/>
            <w:shd w:val="clear" w:color="auto" w:fill="D9D9D9" w:themeFill="background1" w:themeFillShade="D9"/>
            <w:hideMark/>
          </w:tcPr>
          <w:p w14:paraId="3C8DB928" w14:textId="12379C78" w:rsidR="002F33D0" w:rsidRPr="0052009A" w:rsidRDefault="00CA0203" w:rsidP="002F33D0">
            <w:pPr>
              <w:ind w:firstLine="0"/>
              <w:jc w:val="both"/>
              <w:rPr>
                <w:rFonts w:eastAsia="Times New Roman"/>
                <w:szCs w:val="24"/>
                <w:lang w:val="kk-KZ" w:eastAsia="ru-RU"/>
              </w:rPr>
            </w:pPr>
            <w:r>
              <w:rPr>
                <w:rFonts w:eastAsia="Times New Roman"/>
                <w:bCs/>
                <w:szCs w:val="24"/>
                <w:lang w:val="en-US" w:eastAsia="ru-RU"/>
              </w:rPr>
              <w:t>R</w:t>
            </w:r>
            <w:r w:rsidR="002F33D0" w:rsidRPr="00CA0203">
              <w:rPr>
                <w:rFonts w:eastAsia="Times New Roman"/>
                <w:bCs/>
                <w:szCs w:val="24"/>
                <w:vertAlign w:val="subscript"/>
                <w:lang w:eastAsia="ru-RU"/>
              </w:rPr>
              <w:t>7</w:t>
            </w:r>
            <w:r w:rsidR="002F33D0" w:rsidRPr="0052009A">
              <w:rPr>
                <w:rFonts w:eastAsia="Times New Roman"/>
                <w:bCs/>
                <w:szCs w:val="24"/>
                <w:lang w:eastAsia="ru-RU"/>
              </w:rPr>
              <w:t>. Институциональная среда</w:t>
            </w:r>
            <w:r w:rsidR="002F33D0" w:rsidRPr="0052009A">
              <w:rPr>
                <w:rFonts w:eastAsia="Times New Roman"/>
                <w:bCs/>
                <w:szCs w:val="24"/>
                <w:lang w:val="kk-KZ" w:eastAsia="ru-RU"/>
              </w:rPr>
              <w:t xml:space="preserve"> (Inst)</w:t>
            </w:r>
          </w:p>
        </w:tc>
        <w:tc>
          <w:tcPr>
            <w:tcW w:w="910" w:type="pct"/>
            <w:shd w:val="clear" w:color="auto" w:fill="F4B083" w:themeFill="accent2" w:themeFillTint="99"/>
            <w:vAlign w:val="center"/>
            <w:hideMark/>
          </w:tcPr>
          <w:p w14:paraId="24051697" w14:textId="77777777" w:rsidR="002F33D0" w:rsidRPr="0052009A" w:rsidRDefault="002F33D0" w:rsidP="002F33D0">
            <w:pPr>
              <w:ind w:firstLine="0"/>
              <w:jc w:val="both"/>
              <w:rPr>
                <w:rFonts w:eastAsia="Times New Roman"/>
                <w:szCs w:val="24"/>
                <w:lang w:eastAsia="ru-RU"/>
              </w:rPr>
            </w:pPr>
            <w:r w:rsidRPr="0052009A">
              <w:rPr>
                <w:rFonts w:eastAsia="Times New Roman"/>
                <w:szCs w:val="24"/>
                <w:lang w:eastAsia="ru-RU"/>
              </w:rPr>
              <w:t>0,42</w:t>
            </w:r>
          </w:p>
        </w:tc>
        <w:tc>
          <w:tcPr>
            <w:tcW w:w="986" w:type="pct"/>
            <w:shd w:val="clear" w:color="auto" w:fill="F4B083" w:themeFill="accent2" w:themeFillTint="99"/>
            <w:vAlign w:val="center"/>
            <w:hideMark/>
          </w:tcPr>
          <w:p w14:paraId="72405746" w14:textId="77777777" w:rsidR="002F33D0" w:rsidRPr="0052009A" w:rsidRDefault="002F33D0" w:rsidP="002F33D0">
            <w:pPr>
              <w:ind w:firstLine="0"/>
              <w:jc w:val="both"/>
              <w:rPr>
                <w:rFonts w:eastAsia="Times New Roman"/>
                <w:szCs w:val="24"/>
                <w:lang w:eastAsia="ru-RU"/>
              </w:rPr>
            </w:pPr>
            <w:r w:rsidRPr="0052009A">
              <w:rPr>
                <w:rFonts w:eastAsia="Times New Roman"/>
                <w:szCs w:val="24"/>
                <w:lang w:eastAsia="ru-RU"/>
              </w:rPr>
              <w:t>0,40</w:t>
            </w:r>
          </w:p>
        </w:tc>
        <w:tc>
          <w:tcPr>
            <w:tcW w:w="907" w:type="pct"/>
            <w:shd w:val="clear" w:color="auto" w:fill="F4B083" w:themeFill="accent2" w:themeFillTint="99"/>
            <w:vAlign w:val="center"/>
            <w:hideMark/>
          </w:tcPr>
          <w:p w14:paraId="29611004" w14:textId="77777777" w:rsidR="002F33D0" w:rsidRPr="0052009A" w:rsidRDefault="002F33D0" w:rsidP="002F33D0">
            <w:pPr>
              <w:ind w:firstLine="0"/>
              <w:jc w:val="both"/>
              <w:rPr>
                <w:rFonts w:eastAsia="Times New Roman"/>
                <w:szCs w:val="24"/>
                <w:lang w:eastAsia="ru-RU"/>
              </w:rPr>
            </w:pPr>
            <w:r w:rsidRPr="0052009A">
              <w:rPr>
                <w:rFonts w:eastAsia="Times New Roman"/>
                <w:szCs w:val="24"/>
                <w:lang w:eastAsia="ru-RU"/>
              </w:rPr>
              <w:t>0,38</w:t>
            </w:r>
          </w:p>
        </w:tc>
      </w:tr>
      <w:tr w:rsidR="00356FEF" w:rsidRPr="0052009A" w14:paraId="62AE9F71" w14:textId="77777777" w:rsidTr="000F3C80">
        <w:tc>
          <w:tcPr>
            <w:tcW w:w="5000" w:type="pct"/>
            <w:gridSpan w:val="4"/>
            <w:shd w:val="clear" w:color="auto" w:fill="auto"/>
          </w:tcPr>
          <w:p w14:paraId="7DACA122" w14:textId="4AC6E80D" w:rsidR="00356FEF" w:rsidRPr="00356FEF" w:rsidRDefault="00356FEF" w:rsidP="000F3C80">
            <w:pPr>
              <w:ind w:firstLine="459"/>
              <w:jc w:val="both"/>
              <w:rPr>
                <w:rFonts w:eastAsia="Times New Roman"/>
                <w:szCs w:val="24"/>
                <w:lang w:val="kk-KZ" w:eastAsia="ru-RU"/>
              </w:rPr>
            </w:pPr>
            <w:r w:rsidRPr="00EE311D">
              <w:rPr>
                <w:rFonts w:eastAsia="Times New Roman"/>
                <w:szCs w:val="24"/>
                <w:lang w:val="kk-KZ" w:eastAsia="ru-RU"/>
              </w:rPr>
              <w:t xml:space="preserve">Примечание – </w:t>
            </w:r>
            <w:r w:rsidR="000F3C80" w:rsidRPr="00EE311D">
              <w:rPr>
                <w:rFonts w:eastAsia="Times New Roman"/>
                <w:szCs w:val="24"/>
                <w:lang w:val="kk-KZ" w:eastAsia="ru-RU"/>
              </w:rPr>
              <w:t>С</w:t>
            </w:r>
            <w:r w:rsidRPr="00EE311D">
              <w:rPr>
                <w:rFonts w:eastAsia="Times New Roman"/>
                <w:szCs w:val="24"/>
                <w:lang w:val="kk-KZ" w:eastAsia="ru-RU"/>
              </w:rPr>
              <w:t>оставлено автором</w:t>
            </w:r>
          </w:p>
        </w:tc>
      </w:tr>
    </w:tbl>
    <w:p w14:paraId="037CECA6" w14:textId="77777777" w:rsidR="002F33D0" w:rsidRPr="002F33D0" w:rsidRDefault="002F33D0" w:rsidP="002F33D0">
      <w:pPr>
        <w:spacing w:after="0" w:line="240" w:lineRule="auto"/>
        <w:jc w:val="both"/>
        <w:rPr>
          <w:rFonts w:ascii="Times New Roman" w:hAnsi="Times New Roman" w:cs="Times New Roman"/>
          <w:sz w:val="28"/>
          <w:szCs w:val="28"/>
        </w:rPr>
      </w:pPr>
    </w:p>
    <w:p w14:paraId="6A8F3F72" w14:textId="43E3FA5D" w:rsidR="002F33D0" w:rsidRPr="002F33D0" w:rsidRDefault="002F33D0" w:rsidP="0052009A">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Тепловая карта позволяет визуально идентифицировать «критические зоны», требующие первоочередного управленческого вмешательства. В приведённом примере таковой является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w:t>
      </w:r>
      <w:r w:rsidRPr="002F33D0">
        <w:rPr>
          <w:rFonts w:ascii="Times New Roman" w:hAnsi="Times New Roman" w:cs="Times New Roman"/>
          <w:sz w:val="28"/>
          <w:szCs w:val="28"/>
          <w:lang w:val="kk-KZ"/>
        </w:rPr>
        <w:t>и</w:t>
      </w:r>
      <w:r w:rsidRPr="002F33D0">
        <w:rPr>
          <w:rFonts w:ascii="Times New Roman" w:hAnsi="Times New Roman" w:cs="Times New Roman"/>
          <w:sz w:val="28"/>
          <w:szCs w:val="28"/>
        </w:rPr>
        <w:t>нституциональная среда,</w:t>
      </w:r>
      <w:r w:rsidR="00CA0203" w:rsidRPr="00CA0203">
        <w:rPr>
          <w:rFonts w:ascii="Times New Roman" w:hAnsi="Times New Roman" w:cs="Times New Roman"/>
          <w:sz w:val="28"/>
          <w:szCs w:val="28"/>
        </w:rPr>
        <w:t xml:space="preserve"> </w:t>
      </w:r>
      <w:r w:rsidR="00CA0203">
        <w:rPr>
          <w:rFonts w:ascii="Times New Roman" w:hAnsi="Times New Roman" w:cs="Times New Roman"/>
          <w:sz w:val="28"/>
          <w:szCs w:val="28"/>
          <w:lang w:val="kk-KZ"/>
        </w:rPr>
        <w:t>как это выявлено ранее</w:t>
      </w:r>
      <w:r w:rsidRPr="002F33D0">
        <w:rPr>
          <w:rFonts w:ascii="Times New Roman" w:hAnsi="Times New Roman" w:cs="Times New Roman"/>
          <w:sz w:val="28"/>
          <w:szCs w:val="28"/>
        </w:rPr>
        <w:t>.</w:t>
      </w:r>
    </w:p>
    <w:p w14:paraId="1481D986" w14:textId="049F195E" w:rsidR="002F33D0" w:rsidRDefault="002F33D0" w:rsidP="0052009A">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Ресурсный профиль представляет собой </w:t>
      </w:r>
      <w:r w:rsidR="00CA0203">
        <w:rPr>
          <w:rFonts w:ascii="Times New Roman" w:hAnsi="Times New Roman" w:cs="Times New Roman"/>
          <w:sz w:val="28"/>
          <w:szCs w:val="28"/>
          <w:lang w:val="kk-KZ"/>
        </w:rPr>
        <w:t>радарную</w:t>
      </w:r>
      <w:r w:rsidRPr="002F33D0">
        <w:rPr>
          <w:rFonts w:ascii="Times New Roman" w:hAnsi="Times New Roman" w:cs="Times New Roman"/>
          <w:sz w:val="28"/>
          <w:szCs w:val="28"/>
        </w:rPr>
        <w:t xml:space="preserve"> диаграмму</w:t>
      </w:r>
      <w:r w:rsidRPr="002F33D0">
        <w:rPr>
          <w:rFonts w:ascii="Times New Roman" w:hAnsi="Times New Roman" w:cs="Times New Roman"/>
          <w:sz w:val="28"/>
          <w:szCs w:val="28"/>
          <w:lang w:val="kk-KZ"/>
        </w:rPr>
        <w:t xml:space="preserve"> (рисунок </w:t>
      </w:r>
      <w:r w:rsidR="005129E8">
        <w:rPr>
          <w:rFonts w:ascii="Times New Roman" w:hAnsi="Times New Roman" w:cs="Times New Roman"/>
          <w:sz w:val="28"/>
          <w:szCs w:val="28"/>
          <w:lang w:val="kk-KZ"/>
        </w:rPr>
        <w:t>10</w:t>
      </w:r>
      <w:r w:rsidRPr="002F33D0">
        <w:rPr>
          <w:rFonts w:ascii="Times New Roman" w:hAnsi="Times New Roman" w:cs="Times New Roman"/>
          <w:sz w:val="28"/>
          <w:szCs w:val="28"/>
          <w:lang w:val="kk-KZ"/>
        </w:rPr>
        <w:t>)</w:t>
      </w:r>
      <w:r w:rsidRPr="002F33D0">
        <w:rPr>
          <w:rFonts w:ascii="Times New Roman" w:hAnsi="Times New Roman" w:cs="Times New Roman"/>
          <w:sz w:val="28"/>
          <w:szCs w:val="28"/>
        </w:rPr>
        <w:t xml:space="preserve">, где по оси каждого из семи ресурсных компонентов откладываются нормализованные значения </w:t>
      </w:r>
      <w:r w:rsidRPr="002F33D0">
        <w:rPr>
          <w:rFonts w:ascii="Times New Roman" w:hAnsi="Times New Roman" w:cs="Times New Roman"/>
          <w:sz w:val="28"/>
          <w:szCs w:val="28"/>
          <w:lang w:val="kk-KZ"/>
        </w:rPr>
        <w:t>(</w:t>
      </w:r>
      <m:oMath>
        <m:sSubSup>
          <m:sSubSupPr>
            <m:ctrlPr>
              <w:rPr>
                <w:rFonts w:ascii="Cambria Math" w:eastAsia="Times New Roman" w:hAnsi="Cambria Math" w:cs="Times New Roman"/>
                <w:bCs/>
                <w:i/>
                <w:sz w:val="28"/>
                <w:szCs w:val="28"/>
                <w:lang w:val="kk-KZ" w:eastAsia="ru-RU"/>
              </w:rPr>
            </m:ctrlPr>
          </m:sSubSupPr>
          <m:e>
            <m:acc>
              <m:accPr>
                <m:chr m:val="̅"/>
                <m:ctrlPr>
                  <w:rPr>
                    <w:rFonts w:ascii="Cambria Math" w:eastAsia="Times New Roman" w:hAnsi="Cambria Math" w:cs="Times New Roman"/>
                    <w:bCs/>
                    <w:i/>
                    <w:sz w:val="28"/>
                    <w:szCs w:val="28"/>
                    <w:lang w:val="kk-KZ" w:eastAsia="ru-RU"/>
                  </w:rPr>
                </m:ctrlPr>
              </m:accPr>
              <m:e>
                <m:r>
                  <w:rPr>
                    <w:rFonts w:ascii="Cambria Math" w:eastAsia="Times New Roman" w:hAnsi="Cambria Math" w:cs="Times New Roman"/>
                    <w:sz w:val="28"/>
                    <w:szCs w:val="28"/>
                    <w:lang w:val="kk-KZ" w:eastAsia="ru-RU"/>
                  </w:rPr>
                  <m:t>X</m:t>
                </m:r>
              </m:e>
            </m:acc>
          </m:e>
          <m:sub>
            <m:r>
              <w:rPr>
                <w:rFonts w:ascii="Cambria Math" w:eastAsia="Times New Roman" w:hAnsi="Cambria Math" w:cs="Times New Roman"/>
                <w:sz w:val="28"/>
                <w:szCs w:val="28"/>
                <w:lang w:val="kk-KZ" w:eastAsia="ru-RU"/>
              </w:rPr>
              <m:t>i</m:t>
            </m:r>
          </m:sub>
          <m:sup>
            <m:r>
              <w:rPr>
                <w:rFonts w:ascii="Cambria Math" w:eastAsia="Times New Roman" w:hAnsi="Cambria Math" w:cs="Times New Roman"/>
                <w:sz w:val="28"/>
                <w:szCs w:val="28"/>
                <w:lang w:val="kk-KZ" w:eastAsia="ru-RU"/>
              </w:rPr>
              <m:t>'</m:t>
            </m:r>
          </m:sup>
        </m:sSubSup>
      </m:oMath>
      <w:r w:rsidRPr="002F33D0">
        <w:rPr>
          <w:rFonts w:ascii="Times New Roman" w:eastAsiaTheme="minorEastAsia" w:hAnsi="Times New Roman" w:cs="Times New Roman"/>
          <w:bCs/>
          <w:sz w:val="28"/>
          <w:szCs w:val="28"/>
          <w:lang w:val="kk-KZ" w:eastAsia="ru-RU"/>
        </w:rPr>
        <w:t>)</w:t>
      </w:r>
      <w:r w:rsidRPr="002F33D0">
        <w:rPr>
          <w:rFonts w:ascii="Times New Roman" w:hAnsi="Times New Roman" w:cs="Times New Roman"/>
          <w:sz w:val="28"/>
          <w:szCs w:val="28"/>
        </w:rPr>
        <w:t>. Данный формат позволяет выявить структуру инновационного потенциала и определить степень его сбалансированности.</w:t>
      </w:r>
    </w:p>
    <w:p w14:paraId="75878E07" w14:textId="2171C352" w:rsidR="003D0751" w:rsidRPr="002F33D0" w:rsidRDefault="003D0751" w:rsidP="0052009A">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lang w:val="kk-KZ"/>
        </w:rPr>
        <w:t>Представленная радарная диаграмма визуализирует ресурсный профиль инновационного потенциала предприятия, отражая уровень развития управленческих, технологических, финансовых, кадровых, культурных, цифровых и институциональных компонентов. Такой формат позволяет оценить структурную сбалансированность инновационного потенциала и выявить его сильные и слабые элементы. На данном примере наблюдается высокая оценка управленческих (0,84), технологических (0,76), цифровых (0,86) и кадровых (0,80) ресурсов, что указывает на наличие устойчивой внутренней базы инновационного развития. В то же время институциональная среда (0,40) формирует выраженную критическую зону, ограничивающую возможности предприятия по участию в программах поддержки инноваций и снижению трансакционных издержек.</w:t>
      </w:r>
    </w:p>
    <w:p w14:paraId="5482ACBD" w14:textId="77777777" w:rsidR="002F33D0" w:rsidRPr="002F33D0" w:rsidRDefault="002F33D0" w:rsidP="002F33D0">
      <w:pPr>
        <w:spacing w:after="0" w:line="240" w:lineRule="auto"/>
        <w:jc w:val="both"/>
        <w:rPr>
          <w:rFonts w:ascii="Times New Roman" w:hAnsi="Times New Roman" w:cs="Times New Roman"/>
          <w:sz w:val="28"/>
          <w:szCs w:val="28"/>
        </w:rPr>
      </w:pPr>
    </w:p>
    <w:p w14:paraId="3429BE4E" w14:textId="77777777" w:rsidR="002F33D0" w:rsidRPr="002F33D0" w:rsidRDefault="002F33D0" w:rsidP="002F33D0">
      <w:pPr>
        <w:spacing w:after="0" w:line="240" w:lineRule="auto"/>
        <w:jc w:val="both"/>
        <w:rPr>
          <w:rFonts w:ascii="Times New Roman" w:hAnsi="Times New Roman" w:cs="Times New Roman"/>
          <w:sz w:val="28"/>
          <w:szCs w:val="28"/>
        </w:rPr>
      </w:pPr>
      <w:r w:rsidRPr="002F33D0">
        <w:rPr>
          <w:rFonts w:ascii="Times New Roman" w:hAnsi="Times New Roman" w:cs="Times New Roman"/>
          <w:noProof/>
          <w:sz w:val="28"/>
          <w:szCs w:val="28"/>
          <w:lang w:eastAsia="ru-RU"/>
        </w:rPr>
        <w:lastRenderedPageBreak/>
        <w:drawing>
          <wp:inline distT="0" distB="0" distL="0" distR="0" wp14:anchorId="44984A36" wp14:editId="0BF494BD">
            <wp:extent cx="5765800" cy="3547533"/>
            <wp:effectExtent l="0" t="0" r="6350" b="0"/>
            <wp:docPr id="105" name="Диаграмма 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076828A" w14:textId="18A9AB89" w:rsidR="002F33D0" w:rsidRPr="002F33D0" w:rsidRDefault="002F33D0" w:rsidP="002F33D0">
      <w:pPr>
        <w:spacing w:after="0" w:line="240" w:lineRule="auto"/>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 xml:space="preserve">Рисунок </w:t>
      </w:r>
      <w:r w:rsidR="005129E8">
        <w:rPr>
          <w:rFonts w:ascii="Times New Roman" w:hAnsi="Times New Roman" w:cs="Times New Roman"/>
          <w:sz w:val="28"/>
          <w:szCs w:val="28"/>
          <w:lang w:val="kk-KZ"/>
        </w:rPr>
        <w:t>10</w:t>
      </w:r>
      <w:r w:rsidRPr="002F33D0">
        <w:rPr>
          <w:rFonts w:ascii="Times New Roman" w:hAnsi="Times New Roman" w:cs="Times New Roman"/>
          <w:sz w:val="28"/>
          <w:szCs w:val="28"/>
          <w:lang w:val="kk-KZ"/>
        </w:rPr>
        <w:t xml:space="preserve"> – Ресурсный профиль инновационного потенциала предприятия </w:t>
      </w:r>
    </w:p>
    <w:p w14:paraId="1D7AB78F" w14:textId="59A14145" w:rsidR="002F33D0" w:rsidRDefault="002F33D0" w:rsidP="002F33D0">
      <w:pPr>
        <w:spacing w:after="0" w:line="240" w:lineRule="auto"/>
        <w:jc w:val="both"/>
        <w:rPr>
          <w:rFonts w:ascii="Times New Roman" w:hAnsi="Times New Roman" w:cs="Times New Roman"/>
          <w:sz w:val="28"/>
          <w:szCs w:val="28"/>
          <w:lang w:val="kk-KZ"/>
        </w:rPr>
      </w:pPr>
    </w:p>
    <w:p w14:paraId="1A51E6C9" w14:textId="0F4E3A21" w:rsidR="00356FEF" w:rsidRPr="00356FEF" w:rsidRDefault="00356FEF" w:rsidP="005129E8">
      <w:pPr>
        <w:spacing w:after="0" w:line="240" w:lineRule="auto"/>
        <w:ind w:firstLine="567"/>
        <w:jc w:val="both"/>
        <w:rPr>
          <w:rFonts w:ascii="Times New Roman" w:hAnsi="Times New Roman" w:cs="Times New Roman"/>
          <w:sz w:val="24"/>
          <w:szCs w:val="28"/>
          <w:lang w:val="kk-KZ"/>
        </w:rPr>
      </w:pPr>
      <w:r w:rsidRPr="00356FEF">
        <w:rPr>
          <w:rFonts w:ascii="Times New Roman" w:hAnsi="Times New Roman" w:cs="Times New Roman"/>
          <w:sz w:val="24"/>
          <w:szCs w:val="28"/>
          <w:lang w:val="kk-KZ"/>
        </w:rPr>
        <w:t xml:space="preserve">Примечание – </w:t>
      </w:r>
      <w:r w:rsidR="000F3C80">
        <w:rPr>
          <w:rFonts w:ascii="Times New Roman" w:hAnsi="Times New Roman" w:cs="Times New Roman"/>
          <w:sz w:val="24"/>
          <w:szCs w:val="28"/>
          <w:lang w:val="kk-KZ"/>
        </w:rPr>
        <w:t>С</w:t>
      </w:r>
      <w:r w:rsidRPr="00356FEF">
        <w:rPr>
          <w:rFonts w:ascii="Times New Roman" w:hAnsi="Times New Roman" w:cs="Times New Roman"/>
          <w:sz w:val="24"/>
          <w:szCs w:val="28"/>
          <w:lang w:val="kk-KZ"/>
        </w:rPr>
        <w:t>оставлено автором</w:t>
      </w:r>
    </w:p>
    <w:p w14:paraId="70129DDF" w14:textId="77777777" w:rsidR="00356FEF" w:rsidRPr="002F33D0" w:rsidRDefault="00356FEF" w:rsidP="002F33D0">
      <w:pPr>
        <w:spacing w:after="0" w:line="240" w:lineRule="auto"/>
        <w:jc w:val="both"/>
        <w:rPr>
          <w:rFonts w:ascii="Times New Roman" w:hAnsi="Times New Roman" w:cs="Times New Roman"/>
          <w:sz w:val="28"/>
          <w:szCs w:val="28"/>
          <w:lang w:val="kk-KZ"/>
        </w:rPr>
      </w:pPr>
    </w:p>
    <w:p w14:paraId="51F72F93" w14:textId="77777777" w:rsidR="002F33D0" w:rsidRPr="002F33D0" w:rsidRDefault="002F33D0" w:rsidP="0052009A">
      <w:pPr>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 xml:space="preserve">Выявление таких дисбалансов является ключевым элементом методики проектирования инновационного потенциала, поскольку позволяет формировать адресные управленческие рекомендации, направленные на устранение институциональных ограничений и повышение адаптивности предприятия к внешним условиям. </w:t>
      </w:r>
    </w:p>
    <w:p w14:paraId="12E90148" w14:textId="674C438D" w:rsidR="002F33D0" w:rsidRDefault="002F33D0" w:rsidP="0052009A">
      <w:pPr>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 xml:space="preserve">Для итоговой интерпретации рассчитанного значения </w:t>
      </w:r>
      <w:r w:rsidR="0018767C" w:rsidRPr="00CA0203">
        <w:rPr>
          <w:rFonts w:ascii="Times New Roman" w:hAnsi="Times New Roman" w:cs="Times New Roman"/>
          <w:sz w:val="28"/>
          <w:szCs w:val="28"/>
          <w:lang w:val="kk-KZ"/>
        </w:rPr>
        <w:t>IP-Index</w:t>
      </w:r>
      <w:r w:rsidR="0018767C" w:rsidRPr="002F33D0">
        <w:rPr>
          <w:rFonts w:ascii="Times New Roman" w:hAnsi="Times New Roman" w:cs="Times New Roman"/>
          <w:sz w:val="28"/>
          <w:szCs w:val="28"/>
          <w:lang w:val="kk-KZ"/>
        </w:rPr>
        <w:t xml:space="preserve"> </w:t>
      </w:r>
      <w:r w:rsidRPr="002F33D0">
        <w:rPr>
          <w:rFonts w:ascii="Times New Roman" w:hAnsi="Times New Roman" w:cs="Times New Roman"/>
          <w:sz w:val="28"/>
          <w:szCs w:val="28"/>
          <w:lang w:val="kk-KZ"/>
        </w:rPr>
        <w:t>используется интегральная карта инновационного потенциала</w:t>
      </w:r>
      <w:r w:rsidR="00CA0203">
        <w:rPr>
          <w:rFonts w:ascii="Times New Roman" w:hAnsi="Times New Roman" w:cs="Times New Roman"/>
          <w:sz w:val="28"/>
          <w:szCs w:val="28"/>
          <w:lang w:val="kk-KZ"/>
        </w:rPr>
        <w:t xml:space="preserve"> (рисунок </w:t>
      </w:r>
      <w:r w:rsidR="005129E8">
        <w:rPr>
          <w:rFonts w:ascii="Times New Roman" w:hAnsi="Times New Roman" w:cs="Times New Roman"/>
          <w:sz w:val="28"/>
          <w:szCs w:val="28"/>
          <w:lang w:val="kk-KZ"/>
        </w:rPr>
        <w:t>11</w:t>
      </w:r>
      <w:r w:rsidR="00CA0203">
        <w:rPr>
          <w:rFonts w:ascii="Times New Roman" w:hAnsi="Times New Roman" w:cs="Times New Roman"/>
          <w:sz w:val="28"/>
          <w:szCs w:val="28"/>
          <w:lang w:val="kk-KZ"/>
        </w:rPr>
        <w:t>)</w:t>
      </w:r>
      <w:r w:rsidRPr="002F33D0">
        <w:rPr>
          <w:rFonts w:ascii="Times New Roman" w:hAnsi="Times New Roman" w:cs="Times New Roman"/>
          <w:sz w:val="28"/>
          <w:szCs w:val="28"/>
          <w:lang w:val="kk-KZ"/>
        </w:rPr>
        <w:t>, позволяющая соотнести позицию предприятия с пороговыми границами классификационной шкалы. Такая визуализация показывает место предприятия в непрерывном диапазоне от низкого до лидерского уровня инновационного потенциала и служит основой для дальнейшей управленческой интерпретации результатов.</w:t>
      </w:r>
    </w:p>
    <w:p w14:paraId="0FE2E9B2" w14:textId="77777777" w:rsidR="002F33D0" w:rsidRPr="002F33D0" w:rsidRDefault="002F33D0" w:rsidP="002F33D0">
      <w:pPr>
        <w:spacing w:after="0" w:line="240" w:lineRule="auto"/>
        <w:jc w:val="both"/>
        <w:rPr>
          <w:rFonts w:ascii="Times New Roman" w:hAnsi="Times New Roman" w:cs="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7"/>
        <w:gridCol w:w="1557"/>
        <w:gridCol w:w="2268"/>
        <w:gridCol w:w="1701"/>
        <w:gridCol w:w="1559"/>
        <w:gridCol w:w="703"/>
      </w:tblGrid>
      <w:tr w:rsidR="002F33D0" w:rsidRPr="0052009A" w14:paraId="5B52E03D" w14:textId="77777777" w:rsidTr="002F33D0">
        <w:tc>
          <w:tcPr>
            <w:tcW w:w="1557" w:type="dxa"/>
          </w:tcPr>
          <w:p w14:paraId="0F2C1088" w14:textId="77777777" w:rsidR="002F33D0" w:rsidRPr="0052009A" w:rsidRDefault="002F33D0" w:rsidP="002F33D0">
            <w:pPr>
              <w:ind w:firstLine="0"/>
              <w:jc w:val="both"/>
              <w:rPr>
                <w:szCs w:val="24"/>
              </w:rPr>
            </w:pPr>
            <w:r w:rsidRPr="0052009A">
              <w:rPr>
                <w:szCs w:val="24"/>
              </w:rPr>
              <w:t>Низкий</w:t>
            </w:r>
          </w:p>
        </w:tc>
        <w:tc>
          <w:tcPr>
            <w:tcW w:w="1557" w:type="dxa"/>
          </w:tcPr>
          <w:p w14:paraId="2882F418" w14:textId="77777777" w:rsidR="002F33D0" w:rsidRPr="0052009A" w:rsidRDefault="002F33D0" w:rsidP="002F33D0">
            <w:pPr>
              <w:ind w:firstLine="0"/>
              <w:jc w:val="both"/>
              <w:rPr>
                <w:szCs w:val="24"/>
                <w:lang w:val="kk-KZ"/>
              </w:rPr>
            </w:pPr>
            <w:r w:rsidRPr="0052009A">
              <w:rPr>
                <w:szCs w:val="24"/>
              </w:rPr>
              <w:t>Средний</w:t>
            </w:r>
          </w:p>
        </w:tc>
        <w:tc>
          <w:tcPr>
            <w:tcW w:w="2268" w:type="dxa"/>
          </w:tcPr>
          <w:p w14:paraId="42DB0985" w14:textId="77777777" w:rsidR="002F33D0" w:rsidRPr="0052009A" w:rsidRDefault="002F33D0" w:rsidP="002F33D0">
            <w:pPr>
              <w:ind w:firstLine="0"/>
              <w:jc w:val="both"/>
              <w:rPr>
                <w:szCs w:val="24"/>
                <w:lang w:val="kk-KZ"/>
              </w:rPr>
            </w:pPr>
            <w:r w:rsidRPr="0052009A">
              <w:rPr>
                <w:szCs w:val="24"/>
              </w:rPr>
              <w:t>Умеренно-высокий</w:t>
            </w:r>
          </w:p>
        </w:tc>
        <w:tc>
          <w:tcPr>
            <w:tcW w:w="1701" w:type="dxa"/>
          </w:tcPr>
          <w:p w14:paraId="6809141F" w14:textId="77777777" w:rsidR="002F33D0" w:rsidRPr="0052009A" w:rsidRDefault="002F33D0" w:rsidP="002F33D0">
            <w:pPr>
              <w:ind w:firstLine="0"/>
              <w:jc w:val="both"/>
              <w:rPr>
                <w:szCs w:val="24"/>
                <w:lang w:val="kk-KZ"/>
              </w:rPr>
            </w:pPr>
            <w:r w:rsidRPr="0052009A">
              <w:rPr>
                <w:szCs w:val="24"/>
              </w:rPr>
              <w:t>Высокий</w:t>
            </w:r>
          </w:p>
        </w:tc>
        <w:tc>
          <w:tcPr>
            <w:tcW w:w="1559" w:type="dxa"/>
          </w:tcPr>
          <w:p w14:paraId="3F55DD2D" w14:textId="77777777" w:rsidR="002F33D0" w:rsidRPr="0052009A" w:rsidRDefault="002F33D0" w:rsidP="002F33D0">
            <w:pPr>
              <w:ind w:firstLine="0"/>
              <w:jc w:val="both"/>
              <w:rPr>
                <w:szCs w:val="24"/>
                <w:lang w:val="kk-KZ"/>
              </w:rPr>
            </w:pPr>
            <w:r w:rsidRPr="0052009A">
              <w:rPr>
                <w:szCs w:val="24"/>
              </w:rPr>
              <w:t>Лидерский</w:t>
            </w:r>
          </w:p>
        </w:tc>
        <w:tc>
          <w:tcPr>
            <w:tcW w:w="703" w:type="dxa"/>
          </w:tcPr>
          <w:p w14:paraId="5C12E11C" w14:textId="77777777" w:rsidR="002F33D0" w:rsidRPr="0052009A" w:rsidRDefault="002F33D0" w:rsidP="002F33D0">
            <w:pPr>
              <w:ind w:firstLine="0"/>
              <w:jc w:val="both"/>
              <w:rPr>
                <w:szCs w:val="24"/>
                <w:lang w:val="kk-KZ"/>
              </w:rPr>
            </w:pPr>
          </w:p>
        </w:tc>
      </w:tr>
      <w:tr w:rsidR="002F33D0" w:rsidRPr="0052009A" w14:paraId="453DFDD0" w14:textId="77777777" w:rsidTr="002F33D0">
        <w:tc>
          <w:tcPr>
            <w:tcW w:w="1557" w:type="dxa"/>
          </w:tcPr>
          <w:p w14:paraId="157161AC" w14:textId="77777777" w:rsidR="002F33D0" w:rsidRPr="0052009A" w:rsidRDefault="002F33D0" w:rsidP="002F33D0">
            <w:pPr>
              <w:ind w:firstLine="0"/>
              <w:jc w:val="both"/>
              <w:rPr>
                <w:szCs w:val="24"/>
                <w:lang w:val="kk-KZ"/>
              </w:rPr>
            </w:pPr>
            <w:r w:rsidRPr="0052009A">
              <w:rPr>
                <w:szCs w:val="24"/>
                <w:lang w:val="kk-KZ"/>
              </w:rPr>
              <w:t>0,00</w:t>
            </w:r>
          </w:p>
        </w:tc>
        <w:tc>
          <w:tcPr>
            <w:tcW w:w="1557" w:type="dxa"/>
          </w:tcPr>
          <w:p w14:paraId="39BCD156" w14:textId="77777777" w:rsidR="002F33D0" w:rsidRPr="0052009A" w:rsidRDefault="002F33D0" w:rsidP="002F33D0">
            <w:pPr>
              <w:ind w:firstLine="0"/>
              <w:jc w:val="both"/>
              <w:rPr>
                <w:szCs w:val="24"/>
                <w:lang w:val="kk-KZ"/>
              </w:rPr>
            </w:pPr>
            <w:r w:rsidRPr="0052009A">
              <w:rPr>
                <w:szCs w:val="24"/>
                <w:lang w:val="kk-KZ"/>
              </w:rPr>
              <w:t xml:space="preserve">  0,26</w:t>
            </w:r>
          </w:p>
        </w:tc>
        <w:tc>
          <w:tcPr>
            <w:tcW w:w="2268" w:type="dxa"/>
          </w:tcPr>
          <w:p w14:paraId="1BB79F85" w14:textId="77777777" w:rsidR="002F33D0" w:rsidRPr="0052009A" w:rsidRDefault="002F33D0" w:rsidP="002F33D0">
            <w:pPr>
              <w:ind w:firstLine="0"/>
              <w:jc w:val="both"/>
              <w:rPr>
                <w:szCs w:val="24"/>
                <w:lang w:val="kk-KZ"/>
              </w:rPr>
            </w:pPr>
            <w:r w:rsidRPr="0052009A">
              <w:rPr>
                <w:szCs w:val="24"/>
                <w:lang w:val="kk-KZ"/>
              </w:rPr>
              <w:t xml:space="preserve">      0,46</w:t>
            </w:r>
          </w:p>
        </w:tc>
        <w:tc>
          <w:tcPr>
            <w:tcW w:w="1701" w:type="dxa"/>
          </w:tcPr>
          <w:p w14:paraId="6E6F6B88" w14:textId="77777777" w:rsidR="002F33D0" w:rsidRPr="0052009A" w:rsidRDefault="002F33D0" w:rsidP="002F33D0">
            <w:pPr>
              <w:ind w:firstLine="0"/>
              <w:jc w:val="both"/>
              <w:rPr>
                <w:szCs w:val="24"/>
                <w:lang w:val="kk-KZ"/>
              </w:rPr>
            </w:pPr>
            <w:r w:rsidRPr="0052009A">
              <w:rPr>
                <w:szCs w:val="24"/>
                <w:lang w:val="kk-KZ"/>
              </w:rPr>
              <w:t>0,66</w:t>
            </w:r>
          </w:p>
        </w:tc>
        <w:tc>
          <w:tcPr>
            <w:tcW w:w="1559" w:type="dxa"/>
          </w:tcPr>
          <w:p w14:paraId="437D45C7" w14:textId="77777777" w:rsidR="002F33D0" w:rsidRPr="0052009A" w:rsidRDefault="002F33D0" w:rsidP="002F33D0">
            <w:pPr>
              <w:ind w:firstLine="0"/>
              <w:jc w:val="both"/>
              <w:rPr>
                <w:szCs w:val="24"/>
                <w:lang w:val="kk-KZ"/>
              </w:rPr>
            </w:pPr>
            <w:r w:rsidRPr="0052009A">
              <w:rPr>
                <w:szCs w:val="24"/>
              </w:rPr>
              <w:t xml:space="preserve">  0,86</w:t>
            </w:r>
          </w:p>
        </w:tc>
        <w:tc>
          <w:tcPr>
            <w:tcW w:w="703" w:type="dxa"/>
          </w:tcPr>
          <w:p w14:paraId="37EAC96C" w14:textId="77777777" w:rsidR="002F33D0" w:rsidRPr="0052009A" w:rsidRDefault="002F33D0" w:rsidP="002F33D0">
            <w:pPr>
              <w:ind w:firstLine="0"/>
              <w:jc w:val="both"/>
              <w:rPr>
                <w:szCs w:val="24"/>
                <w:lang w:val="kk-KZ"/>
              </w:rPr>
            </w:pPr>
            <w:r w:rsidRPr="0052009A">
              <w:rPr>
                <w:szCs w:val="24"/>
              </w:rPr>
              <w:t>1,00</w:t>
            </w:r>
          </w:p>
        </w:tc>
      </w:tr>
    </w:tbl>
    <w:p w14:paraId="763EFCA3" w14:textId="77777777" w:rsidR="002F33D0" w:rsidRPr="002F33D0" w:rsidRDefault="002F33D0" w:rsidP="002F33D0">
      <w:pPr>
        <w:spacing w:after="0" w:line="240" w:lineRule="auto"/>
        <w:jc w:val="both"/>
        <w:rPr>
          <w:rFonts w:ascii="Times New Roman" w:hAnsi="Times New Roman" w:cs="Times New Roman"/>
          <w:sz w:val="28"/>
          <w:szCs w:val="28"/>
          <w:lang w:val="kk-KZ"/>
        </w:rPr>
      </w:pPr>
      <w:r w:rsidRPr="002F33D0">
        <w:rPr>
          <w:rFonts w:ascii="Times New Roman" w:hAnsi="Times New Roman" w:cs="Times New Roman"/>
          <w:noProof/>
          <w:sz w:val="28"/>
          <w:szCs w:val="28"/>
          <w:lang w:eastAsia="ru-RU"/>
        </w:rPr>
        <mc:AlternateContent>
          <mc:Choice Requires="wpg">
            <w:drawing>
              <wp:inline distT="0" distB="0" distL="0" distR="0" wp14:anchorId="107161A0" wp14:editId="40FAC4F7">
                <wp:extent cx="5935133" cy="659976"/>
                <wp:effectExtent l="0" t="0" r="46990" b="6985"/>
                <wp:docPr id="137" name="Группа 137"/>
                <wp:cNvGraphicFramePr/>
                <a:graphic xmlns:a="http://schemas.openxmlformats.org/drawingml/2006/main">
                  <a:graphicData uri="http://schemas.microsoft.com/office/word/2010/wordprocessingGroup">
                    <wpg:wgp>
                      <wpg:cNvGrpSpPr/>
                      <wpg:grpSpPr>
                        <a:xfrm>
                          <a:off x="0" y="0"/>
                          <a:ext cx="5935133" cy="659976"/>
                          <a:chOff x="0" y="0"/>
                          <a:chExt cx="5935133" cy="659976"/>
                        </a:xfrm>
                      </wpg:grpSpPr>
                      <wps:wsp>
                        <wps:cNvPr id="117" name="Прямая соединительная линия 117"/>
                        <wps:cNvCnPr/>
                        <wps:spPr>
                          <a:xfrm>
                            <a:off x="0" y="0"/>
                            <a:ext cx="0" cy="203200"/>
                          </a:xfrm>
                          <a:prstGeom prst="line">
                            <a:avLst/>
                          </a:prstGeom>
                        </wps:spPr>
                        <wps:style>
                          <a:lnRef idx="3">
                            <a:schemeClr val="dk1"/>
                          </a:lnRef>
                          <a:fillRef idx="0">
                            <a:schemeClr val="dk1"/>
                          </a:fillRef>
                          <a:effectRef idx="2">
                            <a:schemeClr val="dk1"/>
                          </a:effectRef>
                          <a:fontRef idx="minor">
                            <a:schemeClr val="tx1"/>
                          </a:fontRef>
                        </wps:style>
                        <wps:bodyPr/>
                      </wps:wsp>
                      <wps:wsp>
                        <wps:cNvPr id="131" name="Прямая соединительная линия 131"/>
                        <wps:cNvCnPr/>
                        <wps:spPr>
                          <a:xfrm>
                            <a:off x="0" y="101600"/>
                            <a:ext cx="1252855" cy="0"/>
                          </a:xfrm>
                          <a:prstGeom prst="line">
                            <a:avLst/>
                          </a:prstGeom>
                          <a:ln w="57150"/>
                        </wps:spPr>
                        <wps:style>
                          <a:lnRef idx="3">
                            <a:schemeClr val="accent2"/>
                          </a:lnRef>
                          <a:fillRef idx="0">
                            <a:schemeClr val="accent2"/>
                          </a:fillRef>
                          <a:effectRef idx="2">
                            <a:schemeClr val="accent2"/>
                          </a:effectRef>
                          <a:fontRef idx="minor">
                            <a:schemeClr val="tx1"/>
                          </a:fontRef>
                        </wps:style>
                        <wps:bodyPr/>
                      </wps:wsp>
                      <wps:wsp>
                        <wps:cNvPr id="132" name="Прямая соединительная линия 132"/>
                        <wps:cNvCnPr/>
                        <wps:spPr>
                          <a:xfrm>
                            <a:off x="1253066" y="110067"/>
                            <a:ext cx="1176655" cy="0"/>
                          </a:xfrm>
                          <a:prstGeom prst="line">
                            <a:avLst/>
                          </a:prstGeom>
                          <a:ln w="57150"/>
                        </wps:spPr>
                        <wps:style>
                          <a:lnRef idx="3">
                            <a:schemeClr val="accent4"/>
                          </a:lnRef>
                          <a:fillRef idx="0">
                            <a:schemeClr val="accent4"/>
                          </a:fillRef>
                          <a:effectRef idx="2">
                            <a:schemeClr val="accent4"/>
                          </a:effectRef>
                          <a:fontRef idx="minor">
                            <a:schemeClr val="tx1"/>
                          </a:fontRef>
                        </wps:style>
                        <wps:bodyPr/>
                      </wps:wsp>
                      <wps:wsp>
                        <wps:cNvPr id="133" name="Прямая соединительная линия 133"/>
                        <wps:cNvCnPr/>
                        <wps:spPr>
                          <a:xfrm>
                            <a:off x="2429933" y="110067"/>
                            <a:ext cx="1176655" cy="0"/>
                          </a:xfrm>
                          <a:prstGeom prst="line">
                            <a:avLst/>
                          </a:prstGeom>
                          <a:ln w="57150"/>
                        </wps:spPr>
                        <wps:style>
                          <a:lnRef idx="3">
                            <a:schemeClr val="accent5"/>
                          </a:lnRef>
                          <a:fillRef idx="0">
                            <a:schemeClr val="accent5"/>
                          </a:fillRef>
                          <a:effectRef idx="2">
                            <a:schemeClr val="accent5"/>
                          </a:effectRef>
                          <a:fontRef idx="minor">
                            <a:schemeClr val="tx1"/>
                          </a:fontRef>
                        </wps:style>
                        <wps:bodyPr/>
                      </wps:wsp>
                      <wps:wsp>
                        <wps:cNvPr id="134" name="Прямая соединительная линия 134"/>
                        <wps:cNvCnPr/>
                        <wps:spPr>
                          <a:xfrm>
                            <a:off x="3589866" y="110067"/>
                            <a:ext cx="1176655" cy="0"/>
                          </a:xfrm>
                          <a:prstGeom prst="line">
                            <a:avLst/>
                          </a:prstGeom>
                          <a:ln w="57150"/>
                        </wps:spPr>
                        <wps:style>
                          <a:lnRef idx="3">
                            <a:schemeClr val="accent6"/>
                          </a:lnRef>
                          <a:fillRef idx="0">
                            <a:schemeClr val="accent6"/>
                          </a:fillRef>
                          <a:effectRef idx="2">
                            <a:schemeClr val="accent6"/>
                          </a:effectRef>
                          <a:fontRef idx="minor">
                            <a:schemeClr val="tx1"/>
                          </a:fontRef>
                        </wps:style>
                        <wps:bodyPr/>
                      </wps:wsp>
                      <wps:wsp>
                        <wps:cNvPr id="135" name="Прямая соединительная линия 135"/>
                        <wps:cNvCnPr/>
                        <wps:spPr>
                          <a:xfrm>
                            <a:off x="4758266" y="110067"/>
                            <a:ext cx="1176655" cy="0"/>
                          </a:xfrm>
                          <a:prstGeom prst="line">
                            <a:avLst/>
                          </a:prstGeom>
                          <a:ln w="57150">
                            <a:solidFill>
                              <a:schemeClr val="accent6">
                                <a:lumMod val="75000"/>
                              </a:schemeClr>
                            </a:solidFill>
                          </a:ln>
                        </wps:spPr>
                        <wps:style>
                          <a:lnRef idx="3">
                            <a:schemeClr val="accent6"/>
                          </a:lnRef>
                          <a:fillRef idx="0">
                            <a:schemeClr val="accent6"/>
                          </a:fillRef>
                          <a:effectRef idx="2">
                            <a:schemeClr val="accent6"/>
                          </a:effectRef>
                          <a:fontRef idx="minor">
                            <a:schemeClr val="tx1"/>
                          </a:fontRef>
                        </wps:style>
                        <wps:bodyPr/>
                      </wps:wsp>
                      <wps:wsp>
                        <wps:cNvPr id="130" name="Блок-схема: узел 130"/>
                        <wps:cNvSpPr/>
                        <wps:spPr>
                          <a:xfrm>
                            <a:off x="3793066" y="33867"/>
                            <a:ext cx="152400" cy="143933"/>
                          </a:xfrm>
                          <a:prstGeom prst="flowChartConnector">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Прямая соединительная линия 118"/>
                        <wps:cNvCnPr/>
                        <wps:spPr>
                          <a:xfrm>
                            <a:off x="1253066" y="8467"/>
                            <a:ext cx="0" cy="203200"/>
                          </a:xfrm>
                          <a:prstGeom prst="line">
                            <a:avLst/>
                          </a:prstGeom>
                        </wps:spPr>
                        <wps:style>
                          <a:lnRef idx="3">
                            <a:schemeClr val="dk1"/>
                          </a:lnRef>
                          <a:fillRef idx="0">
                            <a:schemeClr val="dk1"/>
                          </a:fillRef>
                          <a:effectRef idx="2">
                            <a:schemeClr val="dk1"/>
                          </a:effectRef>
                          <a:fontRef idx="minor">
                            <a:schemeClr val="tx1"/>
                          </a:fontRef>
                        </wps:style>
                        <wps:bodyPr/>
                      </wps:wsp>
                      <wps:wsp>
                        <wps:cNvPr id="119" name="Прямая соединительная линия 119"/>
                        <wps:cNvCnPr/>
                        <wps:spPr>
                          <a:xfrm>
                            <a:off x="2429933" y="8467"/>
                            <a:ext cx="0" cy="203200"/>
                          </a:xfrm>
                          <a:prstGeom prst="line">
                            <a:avLst/>
                          </a:prstGeom>
                        </wps:spPr>
                        <wps:style>
                          <a:lnRef idx="3">
                            <a:schemeClr val="dk1"/>
                          </a:lnRef>
                          <a:fillRef idx="0">
                            <a:schemeClr val="dk1"/>
                          </a:fillRef>
                          <a:effectRef idx="2">
                            <a:schemeClr val="dk1"/>
                          </a:effectRef>
                          <a:fontRef idx="minor">
                            <a:schemeClr val="tx1"/>
                          </a:fontRef>
                        </wps:style>
                        <wps:bodyPr/>
                      </wps:wsp>
                      <wps:wsp>
                        <wps:cNvPr id="122" name="Прямая соединительная линия 122"/>
                        <wps:cNvCnPr/>
                        <wps:spPr>
                          <a:xfrm>
                            <a:off x="3589866" y="8467"/>
                            <a:ext cx="0" cy="203200"/>
                          </a:xfrm>
                          <a:prstGeom prst="line">
                            <a:avLst/>
                          </a:prstGeom>
                        </wps:spPr>
                        <wps:style>
                          <a:lnRef idx="3">
                            <a:schemeClr val="dk1"/>
                          </a:lnRef>
                          <a:fillRef idx="0">
                            <a:schemeClr val="dk1"/>
                          </a:fillRef>
                          <a:effectRef idx="2">
                            <a:schemeClr val="dk1"/>
                          </a:effectRef>
                          <a:fontRef idx="minor">
                            <a:schemeClr val="tx1"/>
                          </a:fontRef>
                        </wps:style>
                        <wps:bodyPr/>
                      </wps:wsp>
                      <wps:wsp>
                        <wps:cNvPr id="121" name="Прямая соединительная линия 121"/>
                        <wps:cNvCnPr/>
                        <wps:spPr>
                          <a:xfrm>
                            <a:off x="4775200" y="8467"/>
                            <a:ext cx="0" cy="203200"/>
                          </a:xfrm>
                          <a:prstGeom prst="line">
                            <a:avLst/>
                          </a:prstGeom>
                        </wps:spPr>
                        <wps:style>
                          <a:lnRef idx="3">
                            <a:schemeClr val="dk1"/>
                          </a:lnRef>
                          <a:fillRef idx="0">
                            <a:schemeClr val="dk1"/>
                          </a:fillRef>
                          <a:effectRef idx="2">
                            <a:schemeClr val="dk1"/>
                          </a:effectRef>
                          <a:fontRef idx="minor">
                            <a:schemeClr val="tx1"/>
                          </a:fontRef>
                        </wps:style>
                        <wps:bodyPr/>
                      </wps:wsp>
                      <wps:wsp>
                        <wps:cNvPr id="120" name="Прямая соединительная линия 120"/>
                        <wps:cNvCnPr/>
                        <wps:spPr>
                          <a:xfrm>
                            <a:off x="5935133" y="8467"/>
                            <a:ext cx="0" cy="203200"/>
                          </a:xfrm>
                          <a:prstGeom prst="line">
                            <a:avLst/>
                          </a:prstGeom>
                        </wps:spPr>
                        <wps:style>
                          <a:lnRef idx="3">
                            <a:schemeClr val="dk1"/>
                          </a:lnRef>
                          <a:fillRef idx="0">
                            <a:schemeClr val="dk1"/>
                          </a:fillRef>
                          <a:effectRef idx="2">
                            <a:schemeClr val="dk1"/>
                          </a:effectRef>
                          <a:fontRef idx="minor">
                            <a:schemeClr val="tx1"/>
                          </a:fontRef>
                        </wps:style>
                        <wps:bodyPr/>
                      </wps:wsp>
                      <wps:wsp>
                        <wps:cNvPr id="125" name="Надпись 125"/>
                        <wps:cNvSpPr txBox="1"/>
                        <wps:spPr>
                          <a:xfrm>
                            <a:off x="3115733" y="194733"/>
                            <a:ext cx="1532466" cy="46524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8BFEF93" w14:textId="77777777" w:rsidR="001D4931" w:rsidRPr="0052009A" w:rsidRDefault="001D4931" w:rsidP="0052009A">
                              <w:pPr>
                                <w:spacing w:after="0" w:line="240" w:lineRule="auto"/>
                                <w:jc w:val="center"/>
                                <w:rPr>
                                  <w:rFonts w:ascii="Times New Roman" w:hAnsi="Times New Roman" w:cs="Times New Roman"/>
                                  <w:sz w:val="24"/>
                                  <w:szCs w:val="24"/>
                                </w:rPr>
                              </w:pPr>
                              <w:r w:rsidRPr="0052009A">
                                <w:rPr>
                                  <w:rFonts w:ascii="Times New Roman" w:hAnsi="Times New Roman" w:cs="Times New Roman"/>
                                  <w:sz w:val="24"/>
                                  <w:szCs w:val="24"/>
                                </w:rPr>
                                <w:t>0,46</w:t>
                              </w:r>
                            </w:p>
                            <w:p w14:paraId="7656C21A" w14:textId="77777777" w:rsidR="001D4931" w:rsidRPr="0052009A" w:rsidRDefault="001D4931" w:rsidP="0052009A">
                              <w:pPr>
                                <w:spacing w:after="0" w:line="240" w:lineRule="auto"/>
                                <w:jc w:val="center"/>
                                <w:rPr>
                                  <w:rFonts w:ascii="Times New Roman" w:hAnsi="Times New Roman" w:cs="Times New Roman"/>
                                  <w:sz w:val="24"/>
                                  <w:szCs w:val="24"/>
                                  <w:lang w:val="en-US"/>
                                </w:rPr>
                              </w:pPr>
                              <w:r w:rsidRPr="0052009A">
                                <w:rPr>
                                  <w:rFonts w:ascii="Times New Roman" w:hAnsi="Times New Roman" w:cs="Times New Roman"/>
                                  <w:sz w:val="24"/>
                                  <w:szCs w:val="24"/>
                                  <w:lang w:val="kk-KZ"/>
                                </w:rPr>
                                <w:t>IP-</w:t>
                              </w:r>
                              <w:r w:rsidRPr="0052009A">
                                <w:rPr>
                                  <w:rFonts w:ascii="Times New Roman" w:hAnsi="Times New Roman" w:cs="Times New Roman"/>
                                  <w:sz w:val="24"/>
                                  <w:szCs w:val="24"/>
                                  <w:lang w:val="en-US"/>
                                </w:rPr>
                                <w:t>Index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07161A0" id="Группа 137" o:spid="_x0000_s1176" style="width:467.35pt;height:51.95pt;mso-position-horizontal-relative:char;mso-position-vertical-relative:line" coordsize="59351,6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zOMqwUAABslAAAOAAAAZHJzL2Uyb0RvYy54bWzsWt1u2zYUvh+wdyB039j6s2wjTpG5SzAg&#10;a4OlQ68ZWbKFSaRG0bHTq2VD7woExa6HvUIuNqxYt/YV5DfaISnKTuI4tgx0iWEEcCiRhxQPP5Ln&#10;+8jdp+MkRmcByyJKOoa5UzdQQHzai0i/Y3z/8uBJ00AZx6SHY0qCjnEeZMbTvS+/2B2l7cCiAxr3&#10;AoagEpK1R2nHGHCetmu1zB8ECc52aBoQyAwpSzCHR9av9RgeQe1JXLPq9UZtRFkvZdQPsgzePlOZ&#10;xp6sPwwDn78IwyzgKO4Y8G1c/jL5eyp+a3u7uN1nOB1EfvEZuMJXJDgi0GhZ1TPMMRqy6FZVSeQz&#10;mtGQ7/g0qdEwjPxA9gF6Y9Zv9OaQ0WEq+9Jvj/pp6SZw7Q0/Va7Wf352zFDUg7GzPQMRnMAg5b9O&#10;fpr8kn+Cvysk3oOXRmm/DYUPWXqSHrPiRV89iY6PQ5aI/9AlNJb+PS/9G4w58uGl27Jd07YN5ENe&#10;w221vIYaAH8Ao3TLzB98vdiwpputia8rP2aUApayqbuy9dx1MsBpIEchEx7Q7jKn7vod3HWZ/5Nf&#10;TS7R5CL/mP+Z/5G/z//N309+hvSHyVtIi8z8Q/H6EplgL70oK+2SwqdZOwP3LutQQLRwpVW3YS6I&#10;6kqP4HbKMn4Y0ASJRMeIIyI6gdv47CjjqqguAnbCZ6plmeLncSAKx+S7IAR4wODZ0lpOzKAbM3SG&#10;YUr1fjCLZmVJYRJGcVwa1RcbFWWFWSAna2loLTYsS8sWKeGlYRIRyuYZ87H+1FCV171WfRXdPqW9&#10;czkO0h0AIQH7z4El2yynXiUsgf3qWDLrZkOhBrxfTDTTcq2m6ypYrYUogR00gjnvma6qqCLEsO8H&#10;hFurw+y64YpQu268aXCz1oSbHA0xnrAe3r90AajseqNhIFiqTBM2bbnyzYDO9BqNhwg6pyrotGEl&#10;0GnjTQMd7PtFeFFtjbNXWuMsx2q1RKzx2EDnVgWdNqwEOm28aaBz1gSdnIxLr3S222w1H+NKJ+Nw&#10;CB5XiOLUDqkNK4FOG28a6CB+Wmulk5NxadA5ntu0/gfQidA7o3HUO4CIXz4I0j7lBhogIiseJt/S&#10;nuIMnlsvyUpJJyR1malNYlFH6JIRyfBxWV6i21Y8Z4vqVVSHO/iuDWSzQPU74LEf87+fTC4mb4Df&#10;AvFtI9AL/hJcF/QCGe4X8C3FAk0vNWUvlQLba5XRoW03bwWHruUAXCTPNR1bbOkLeW4Y01F3gBnv&#10;UkJA/inIYFXWO5eHanRJ0A9wL1DAFrjWnOk6sOcD0JxHU3XdqpN3L6tzmfV14wrLasyXJMmIUaWl&#10;Zal/EIHCcIQzfowZiGcwWCAI8hfwIwajY9AiZaABZa/nvRflQaSBXAONQIzrGNmPQ8wCA8XfEJBv&#10;WqbjQLVcPjiuZ8EDm805nc0hw6RLQZwAUg1fJ5OiPI91MmQ0eQW64b5oFbIw8aHtjuFzph+6XImE&#10;oDz6wf6+LAaKXYr5ETlJfVG5GH2hoLwcv8IsLWQWDkz6OdVT6JbaosoKS0L3h5yGkZRixGRR4kOx&#10;5H1G7cEEhXad3QrsV9EeZslg07k522EwtoJWuxColO72KAUts7UmqForgWqW7G1BVWqyFTaAh6yS&#10;WmvKVmC/yko1S+a2oNpYUK0pvVurSe+O57nirEbIUltQbSyoYIDXiakgvl1lpSrPVbegmj2S3LTt&#10;byor/ZZfwQnzJzhfvpi8RRBSz8BFMG7Ex19ROLMt1yZ1tHube5um62mRvOWIJOBu5mTGtS1HSEsi&#10;KHcaQMXvYd8MGLckRnP5tmA9QiySbcRE0aDixfKCj2a+rH8qzqEVT4MrETDn9JWOe5XMxbb3s+7F&#10;9hWANz1Iv/N0mo9Px/KmhlcOt+KMG8nF+UNi4vJ+CdzAkSplcVtIXPGZfZbMfXqnae8/AAAA//8D&#10;AFBLAwQUAAYACAAAACEA3IzHPd0AAAAFAQAADwAAAGRycy9kb3ducmV2LnhtbEyPT0vDQBDF74Lf&#10;YRnBm93E+K8xm1KKeioFW0G8TZNpEpqdDdltkn57Ry96eTC8x3u/yRaTbdVAvW8cG4hnESjiwpUN&#10;VwY+dq83T6B8QC6xdUwGzuRhkV9eZJiWbuR3GrahUlLCPkUDdQhdqrUvarLoZ64jFu/geotBzr7S&#10;ZY+jlNtW30bRg7bYsCzU2NGqpuK4PVkDbyOOyyR+GdbHw+r8tbvffK5jMub6alo+gwo0hb8w/OAL&#10;OuTCtHcnLr1qDcgj4VfFmyd3j6D2EoqSOeg80//p828AAAD//wMAUEsBAi0AFAAGAAgAAAAhALaD&#10;OJL+AAAA4QEAABMAAAAAAAAAAAAAAAAAAAAAAFtDb250ZW50X1R5cGVzXS54bWxQSwECLQAUAAYA&#10;CAAAACEAOP0h/9YAAACUAQAACwAAAAAAAAAAAAAAAAAvAQAAX3JlbHMvLnJlbHNQSwECLQAUAAYA&#10;CAAAACEASo8zjKsFAAAbJQAADgAAAAAAAAAAAAAAAAAuAgAAZHJzL2Uyb0RvYy54bWxQSwECLQAU&#10;AAYACAAAACEA3IzHPd0AAAAFAQAADwAAAAAAAAAAAAAAAAAFCAAAZHJzL2Rvd25yZXYueG1sUEsF&#10;BgAAAAAEAAQA8wAAAA8JAAAAAA==&#10;">
                <v:line id="Прямая соединительная линия 117" o:spid="_x0000_s1177" style="position:absolute;visibility:visible;mso-wrap-style:square" from="0,0" to="0,2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naGxQAAANwAAAAPAAAAZHJzL2Rvd25yZXYueG1sRE9La8JA&#10;EL4X+h+WKXirm3jQEl1FSguKoNQUH7chOyah2dmYXU3017uFQm/z8T1nMutMJa7UuNKygrgfgSDO&#10;rC45V/Cdfr6+gXAeWWNlmRTcyMFs+vw0wUTblr/ouvW5CCHsElRQeF8nUrqsIIOub2viwJ1sY9AH&#10;2ORSN9iGcFPJQRQNpcGSQ0OBNb0XlP1sL0ZBuzun61W03OvDR7o4Hm/3TRWnSvVeuvkYhKfO/4v/&#10;3Asd5scj+H0mXCCnDwAAAP//AwBQSwECLQAUAAYACAAAACEA2+H2y+4AAACFAQAAEwAAAAAAAAAA&#10;AAAAAAAAAAAAW0NvbnRlbnRfVHlwZXNdLnhtbFBLAQItABQABgAIAAAAIQBa9CxbvwAAABUBAAAL&#10;AAAAAAAAAAAAAAAAAB8BAABfcmVscy8ucmVsc1BLAQItABQABgAIAAAAIQDfUnaGxQAAANwAAAAP&#10;AAAAAAAAAAAAAAAAAAcCAABkcnMvZG93bnJldi54bWxQSwUGAAAAAAMAAwC3AAAA+QIAAAAA&#10;" strokecolor="black [3200]" strokeweight="1.5pt">
                  <v:stroke joinstyle="miter"/>
                </v:line>
                <v:line id="Прямая соединительная линия 131" o:spid="_x0000_s1178" style="position:absolute;visibility:visible;mso-wrap-style:square" from="0,1016" to="12528,1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8KXwgAAANwAAAAPAAAAZHJzL2Rvd25yZXYueG1sRE9LasMw&#10;EN0Hegcxhe5i2W3TGtdKCIGQbLqI0wMM1tR2a42MpNjO7atAoLt5vO+Um9n0YiTnO8sKsiQFQVxb&#10;3XGj4Ou8X+YgfEDW2FsmBVfysFk/LEostJ34RGMVGhFD2BeooA1hKKT0dUsGfWIH4sh9W2cwROga&#10;qR1OMdz08jlN36TBjmNDiwPtWqp/q4tRkMpmNb6+658hP3zm22M3uV01KfX0OG8/QASaw7/47j7q&#10;OP8lg9sz8QK5/gMAAP//AwBQSwECLQAUAAYACAAAACEA2+H2y+4AAACFAQAAEwAAAAAAAAAAAAAA&#10;AAAAAAAAW0NvbnRlbnRfVHlwZXNdLnhtbFBLAQItABQABgAIAAAAIQBa9CxbvwAAABUBAAALAAAA&#10;AAAAAAAAAAAAAB8BAABfcmVscy8ucmVsc1BLAQItABQABgAIAAAAIQCni8KXwgAAANwAAAAPAAAA&#10;AAAAAAAAAAAAAAcCAABkcnMvZG93bnJldi54bWxQSwUGAAAAAAMAAwC3AAAA9gIAAAAA&#10;" strokecolor="#ed7d31 [3205]" strokeweight="4.5pt">
                  <v:stroke joinstyle="miter"/>
                </v:line>
                <v:line id="Прямая соединительная линия 132" o:spid="_x0000_s1179" style="position:absolute;visibility:visible;mso-wrap-style:square" from="12530,1100" to="24297,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UzrwAAAANwAAAAPAAAAZHJzL2Rvd25yZXYueG1sRE9LawIx&#10;EL4X+h/CFHqRmu2KUlejaIu0R5/3YTNuQjeTJYm6/femUOhtPr7nzJe9a8WVQrSeFbwOCxDEtdeW&#10;GwXHw+blDURMyBpbz6TghyIsF48Pc6y0v/GOrvvUiBzCsUIFJqWukjLWhhzGoe+IM3f2wWHKMDRS&#10;B7zlcNfKsigm0qHl3GCwo3dD9ff+4hSsPqOdjltrj9uTGblBuQsfYa3U81O/moFI1Kd/8Z/7S+f5&#10;oxJ+n8kXyMUdAAD//wMAUEsBAi0AFAAGAAgAAAAhANvh9svuAAAAhQEAABMAAAAAAAAAAAAAAAAA&#10;AAAAAFtDb250ZW50X1R5cGVzXS54bWxQSwECLQAUAAYACAAAACEAWvQsW78AAAAVAQAACwAAAAAA&#10;AAAAAAAAAAAfAQAAX3JlbHMvLnJlbHNQSwECLQAUAAYACAAAACEA7wlM68AAAADcAAAADwAAAAAA&#10;AAAAAAAAAAAHAgAAZHJzL2Rvd25yZXYueG1sUEsFBgAAAAADAAMAtwAAAPQCAAAAAA==&#10;" strokecolor="#ffc000 [3207]" strokeweight="4.5pt">
                  <v:stroke joinstyle="miter"/>
                </v:line>
                <v:line id="Прямая соединительная линия 133" o:spid="_x0000_s1180" style="position:absolute;visibility:visible;mso-wrap-style:square" from="24299,1100" to="36065,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nM2wQAAANwAAAAPAAAAZHJzL2Rvd25yZXYueG1sRE/bisIw&#10;EH0X9h/CLPim6SpI6RpFFhYEEbX6AUMz21abSTeJtv69EQTf5nCuM1/2phE3cr62rOBrnIAgLqyu&#10;uVRwOv6OUhA+IGtsLJOCO3lYLj4Gc8y07fhAtzyUIoawz1BBFUKbSemLigz6sW2JI/dnncEQoSul&#10;dtjFcNPISZLMpMGaY0OFLf1UVFzyq1GwyevdZFPmbarX29S5rjuf//dKDT/71TeIQH14i1/utY7z&#10;p1N4PhMvkIsHAAAA//8DAFBLAQItABQABgAIAAAAIQDb4fbL7gAAAIUBAAATAAAAAAAAAAAAAAAA&#10;AAAAAABbQ29udGVudF9UeXBlc10ueG1sUEsBAi0AFAAGAAgAAAAhAFr0LFu/AAAAFQEAAAsAAAAA&#10;AAAAAAAAAAAAHwEAAF9yZWxzLy5yZWxzUEsBAi0AFAAGAAgAAAAhAJQeczbBAAAA3AAAAA8AAAAA&#10;AAAAAAAAAAAABwIAAGRycy9kb3ducmV2LnhtbFBLBQYAAAAAAwADALcAAAD1AgAAAAA=&#10;" strokecolor="#4472c4 [3208]" strokeweight="4.5pt">
                  <v:stroke joinstyle="miter"/>
                </v:line>
                <v:line id="Прямая соединительная линия 134" o:spid="_x0000_s1181" style="position:absolute;visibility:visible;mso-wrap-style:square" from="35898,1100" to="47665,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H5xAAAANwAAAAPAAAAZHJzL2Rvd25yZXYueG1sRE9Na8JA&#10;EL0X/A/LCN7qxipV0mxEikKkiKg99Dhkp0kwOxuza0z767tCwds83ucky97UoqPWVZYVTMYRCOLc&#10;6ooLBZ+nzfMChPPIGmvLpOCHHCzTwVOCsbY3PlB39IUIIexiVFB638RSurwkg25sG+LAfdvWoA+w&#10;LaRu8RbCTS1fouhVGqw4NJTY0HtJ+fl4NQr2tl5P1r+cXebba/Qhd1/zbpEpNRr2qzcQnnr/EP+7&#10;Mx3mT2dwfyZcINM/AAAA//8DAFBLAQItABQABgAIAAAAIQDb4fbL7gAAAIUBAAATAAAAAAAAAAAA&#10;AAAAAAAAAABbQ29udGVudF9UeXBlc10ueG1sUEsBAi0AFAAGAAgAAAAhAFr0LFu/AAAAFQEAAAsA&#10;AAAAAAAAAAAAAAAAHwEAAF9yZWxzLy5yZWxzUEsBAi0AFAAGAAgAAAAhAO/6YfnEAAAA3AAAAA8A&#10;AAAAAAAAAAAAAAAABwIAAGRycy9kb3ducmV2LnhtbFBLBQYAAAAAAwADALcAAAD4AgAAAAA=&#10;" strokecolor="#70ad47 [3209]" strokeweight="4.5pt">
                  <v:stroke joinstyle="miter"/>
                </v:line>
                <v:line id="Прямая соединительная линия 135" o:spid="_x0000_s1182" style="position:absolute;visibility:visible;mso-wrap-style:square" from="47582,1100" to="59349,1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nRawQAAANwAAAAPAAAAZHJzL2Rvd25yZXYueG1sRE/dasIw&#10;FL4X9g7hDHan6abOrWsqIhO8Euz2AIfmrClrTkoSbbenN4Lg3fn4fk+xHm0nzuRD61jB8ywDQVw7&#10;3XKj4PtrN30DESKyxs4xKfijAOvyYVJgrt3ARzpXsREphEOOCkyMfS5lqA1ZDDPXEyfux3mLMUHf&#10;SO1xSOG2ky9Z9iottpwaDPa0NVT/Vier4P10oMZ/ruSWFsP/0lSGV51R6ulx3HyAiDTGu/jm3us0&#10;f76E6zPpAlleAAAA//8DAFBLAQItABQABgAIAAAAIQDb4fbL7gAAAIUBAAATAAAAAAAAAAAAAAAA&#10;AAAAAABbQ29udGVudF9UeXBlc10ueG1sUEsBAi0AFAAGAAgAAAAhAFr0LFu/AAAAFQEAAAsAAAAA&#10;AAAAAAAAAAAAHwEAAF9yZWxzLy5yZWxzUEsBAi0AFAAGAAgAAAAhADICdFrBAAAA3AAAAA8AAAAA&#10;AAAAAAAAAAAABwIAAGRycy9kb3ducmV2LnhtbFBLBQYAAAAAAwADALcAAAD1AgAAAAA=&#10;" strokecolor="#538135 [2409]" strokeweight="4.5pt">
                  <v:stroke joinstyle="miter"/>
                </v:line>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130" o:spid="_x0000_s1183" type="#_x0000_t120" style="position:absolute;left:37930;top:338;width:1524;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2ZexQAAANwAAAAPAAAAZHJzL2Rvd25yZXYueG1sRI9BT8JA&#10;EIXvJv6HzZh4g6mYAFYWoiYYD0QC+AMm3aGtdmdLd6H13zMHE28zeW/e+2axGnxjLtzFOoiFh3EG&#10;hqUIrpbSwtdhPZqDiYnEUROELfxyhNXy9mZBuQu97PiyT6XREIk5WahSanPEWFTsKY5Dy6LaMXSe&#10;kq5dia6jXsN9g5Msm6KnWrShopbfKi5+9mdvoT/1562P30/T9QaPn/MDvs7e0dr7u+HlGUziIf2b&#10;/64/nOI/Kr4+oxPg8goAAP//AwBQSwECLQAUAAYACAAAACEA2+H2y+4AAACFAQAAEwAAAAAAAAAA&#10;AAAAAAAAAAAAW0NvbnRlbnRfVHlwZXNdLnhtbFBLAQItABQABgAIAAAAIQBa9CxbvwAAABUBAAAL&#10;AAAAAAAAAAAAAAAAAB8BAABfcmVscy8ucmVsc1BLAQItABQABgAIAAAAIQApi2ZexQAAANwAAAAP&#10;AAAAAAAAAAAAAAAAAAcCAABkcnMvZG93bnJldi54bWxQSwUGAAAAAAMAAwC3AAAA+QIAAAAA&#10;" fillcolor="#70ad47 [3209]" strokecolor="#375623 [1609]" strokeweight="1pt">
                  <v:stroke joinstyle="miter"/>
                </v:shape>
                <v:line id="Прямая соединительная линия 118" o:spid="_x0000_s1184" style="position:absolute;visibility:visible;mso-wrap-style:square" from="12530,84" to="12530,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L0xwAAANwAAAAPAAAAZHJzL2Rvd25yZXYueG1sRI9BS8NA&#10;EIXvQv/DMoI3s0kPIrHbIsVCRVBsitrbkB2T0Oxsml2b1F/fORR6m+G9ee+b2WJ0rTpSHxrPBrIk&#10;BUVcettwZWBbrO4fQYWIbLH1TAZOFGAxn9zMMLd+4E86bmKlJIRDjgbqGLtc61DW5DAkviMW7df3&#10;DqOsfaVtj4OEu1ZP0/RBO2xYGmrsaFlTud/8OQPD16F4f0tfv+3PS7He7U7/H21WGHN3Oz4/gYo0&#10;xqv5cr22gp8JrTwjE+j5GQAA//8DAFBLAQItABQABgAIAAAAIQDb4fbL7gAAAIUBAAATAAAAAAAA&#10;AAAAAAAAAAAAAABbQ29udGVudF9UeXBlc10ueG1sUEsBAi0AFAAGAAgAAAAhAFr0LFu/AAAAFQEA&#10;AAsAAAAAAAAAAAAAAAAAHwEAAF9yZWxzLy5yZWxzUEsBAi0AFAAGAAgAAAAhAK7N4vTHAAAA3AAA&#10;AA8AAAAAAAAAAAAAAAAABwIAAGRycy9kb3ducmV2LnhtbFBLBQYAAAAAAwADALcAAAD7AgAAAAA=&#10;" strokecolor="black [3200]" strokeweight="1.5pt">
                  <v:stroke joinstyle="miter"/>
                </v:line>
                <v:line id="Прямая соединительная линия 119" o:spid="_x0000_s1185" style="position:absolute;visibility:visible;mso-wrap-style:square" from="24299,84" to="24299,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UdvxQAAANwAAAAPAAAAZHJzL2Rvd25yZXYueG1sRE9La8JA&#10;EL4X+h+WKXirm3gQG11FSguKoNQUH7chOyah2dmYXU3017uFQm/z8T1nMutMJa7UuNKygrgfgSDO&#10;rC45V/Cdfr6OQDiPrLGyTApu5GA2fX6aYKJty1903fpchBB2CSoovK8TKV1WkEHXtzVx4E62MegD&#10;bHKpG2xDuKnkIIqG0mDJoaHAmt4Lyn62F6Og3Z3T9Spa7vXhI10cj7f7popTpXov3XwMwlPn/8V/&#10;7oUO8+M3+H0mXCCnDwAAAP//AwBQSwECLQAUAAYACAAAACEA2+H2y+4AAACFAQAAEwAAAAAAAAAA&#10;AAAAAAAAAAAAW0NvbnRlbnRfVHlwZXNdLnhtbFBLAQItABQABgAIAAAAIQBa9CxbvwAAABUBAAAL&#10;AAAAAAAAAAAAAAAAAB8BAABfcmVscy8ucmVsc1BLAQItABQABgAIAAAAIQDBgUdvxQAAANwAAAAP&#10;AAAAAAAAAAAAAAAAAAcCAABkcnMvZG93bnJldi54bWxQSwUGAAAAAAMAAwC3AAAA+QIAAAAA&#10;" strokecolor="black [3200]" strokeweight="1.5pt">
                  <v:stroke joinstyle="miter"/>
                </v:line>
                <v:line id="Прямая соединительная линия 122" o:spid="_x0000_s1186" style="position:absolute;visibility:visible;mso-wrap-style:square" from="35898,84" to="35898,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R+jxQAAANwAAAAPAAAAZHJzL2Rvd25yZXYueG1sRE9Na8JA&#10;EL0L/Q/LCN7qJjlISV2DFAuK0KIpbb0N2TEJzc7G7Gpif31XKHibx/uceTaYRlyoc7VlBfE0AkFc&#10;WF1zqeAjf318AuE8ssbGMim4koNs8TCaY6ptzzu67H0pQgi7FBVU3replK6oyKCb2pY4cEfbGfQB&#10;dqXUHfYh3DQyiaKZNFhzaKiwpZeKip/92SjoP0/52zbafOnvVb4+HK6/702cKzUZD8tnEJ4Gfxf/&#10;u9c6zE8SuD0TLpCLPwAAAP//AwBQSwECLQAUAAYACAAAACEA2+H2y+4AAACFAQAAEwAAAAAAAAAA&#10;AAAAAAAAAAAAW0NvbnRlbnRfVHlwZXNdLnhtbFBLAQItABQABgAIAAAAIQBa9CxbvwAAABUBAAAL&#10;AAAAAAAAAAAAAAAAAB8BAABfcmVscy8ucmVsc1BLAQItABQABgAIAAAAIQABSR+jxQAAANwAAAAP&#10;AAAAAAAAAAAAAAAAAAcCAABkcnMvZG93bnJldi54bWxQSwUGAAAAAAMAAwC3AAAA+QIAAAAA&#10;" strokecolor="black [3200]" strokeweight="1.5pt">
                  <v:stroke joinstyle="miter"/>
                </v:line>
                <v:line id="Прямая соединительная линия 121" o:spid="_x0000_s1187" style="position:absolute;visibility:visible;mso-wrap-style:square" from="47752,84" to="47752,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4HUxAAAANwAAAAPAAAAZHJzL2Rvd25yZXYueG1sRE9Na8JA&#10;EL0X+h+WEbzpJh5EUleRYsEiKBpp623IjklodjbNrib6611B6G0e73Om885U4kKNKy0riIcRCOLM&#10;6pJzBYf0YzAB4TyyxsoyKbiSg/ns9WWKibYt7+iy97kIIewSVFB4XydSuqwgg25oa+LAnWxj0AfY&#10;5FI32IZwU8lRFI2lwZJDQ4E1vReU/e7PRkH79Zdu1tHnt/5Zpqvj8XrbVnGqVL/XLd5AeOr8v/jp&#10;XukwfxTD45lwgZzdAQAA//8DAFBLAQItABQABgAIAAAAIQDb4fbL7gAAAIUBAAATAAAAAAAAAAAA&#10;AAAAAAAAAABbQ29udGVudF9UeXBlc10ueG1sUEsBAi0AFAAGAAgAAAAhAFr0LFu/AAAAFQEAAAsA&#10;AAAAAAAAAAAAAAAAHwEAAF9yZWxzLy5yZWxzUEsBAi0AFAAGAAgAAAAhAPGbgdTEAAAA3AAAAA8A&#10;AAAAAAAAAAAAAAAABwIAAGRycy9kb3ducmV2LnhtbFBLBQYAAAAAAwADALcAAAD4AgAAAAA=&#10;" strokecolor="black [3200]" strokeweight="1.5pt">
                  <v:stroke joinstyle="miter"/>
                </v:line>
                <v:line id="Прямая соединительная линия 120" o:spid="_x0000_s1188" style="position:absolute;visibility:visible;mso-wrap-style:square" from="59351,84" to="59351,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yRPxwAAANwAAAAPAAAAZHJzL2Rvd25yZXYueG1sRI9Ba8JA&#10;EIXvhf6HZQre6kYPUqKrlFLBUrBopK23ITtNQrOzMbua6K93DoK3Gd6b976ZLXpXqxO1ofJsYDRM&#10;QBHn3lZcGNhly+cXUCEiW6w9k4EzBVjMHx9mmFrf8YZO21goCeGQooEyxibVOuQlOQxD3xCL9udb&#10;h1HWttC2xU7CXa3HSTLRDiuWhhIbeisp/98enYHu+5CtP5OPH/v7nq32+/Plqx5lxgye+tcpqEh9&#10;vJtv1ysr+GPBl2dkAj2/AgAA//8DAFBLAQItABQABgAIAAAAIQDb4fbL7gAAAIUBAAATAAAAAAAA&#10;AAAAAAAAAAAAAABbQ29udGVudF9UeXBlc10ueG1sUEsBAi0AFAAGAAgAAAAhAFr0LFu/AAAAFQEA&#10;AAsAAAAAAAAAAAAAAAAAHwEAAF9yZWxzLy5yZWxzUEsBAi0AFAAGAAgAAAAhAJ7XJE/HAAAA3AAA&#10;AA8AAAAAAAAAAAAAAAAABwIAAGRycy9kb3ducmV2LnhtbFBLBQYAAAAAAwADALcAAAD7AgAAAAA=&#10;" strokecolor="black [3200]" strokeweight="1.5pt">
                  <v:stroke joinstyle="miter"/>
                </v:line>
                <v:shape id="Надпись 125" o:spid="_x0000_s1189" type="#_x0000_t202" style="position:absolute;left:31157;top:1947;width:15324;height:4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14:paraId="78BFEF93" w14:textId="77777777" w:rsidR="001D4931" w:rsidRPr="0052009A" w:rsidRDefault="001D4931" w:rsidP="0052009A">
                        <w:pPr>
                          <w:spacing w:after="0" w:line="240" w:lineRule="auto"/>
                          <w:jc w:val="center"/>
                          <w:rPr>
                            <w:rFonts w:ascii="Times New Roman" w:hAnsi="Times New Roman" w:cs="Times New Roman"/>
                            <w:sz w:val="24"/>
                            <w:szCs w:val="24"/>
                          </w:rPr>
                        </w:pPr>
                        <w:r w:rsidRPr="0052009A">
                          <w:rPr>
                            <w:rFonts w:ascii="Times New Roman" w:hAnsi="Times New Roman" w:cs="Times New Roman"/>
                            <w:sz w:val="24"/>
                            <w:szCs w:val="24"/>
                          </w:rPr>
                          <w:t>0,46</w:t>
                        </w:r>
                      </w:p>
                      <w:p w14:paraId="7656C21A" w14:textId="77777777" w:rsidR="001D4931" w:rsidRPr="0052009A" w:rsidRDefault="001D4931" w:rsidP="0052009A">
                        <w:pPr>
                          <w:spacing w:after="0" w:line="240" w:lineRule="auto"/>
                          <w:jc w:val="center"/>
                          <w:rPr>
                            <w:rFonts w:ascii="Times New Roman" w:hAnsi="Times New Roman" w:cs="Times New Roman"/>
                            <w:sz w:val="24"/>
                            <w:szCs w:val="24"/>
                            <w:lang w:val="en-US"/>
                          </w:rPr>
                        </w:pPr>
                        <w:r w:rsidRPr="0052009A">
                          <w:rPr>
                            <w:rFonts w:ascii="Times New Roman" w:hAnsi="Times New Roman" w:cs="Times New Roman"/>
                            <w:sz w:val="24"/>
                            <w:szCs w:val="24"/>
                            <w:lang w:val="kk-KZ"/>
                          </w:rPr>
                          <w:t>IP-</w:t>
                        </w:r>
                        <w:r w:rsidRPr="0052009A">
                          <w:rPr>
                            <w:rFonts w:ascii="Times New Roman" w:hAnsi="Times New Roman" w:cs="Times New Roman"/>
                            <w:sz w:val="24"/>
                            <w:szCs w:val="24"/>
                            <w:lang w:val="en-US"/>
                          </w:rPr>
                          <w:t>Index</w:t>
                        </w:r>
                      </w:p>
                    </w:txbxContent>
                  </v:textbox>
                </v:shape>
                <w10:anchorlock/>
              </v:group>
            </w:pict>
          </mc:Fallback>
        </mc:AlternateContent>
      </w:r>
    </w:p>
    <w:p w14:paraId="696EDE84" w14:textId="3DB8C27F" w:rsidR="002F33D0" w:rsidRPr="002F33D0" w:rsidRDefault="002F33D0" w:rsidP="002F33D0">
      <w:pPr>
        <w:spacing w:after="0" w:line="240" w:lineRule="auto"/>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 xml:space="preserve">Рисунок </w:t>
      </w:r>
      <w:r w:rsidR="005129E8">
        <w:rPr>
          <w:rFonts w:ascii="Times New Roman" w:hAnsi="Times New Roman" w:cs="Times New Roman"/>
          <w:sz w:val="28"/>
          <w:szCs w:val="28"/>
          <w:lang w:val="kk-KZ"/>
        </w:rPr>
        <w:t>11</w:t>
      </w:r>
      <w:r w:rsidRPr="002F33D0">
        <w:rPr>
          <w:rFonts w:ascii="Times New Roman" w:hAnsi="Times New Roman" w:cs="Times New Roman"/>
          <w:sz w:val="28"/>
          <w:szCs w:val="28"/>
          <w:lang w:val="kk-KZ"/>
        </w:rPr>
        <w:t xml:space="preserve"> – Интегральная карта инновационного потенциала предприятия </w:t>
      </w:r>
    </w:p>
    <w:p w14:paraId="180D54E2" w14:textId="77777777" w:rsidR="00356FEF" w:rsidRDefault="00356FEF" w:rsidP="00356FEF">
      <w:pPr>
        <w:spacing w:after="0" w:line="240" w:lineRule="auto"/>
        <w:jc w:val="both"/>
        <w:rPr>
          <w:rFonts w:ascii="Times New Roman" w:hAnsi="Times New Roman" w:cs="Times New Roman"/>
          <w:sz w:val="24"/>
          <w:szCs w:val="28"/>
          <w:lang w:val="kk-KZ"/>
        </w:rPr>
      </w:pPr>
    </w:p>
    <w:p w14:paraId="1F317C7B" w14:textId="54C8EEE0" w:rsidR="00356FEF" w:rsidRPr="00356FEF" w:rsidRDefault="00356FEF" w:rsidP="005129E8">
      <w:pPr>
        <w:spacing w:after="0" w:line="240" w:lineRule="auto"/>
        <w:ind w:firstLine="567"/>
        <w:jc w:val="both"/>
        <w:rPr>
          <w:rFonts w:ascii="Times New Roman" w:hAnsi="Times New Roman" w:cs="Times New Roman"/>
          <w:sz w:val="24"/>
          <w:szCs w:val="28"/>
          <w:lang w:val="kk-KZ"/>
        </w:rPr>
      </w:pPr>
      <w:r w:rsidRPr="00356FEF">
        <w:rPr>
          <w:rFonts w:ascii="Times New Roman" w:hAnsi="Times New Roman" w:cs="Times New Roman"/>
          <w:sz w:val="24"/>
          <w:szCs w:val="28"/>
          <w:lang w:val="kk-KZ"/>
        </w:rPr>
        <w:t xml:space="preserve">Примечание – </w:t>
      </w:r>
      <w:r w:rsidR="000F3C80">
        <w:rPr>
          <w:rFonts w:ascii="Times New Roman" w:hAnsi="Times New Roman" w:cs="Times New Roman"/>
          <w:sz w:val="24"/>
          <w:szCs w:val="28"/>
          <w:lang w:val="kk-KZ"/>
        </w:rPr>
        <w:t>С</w:t>
      </w:r>
      <w:r w:rsidRPr="00356FEF">
        <w:rPr>
          <w:rFonts w:ascii="Times New Roman" w:hAnsi="Times New Roman" w:cs="Times New Roman"/>
          <w:sz w:val="24"/>
          <w:szCs w:val="28"/>
          <w:lang w:val="kk-KZ"/>
        </w:rPr>
        <w:t>оставлено автором</w:t>
      </w:r>
    </w:p>
    <w:p w14:paraId="5D5B5DF8" w14:textId="41E7C480" w:rsidR="002F33D0" w:rsidRDefault="002F33D0" w:rsidP="002F33D0">
      <w:pPr>
        <w:spacing w:after="0" w:line="240" w:lineRule="auto"/>
        <w:jc w:val="both"/>
        <w:rPr>
          <w:rFonts w:ascii="Times New Roman" w:hAnsi="Times New Roman" w:cs="Times New Roman"/>
          <w:sz w:val="28"/>
          <w:szCs w:val="28"/>
          <w:lang w:val="kk-KZ"/>
        </w:rPr>
      </w:pPr>
    </w:p>
    <w:p w14:paraId="1530E224" w14:textId="72203AA5" w:rsidR="002F33D0" w:rsidRPr="002F33D0" w:rsidRDefault="002F33D0" w:rsidP="0052009A">
      <w:pPr>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 xml:space="preserve">Полученные результаты показывают, что значение </w:t>
      </w:r>
      <w:r w:rsidR="00CA0203" w:rsidRPr="00CA0203">
        <w:rPr>
          <w:rFonts w:ascii="Times New Roman" w:hAnsi="Times New Roman" w:cs="Times New Roman"/>
          <w:sz w:val="28"/>
          <w:szCs w:val="28"/>
          <w:lang w:val="kk-KZ"/>
        </w:rPr>
        <w:t>IP-Index</w:t>
      </w:r>
      <w:r w:rsidRPr="002F33D0">
        <w:rPr>
          <w:rFonts w:ascii="Times New Roman" w:hAnsi="Times New Roman" w:cs="Times New Roman"/>
          <w:sz w:val="28"/>
          <w:szCs w:val="28"/>
          <w:lang w:val="kk-KZ"/>
        </w:rPr>
        <w:t xml:space="preserve"> составляет 0,71, что соответствует высокому уровню инновационного потенциала. Таким </w:t>
      </w:r>
      <w:r w:rsidRPr="002F33D0">
        <w:rPr>
          <w:rFonts w:ascii="Times New Roman" w:hAnsi="Times New Roman" w:cs="Times New Roman"/>
          <w:sz w:val="28"/>
          <w:szCs w:val="28"/>
          <w:lang w:val="kk-KZ"/>
        </w:rPr>
        <w:lastRenderedPageBreak/>
        <w:t>образом, интегральная карта выполняет функцию итоговой интерпретации и служит основой для перехода от количественного измерения к проектному анализу.</w:t>
      </w:r>
    </w:p>
    <w:p w14:paraId="0F6039E6" w14:textId="77777777" w:rsidR="002F33D0" w:rsidRPr="002F33D0" w:rsidRDefault="002F33D0" w:rsidP="0052009A">
      <w:pPr>
        <w:spacing w:after="0" w:line="240" w:lineRule="auto"/>
        <w:ind w:firstLine="567"/>
        <w:jc w:val="both"/>
        <w:rPr>
          <w:rFonts w:ascii="Times New Roman" w:hAnsi="Times New Roman" w:cs="Times New Roman"/>
          <w:b/>
          <w:sz w:val="28"/>
          <w:szCs w:val="28"/>
        </w:rPr>
      </w:pPr>
      <w:r w:rsidRPr="002F33D0">
        <w:rPr>
          <w:rFonts w:ascii="Times New Roman" w:hAnsi="Times New Roman" w:cs="Times New Roman"/>
          <w:b/>
          <w:sz w:val="28"/>
          <w:szCs w:val="28"/>
        </w:rPr>
        <w:t>Выводы по разделу 3.2</w:t>
      </w:r>
    </w:p>
    <w:p w14:paraId="7999F695" w14:textId="77777777" w:rsidR="002F33D0" w:rsidRPr="002F33D0" w:rsidRDefault="002F33D0" w:rsidP="0052009A">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Проведённая в разделе разработка методики оценки и проектирования инновационного потенциала предпринимательских структур позволила сформировать комплексный инструментарий, объединяющий теоретико-методологическую концепцию ресурсно-процессного подхода с эмпирически обоснованными процедурами нормализации, агрегирования и эконометрического взвешивания. Основным результатом стал формализованный алгоритм расчёта интегрального индекса инновационного потенциала (IP-Index), основанный на стандартизированных β-коэффициентах, полученных по результатам SEM-моделирования и регрессионного анализа. Это обеспечивает объективность оценки, её статистическую воспроизводимость и прямую связь с выявленными во второй главе закономерностями формирования инновационного потенциала.</w:t>
      </w:r>
    </w:p>
    <w:p w14:paraId="22959DA7" w14:textId="77777777" w:rsidR="002F33D0" w:rsidRPr="002F33D0" w:rsidRDefault="002F33D0" w:rsidP="0052009A">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Разработанный алгоритм позволяет преобразовать первичные данные опросника в нормализованные показатели ресурсно-процессной матрицы, затем агрегировать их по каждому ресурсному компоненту и учесть их реальный вклад в инновационный потенциал через β-веса. В результате IP-Index отражает не только количественную обеспеченность предприятия ресурсами, но и их функциональную включённость в инновационные процессы, а также статистическую значимость влияния отдельных факторов. Нормирование и усреднение значений устраняют искажения исходных шкал, а эконометрическое взвешивание формирует научно обоснованный интегральный показатель, согласованный с концепцией проектирования инновационного потенциала.</w:t>
      </w:r>
    </w:p>
    <w:p w14:paraId="60CDDC51" w14:textId="6E70C20A" w:rsidR="002F33D0" w:rsidRPr="002F33D0" w:rsidRDefault="002F33D0" w:rsidP="0052009A">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Калибровка интерпретационных порогов IP-индекса была выполнена на основе результатов латентного кластерного анализа (LCA)</w:t>
      </w:r>
      <w:r w:rsidRPr="002F33D0">
        <w:rPr>
          <w:rFonts w:ascii="Times New Roman" w:hAnsi="Times New Roman" w:cs="Times New Roman"/>
          <w:sz w:val="28"/>
          <w:szCs w:val="28"/>
          <w:lang w:val="kk-KZ"/>
        </w:rPr>
        <w:t xml:space="preserve"> и структурного моделирования (</w:t>
      </w:r>
      <w:r w:rsidRPr="002F33D0">
        <w:rPr>
          <w:rFonts w:ascii="Times New Roman" w:hAnsi="Times New Roman" w:cs="Times New Roman"/>
          <w:sz w:val="28"/>
          <w:szCs w:val="28"/>
          <w:lang w:val="en-US"/>
        </w:rPr>
        <w:t>SEM</w:t>
      </w:r>
      <w:r w:rsidRPr="002F33D0">
        <w:rPr>
          <w:rFonts w:ascii="Times New Roman" w:hAnsi="Times New Roman" w:cs="Times New Roman"/>
          <w:sz w:val="28"/>
          <w:szCs w:val="28"/>
          <w:lang w:val="kk-KZ"/>
        </w:rPr>
        <w:t>)</w:t>
      </w:r>
      <w:r w:rsidRPr="002F33D0">
        <w:rPr>
          <w:rFonts w:ascii="Times New Roman" w:hAnsi="Times New Roman" w:cs="Times New Roman"/>
          <w:sz w:val="28"/>
          <w:szCs w:val="28"/>
        </w:rPr>
        <w:t xml:space="preserve">, что обеспечило эмпирическую верификацию границ уровней инновационного потенциала. Соотнесение диапазонов значений индекса с типологией выявленных кластеров позволило выделить пять уровней инновационной зрелости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от низкого до лидерского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и обеспечить содержательную интерпретацию получаемых количественных результатов.</w:t>
      </w:r>
    </w:p>
    <w:p w14:paraId="548A08A9" w14:textId="789CE115" w:rsidR="002F33D0" w:rsidRPr="002F33D0" w:rsidRDefault="002F33D0" w:rsidP="0052009A">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Предложенный механизм визуализации (ресурсный профиль, тепловая карта критических зон и интегральная карта инновационного потенциала) обеспечивает наглядное представление структуры инновационного потенциала, позволяет выявлять сильные стороны предприятия и диагностировать </w:t>
      </w:r>
      <w:r w:rsidRPr="002F33D0">
        <w:rPr>
          <w:rFonts w:ascii="Times New Roman" w:hAnsi="Times New Roman" w:cs="Times New Roman"/>
          <w:sz w:val="28"/>
          <w:szCs w:val="28"/>
          <w:lang w:val="kk-KZ"/>
        </w:rPr>
        <w:t>критические зоны</w:t>
      </w:r>
      <w:r w:rsidRPr="002F33D0">
        <w:rPr>
          <w:rFonts w:ascii="Times New Roman" w:hAnsi="Times New Roman" w:cs="Times New Roman"/>
          <w:sz w:val="28"/>
          <w:szCs w:val="28"/>
        </w:rPr>
        <w:t xml:space="preserve">, требующие приоритетного проектирования. Демонстрация работы инструмента на примере условного предприятия показала, что даже при высоком интегральном значении индекса возможно наличие критических зон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в данном случае по институциональной среде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которые ограничивают дальнейшее развитие инновационного потенциала и требуют адресных управленческих решений.</w:t>
      </w:r>
    </w:p>
    <w:p w14:paraId="4E7B1130" w14:textId="77777777" w:rsidR="002F33D0" w:rsidRPr="002F33D0" w:rsidRDefault="002F33D0" w:rsidP="0052009A">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lastRenderedPageBreak/>
        <w:t>Таким образом, разработанная методика формирует завершённый диагностико-аналитический контур: от сбора и нормализации первичных данных до количественной оценки инновационного потенциала и визуальной фиксации структурных дисбалансов. Это создаёт основу для перехода к проектной части инструментария, представленной в следующем разделе 3.3, где механизмы диагностики интегрируются с управленческими рекомендациями, формируя индивидуализированные траектории развития предприятий с учётом их масштаба, уровня цифровой зрелости и внешнеинституциональных условий.</w:t>
      </w:r>
    </w:p>
    <w:p w14:paraId="183C8F9F" w14:textId="77777777" w:rsidR="003D0751" w:rsidRDefault="003D0751" w:rsidP="0052009A">
      <w:pPr>
        <w:spacing w:after="0" w:line="240" w:lineRule="auto"/>
        <w:ind w:firstLine="567"/>
        <w:jc w:val="both"/>
        <w:rPr>
          <w:rFonts w:ascii="Times New Roman" w:hAnsi="Times New Roman" w:cs="Times New Roman"/>
          <w:b/>
          <w:sz w:val="28"/>
          <w:szCs w:val="28"/>
        </w:rPr>
      </w:pPr>
    </w:p>
    <w:p w14:paraId="140F2EE4" w14:textId="56DA8566" w:rsidR="002F33D0" w:rsidRPr="002F33D0" w:rsidRDefault="002F33D0" w:rsidP="0052009A">
      <w:pPr>
        <w:spacing w:after="0" w:line="240" w:lineRule="auto"/>
        <w:ind w:firstLine="567"/>
        <w:jc w:val="both"/>
        <w:rPr>
          <w:rFonts w:ascii="Times New Roman" w:hAnsi="Times New Roman" w:cs="Times New Roman"/>
          <w:b/>
          <w:sz w:val="28"/>
          <w:szCs w:val="28"/>
        </w:rPr>
      </w:pPr>
      <w:r w:rsidRPr="002F33D0">
        <w:rPr>
          <w:rFonts w:ascii="Times New Roman" w:hAnsi="Times New Roman" w:cs="Times New Roman"/>
          <w:b/>
          <w:sz w:val="28"/>
          <w:szCs w:val="28"/>
        </w:rPr>
        <w:t>3.3 Рекомендации по проектированию и управлению инновационным потенциалом предпринимательских структур Казахстана</w:t>
      </w:r>
    </w:p>
    <w:p w14:paraId="25869AD3" w14:textId="77777777" w:rsidR="002F33D0" w:rsidRPr="002F33D0" w:rsidRDefault="002F33D0" w:rsidP="0052009A">
      <w:pPr>
        <w:spacing w:after="0" w:line="240" w:lineRule="auto"/>
        <w:ind w:firstLine="567"/>
        <w:jc w:val="both"/>
        <w:rPr>
          <w:rFonts w:ascii="Times New Roman" w:hAnsi="Times New Roman" w:cs="Times New Roman"/>
          <w:b/>
          <w:sz w:val="28"/>
          <w:szCs w:val="28"/>
        </w:rPr>
      </w:pPr>
      <w:r w:rsidRPr="002F33D0">
        <w:rPr>
          <w:rFonts w:ascii="Times New Roman" w:hAnsi="Times New Roman" w:cs="Times New Roman"/>
          <w:b/>
          <w:sz w:val="28"/>
          <w:szCs w:val="28"/>
        </w:rPr>
        <w:t>3.3.1 Совершенствование институциональных механизмов поддержки инновационного потенциала МСП</w:t>
      </w:r>
    </w:p>
    <w:p w14:paraId="37EE5AC2" w14:textId="77777777" w:rsidR="002F33D0" w:rsidRPr="002F33D0" w:rsidRDefault="002F33D0" w:rsidP="0052009A">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Результаты проведённого исследования подтвердили, что для малых и средних предприятий Казахстана институциональная среда является ключевой критической зоной, ограничивающей реализацию инновационного потенциала. Логит-анализ участия МСП в программах государственной поддержки выявил устойчивое влияние факторов, связанных с высокими трансакционными издержками, информационной фрагментированностью, сложностью процедур и низкой предсказуемостью требований. Несмотря на то, что институциональная среда демонстрирует относительно умеренный вес в структуре инновационного потенциала (β = 0,363), её низкая оценка по нормализованным данным (0,40 в диагностическом примере) свидетельствует о системном характере барьеров, препятствующих доступу МСП к существующим инструментам развития.</w:t>
      </w:r>
    </w:p>
    <w:p w14:paraId="4E1C909A" w14:textId="387326E7" w:rsidR="002F33D0" w:rsidRPr="002F33D0" w:rsidRDefault="002F33D0" w:rsidP="0052009A">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Таким образом, институциональный компонент обладает двойственной ролью: с одной стороны, он не является основным драйвером инноваций, но с другой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его недоразвитость существенно снижает эффективность внутренних ресурсов предприятия. Ликвидация институциональных ограничений становится необходимым условием перехода от локальных инновационных инициатив к устойчивой инновационной активности МСП.</w:t>
      </w:r>
    </w:p>
    <w:p w14:paraId="38E452C4" w14:textId="65DF2F1A" w:rsidR="002F33D0" w:rsidRDefault="002F33D0" w:rsidP="0052009A">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Международная практика подтверждает, что повышение инновационной активности малых предприятий невозможно без перехода от модели «пассивного субсидирования» к модели системного сопровождения предприятия в инновационном цикле. Программы SBIR/STTR (США) демонстрируют, что сочетание грантов начального уровня, экспертного сопровождения, акселерационных модулей и требований к коммерциализации создает самоподдерживающийся механизм инновационного развития</w:t>
      </w:r>
      <w:r w:rsidR="00B81F54">
        <w:rPr>
          <w:rFonts w:ascii="Times New Roman" w:hAnsi="Times New Roman" w:cs="Times New Roman"/>
          <w:sz w:val="28"/>
          <w:szCs w:val="28"/>
          <w:lang w:val="kk-KZ"/>
        </w:rPr>
        <w:t xml:space="preserve"> </w:t>
      </w:r>
      <w:r w:rsidR="00B81F54">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{"citationID":"a11lq1j8098","properties":{"formattedCitation":"[168,235,236]","plainCitation":"[168,235,236]","noteIndex":0},"citationItems":[{"id":311,"uris":["http://zotero.org/users/16887523/items/4K4WLZVL"],"itemData":{"id":311,"type":"article-journal","abstract":"This paper selects the A-share non-financial listed companies in China from 2007 to 2018 as the research object to study the impact of science and technology policy on enterprise innovation and its influence mechanism, and further explore the effectiveness boundary of science and technology policy. The results show that there is a significant positive correlation between science and technology policy and executive compensation; there is a significant positive correlation between technology policy and enterprise innovation; there is a significant positive correlation between science and technology policy and enterprise innovation; executive compensation plays a partial intermediary effect between technology policy and enterprise innovation. Further research on the effectiveness boundary of science and technology policy shows that: first, management power can strengthen the positive correlation between science and technology policy and executive compensation; second, regional factors have a greater impact on the relationship between science and technology policy and enterprise innovation. The ethnic regions and western regions with poor economic development level weaken the positive incentive effect of science and technology policies on enterprise innovation.","container-title":"Journal of Frontier in Economic and Management Research","DOI":"10.63944/94j.JFEMR","ISSN":"3079-465X","issue":"1","journalAbbreviation":"JFEMR","license":"https://creativecommons.org/licenses/by/4.0","page":"185-204","source":"DOI.org (Crossref)","title":"Why are executives interested in technology policy?——Research on the mechanism of science and technology policy affecting enterprise innovation","title-short":"&lt;b&gt;&lt;i&gt;Why are executives interested in technology policy?&lt;/i&gt;&lt;/b&gt;","URL":"http://ojs.iajournals.cn/index.php/JFEMR/article/view/188","volume":"1","author":[{"family":"Liu","given":"Weiping"},{"family":"Yang","given":"Shixin"}],"accessed":{"date-parts":[["2025",11,30]]},"issued":{"date-parts":[["2025",9,15]]}}},{"id":312,"uris":["http://zotero.org/users/16887523/items/C2TP4N2P"],"itemData":{"id":312,"type":"article-journal","abstract":"India has emerged as one of the fastest-growing economies globally, with Small and Medium Enterprises (SMEs) playing a critical role in this expansion. This study investigates the role of financial institutions in supporting entrepreneurship and business growth among SMEs in South India. It specifically examines the challenges faced by entrepreneurs in accessing finance and evaluates the effectiveness of financial institutions in mitigating these challenges. A sample of 247 SMEs from four South Indian states was selected to analyze the level of institutional support and the impact of financial interventions on business development. The findings reveal that limited access to timely and adequate credit remains a significant barrier to SME growth. However, the study also highlights the proactive role of financial institutions in offering tailored credit schemes, technical assistance, and capacity-building programs. Furthermore, government policies, public-private collaborations, and innovative financial products have been identified as key enablers of a supportive entrepreneurial ecosystem. The study underscores the importance of financial literacy programs and awareness initiatives in empowering entrepreneurs to make informed financial decisions. Overall, this research provides actionable insights for policymakers and financial institutions to strengthen SME development and promote inclusive economic growth in South India.","container-title":"International Journal of Accounting and Economics Studies","DOI":"10.14419/25aa9f68","ISSN":"2309-4508","issue":"5","journalAbbreviation":"IJAES","page":"596-607","source":"DOI.org (Crossref)","title":"Financial Institutions And SME Growth In South India through Access, Innovation, And Policy Support","URL":"https://www.sciencepubco.com/index.php/IJAES/article/view/36116","volume":"12","author":[{"family":"Vijayalakshmi","given":"T."},{"family":"Kunel","given":"Kishore"},{"family":"Madeshwaren","given":"Vairavel"},{"family":"Manju","given":"K.V."}],"accessed":{"date-parts":[["2025",11,30]]},"issued":{"date-parts":[["2025",9,14]]}}},{"id":236,"uris":["http://zotero.org/users/16887523/items/TCXKYZLE"],"itemData":{"id":236,"type":"document","language":"English","title":"SBIR &amp; STTR Programs Overview","URL":"https://www.darpa.mil/work-with-us/communities/small-business/sbir-sttr-overview?utm_source=chatgpt.com","author":[{"literal":"Defense Advanced Research Projects Agency (DARPA)"}]}}],"schema":"https://github.com/citation-style-language/schema/raw/master/csl-citation.json"} </w:instrText>
      </w:r>
      <w:r w:rsidR="00B81F54">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[168,235,236]</w:t>
      </w:r>
      <w:r w:rsidR="00B81F54">
        <w:rPr>
          <w:rFonts w:ascii="Times New Roman" w:hAnsi="Times New Roman" w:cs="Times New Roman"/>
          <w:sz w:val="28"/>
          <w:szCs w:val="28"/>
          <w:lang w:val="kk-KZ"/>
        </w:rPr>
        <w:fldChar w:fldCharType="end"/>
      </w:r>
      <w:r w:rsidRPr="00617838">
        <w:rPr>
          <w:rFonts w:ascii="Times New Roman" w:hAnsi="Times New Roman" w:cs="Times New Roman"/>
          <w:sz w:val="28"/>
          <w:szCs w:val="28"/>
        </w:rPr>
        <w:t xml:space="preserve">. </w:t>
      </w:r>
      <w:r w:rsidRPr="002F33D0">
        <w:rPr>
          <w:rFonts w:ascii="Times New Roman" w:hAnsi="Times New Roman" w:cs="Times New Roman"/>
          <w:sz w:val="28"/>
          <w:szCs w:val="28"/>
        </w:rPr>
        <w:t xml:space="preserve">Аналогично, Enterprise Singapore реализует модель «сервисной поддержки», предусматривающую не столько прямое финансирование, сколько сокращение бюрократических процедур, единые цифровые сервисы, </w:t>
      </w:r>
      <w:r w:rsidRPr="002F33D0">
        <w:rPr>
          <w:rFonts w:ascii="Times New Roman" w:hAnsi="Times New Roman" w:cs="Times New Roman"/>
          <w:sz w:val="28"/>
          <w:szCs w:val="28"/>
        </w:rPr>
        <w:lastRenderedPageBreak/>
        <w:t>постоянную консультационную помощь, оценку цифровой зрелости и системную работу с компетенциями</w:t>
      </w:r>
      <w:r w:rsidR="00B81F54">
        <w:rPr>
          <w:rFonts w:ascii="Times New Roman" w:hAnsi="Times New Roman" w:cs="Times New Roman"/>
          <w:sz w:val="28"/>
          <w:szCs w:val="28"/>
          <w:lang w:val="kk-KZ"/>
        </w:rPr>
        <w:t xml:space="preserve"> </w:t>
      </w:r>
      <w:r w:rsidR="00B81F54">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{"citationID":"a1idse5jfd2","properties":{"formattedCitation":"[157,237]","plainCitation":"[157,237]","noteIndex":0},"citationItems":[{"id":314,"uris":["http://zotero.org/users/16887523/items/KCCHY55J"],"itemData":{"id":314,"type":"article-journal","abstract":"Purpose\n              Business ties play a key role in small firms’ innovation. However, limited studies have addressed how business ties contribute to radical innovation in small firms. This study investigates the mediating role of effectuation in utilizing business ties in radical innovation by small firms. It also examines how competitive aggressiveness moderates the focal association.\n            \n            \n              Design/methodology/approach\n              Using survey data from 383 Iranian small firms, we employed hierarchical regression analysis and structural equation modeling to test the hypotheses.\n            \n            \n              Findings\n              Our findings indicate that experimentation and flexibility enable small firms to leverage their business ties for radical innovation, whereas affordable loss and pre-commitment do not mediate the focal association. The study also found that competitive aggressiveness accentuates the positive impact of small firms’ business ties.\n            \n            \n              Originality/value\n              This study enhances our understanding of how business ties influence radical innovation in small firms while emphasizing the importance of effectual mechanisms and competitive aggressiveness.","container-title":"Marketing Intelligence &amp; Planning","DOI":"10.1108/MIP-07-2024-0480","ISSN":"0263-4503, 1758-8049","language":"en","page":"1-23","source":"DOI.org (Crossref)","title":"Business ties and effectuation for radical innovation in small firms: the moderating role of competitive aggressiveness","title-short":"Business ties and effectuation for radical innovation in small firms","URL":"https://www.emerald.com/mip/article/doi/10.1108/MIP-07-2024-0480/1276253/Business-ties-and-effectuation-for-radical","author":[{"family":"Karami","given":"Masoud"},{"family":"Hossain","given":"Mokter"},{"family":"Hashemi","given":"Omid"},{"family":"Mehrara","given":"Nikan"}],"accessed":{"date-parts":[["2025",11,30]]},"issued":{"date-parts":[["2025",8,25]]}}},{"id":224,"uris":["http://zotero.org/users/16887523/items/2I9LEMIL"],"itemData":{"id":224,"type":"document","title":"The Smart Nation","URL":"https://www.smartnation.gov.sg/about/our-vision/smart-nation-vision/?utm_source=chatgpt.com","author":[{"literal":"Singapore Government Agency"}]}}],"schema":"https://github.com/citation-style-language/schema/raw/master/csl-citation.json"} </w:instrText>
      </w:r>
      <w:r w:rsidR="00B81F54">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[157,237]</w:t>
      </w:r>
      <w:r w:rsidR="00B81F54">
        <w:rPr>
          <w:rFonts w:ascii="Times New Roman" w:hAnsi="Times New Roman" w:cs="Times New Roman"/>
          <w:sz w:val="28"/>
          <w:szCs w:val="28"/>
          <w:lang w:val="kk-KZ"/>
        </w:rPr>
        <w:fldChar w:fldCharType="end"/>
      </w:r>
      <w:r w:rsidRPr="002F33D0">
        <w:rPr>
          <w:rFonts w:ascii="Times New Roman" w:hAnsi="Times New Roman" w:cs="Times New Roman"/>
          <w:sz w:val="28"/>
          <w:szCs w:val="28"/>
        </w:rPr>
        <w:t>.</w:t>
      </w:r>
    </w:p>
    <w:p w14:paraId="16810070" w14:textId="0920C968" w:rsidR="00CB7B36" w:rsidRPr="005129E8" w:rsidRDefault="00CB7B36" w:rsidP="0052009A">
      <w:pPr>
        <w:spacing w:after="0" w:line="240" w:lineRule="auto"/>
        <w:ind w:firstLine="567"/>
        <w:jc w:val="both"/>
        <w:rPr>
          <w:rFonts w:ascii="Times New Roman" w:hAnsi="Times New Roman" w:cs="Times New Roman"/>
          <w:sz w:val="28"/>
          <w:szCs w:val="28"/>
        </w:rPr>
      </w:pPr>
      <w:r w:rsidRPr="005129E8">
        <w:rPr>
          <w:rFonts w:ascii="Times New Roman" w:hAnsi="Times New Roman" w:cs="Times New Roman"/>
          <w:sz w:val="28"/>
          <w:szCs w:val="28"/>
        </w:rPr>
        <w:t>Несмотря на наличие программ поддержки, низкая вероятность вовлечения малых предпринимательских структур требует не только упрощения процедур, но и создания комплексной экосистемы сопровождения. Для усиления адресности мер поддержки в условиях цифровой трансформации необходимо внедрение консультационно-образовательных треков для МСП и обеспечение их доступа к международным стажировкам. Кроме того, в контексте устойчивого развития социальная ответственность бизнеса должна рассматриваться как инновация, поскольку она представляет собой прогрессивный подход к деятельности, учитывающий социальные и экологические аспекты</w:t>
      </w:r>
      <w:r w:rsidRPr="005129E8">
        <w:rPr>
          <w:rFonts w:ascii="Times New Roman" w:hAnsi="Times New Roman" w:cs="Times New Roman"/>
          <w:sz w:val="28"/>
          <w:szCs w:val="28"/>
          <w:lang w:val="kk-KZ"/>
        </w:rPr>
        <w:t xml:space="preserve"> </w:t>
      </w:r>
      <w:r w:rsidRPr="005129E8">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{"citationID":"a279rvmh905","properties":{"formattedCitation":"[199]","plainCitation":"[199]","noteIndex":0},"citationItems":[{"id":372,"uris":["http://zotero.org/users/16887523/items/GRHTZJIM"],"itemData":{"id":372,"type":"article-journal","container-title":"Montenegrin Journal of Economics","DOI":"https://doi.org/10.14254/1800-5845/2025.21-1.12","issue":"1","language":"en","license":"CC0 1.0 Universal Public Domain Dedication","page":"157-168","source":"Zotero","title":"Activating the Social Responsibility of Business Structures in the Context of Transition 4.0 as a Condition for Effective Economic Management","volume":"21","author":[{"family":"Suieubayeva","given":"Saltanat"},{"family":"Aimurzina","given":"Baglan"},{"family":"Kamenova","given":"Mazken"},{"family":"Karipova","given":"Ainur"},{"family":"Kozlova","given":"Marina"},{"family":"Sadenova","given":"Assel"}],"issued":{"date-parts":[["2025"]]}}}],"schema":"https://github.com/citation-style-language/schema/raw/master/csl-citation.json"} </w:instrText>
      </w:r>
      <w:r w:rsidRPr="005129E8">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[199]</w:t>
      </w:r>
      <w:r w:rsidRPr="005129E8">
        <w:rPr>
          <w:rFonts w:ascii="Times New Roman" w:hAnsi="Times New Roman" w:cs="Times New Roman"/>
          <w:sz w:val="28"/>
          <w:szCs w:val="28"/>
          <w:lang w:val="kk-KZ"/>
        </w:rPr>
        <w:fldChar w:fldCharType="end"/>
      </w:r>
      <w:r w:rsidRPr="005129E8">
        <w:rPr>
          <w:rFonts w:ascii="Times New Roman" w:hAnsi="Times New Roman" w:cs="Times New Roman"/>
          <w:sz w:val="28"/>
          <w:szCs w:val="28"/>
        </w:rPr>
        <w:t>. Анализ подтвердил, что внедрение систем управления (OHSAS 18001, ISO 14001, SA 8000) становится частью институционального развития.</w:t>
      </w:r>
    </w:p>
    <w:p w14:paraId="2A47F57B" w14:textId="23CCA0F3" w:rsidR="002F33D0" w:rsidRPr="002F33D0" w:rsidRDefault="002F33D0" w:rsidP="0052009A">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Для Казахстана практическая значимость этих моделей заключается в необходимости изменения принципов государственной поддержки МСП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от разрозненных финансовых мер к формированию целостной инновационной экосистемы сопровождения</w:t>
      </w:r>
      <w:r w:rsidR="00606669">
        <w:rPr>
          <w:rFonts w:ascii="Times New Roman" w:hAnsi="Times New Roman" w:cs="Times New Roman"/>
          <w:sz w:val="28"/>
          <w:szCs w:val="28"/>
          <w:lang w:val="kk-KZ"/>
        </w:rPr>
        <w:t xml:space="preserve"> </w:t>
      </w:r>
      <w:r w:rsidR="00606669">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{"citationID":"a24pjrug19k","properties":{"formattedCitation":"[238\\uc0\\u8211{}241]","plainCitation":"[238–241]","noteIndex":0},"citationItems":[{"id":315,"uris":["http://zotero.org/users/16887523/items/IHYMYZYH"],"itemData":{"id":315,"type":"article-journal","abstract":"In conditions of geopolitical instability, there is no time for a gradual transition, our country needs clear pushes for development, namely the development of smart technologies that can be stimulated by the support of small business entities. To address this issue, a comprehensive examination of recent changes in foreign models of financial support for innovation is necessary.  Numerous studies acknowledge the pivotal role of entrepreneurship in stimulating innovation, economic growth, and overall well-being, as well as its influence on job creation. Over time, researchers have presented varying perspectives on the relationship between economic development and entrepreneurship. It is widely recognized that innovation serves as a driving force behind the economic progress of nations, positioning innovative entrepreneurship as a crucial factor in contemporary economic development.  This article aims to analyze the state's role in fostering innovative entrepreneurship for the economic advancement of Kazakhstan. Taking into account the multichannel nature of both economic development and innovative entrepreneurship, the article presented their vision of the relationship between the above strategically important indicators, reflecting individual characteristics. To achieve this objective, the article employs a model that explores the impact of new or young innovative firms on economic growth rates, thus aligning with the literature review and the stated purpose of the study.","container-title":"ECONOMIC SERIES OF THE BULLETIN OF THE L.N. GUMILYOV ENU","DOI":"10.32523/2789-4320-2023-3-279-290","ISSN":"27894320, 27894339","issue":"3","journalAbbreviation":"ECONOMIC SERIES OF THE BULLETIN OF THE L.N. GUMILYOV ENU","page":"279-290","source":"DOI.org (Crossref)","title":"The impact of state support on the innovative activities of small and medium businesses in Kazakhstan","URL":"https://bulecon.enu.kz/index.php/main/article/view/651/512","author":[{"family":"Seisenbayeva","given":"A."},{"family":"Imramziyeva","given":"M."},{"family":"Maukenova","given":"A."}],"accessed":{"date-parts":[["2025",11,30]]},"issued":{"date-parts":[["2023"]]}}},{"id":317,"uris":["http://zotero.org/users/16887523/items/ASTH3UKE"],"itemData":{"id":317,"type":"article-journal","container-title":"Public Administration and Civil Service","DOI":"https://doi.org/10.52123/1994-2370-2025-1384","issue":"2","title":"INSTRUMENTS  FOR  GOVERNMENT  SUPPORT  FOR  INNOVATION:  INTERNATIONAL EXPERIENCE AND OPTIONS FOR KAZAKHSTAN","volume":"93","author":[{"family":"Sadykova","given":"Kuralay"},{"family":"Barlybayeva","given":"Aliya"},{"family":"Nemec","given":"Juraj"}],"issued":{"date-parts":[["2025"]]}}},{"id":318,"uris":["http://zotero.org/users/16887523/items/KJB3I9PZ"],"itemData":{"id":318,"type":"article-journal","abstract":"Innovations have recently become one of the indicators of the commercial success of the companies. This phenomenon is taking place due to a rapid development of new technologies and their effect on competition between the companies. The main purpose of the present paper is to investigate the current state of the innovation activity and innovation management among small and medium enterprises of the Republic of Kazakhstan. To achieve the aim of the paper, a qualitative analysis of interviewing 100 SMEs representatives has been conducted. The principal findings indicate of the following commonalities. The level of revenue and the innovation activity were not directly connected for the respondent businesses. The representatives had limited understanding of the innovation types and areas of application. After the briefly educating the respondents, the authors have found significant changes in attitudes towards investing into innovations. The value of the present paper is connected with the practical significance of increasing the innovational activity of the SMEs of Kazakhstan. Moreover, the study can be replicated for other developing Central Asian countries to find out whether the phenomenon is connected with regional features. As for the practical implications, the paper can be used to develop governmental and private educational programs as a part of supporting the SME activity or a part of vocational training.","container-title":"ECONOMIC Series of the Bulletin of the L.N.Gumilyov ENU","DOI":"10.32523/2789-4320-2024-2-201-216","ISSN":"27894320, 27894339","issue":"2","journalAbbreviation":"bulecon","page":"201-216","source":"DOI.org (Crossref)","title":"State of the innovation investment and innovation management in SMES of Kazakhstan","URL":"https://bulecon.enu.kz/index.php/main/article/view/958","author":[{"family":"Mukhiyayeva","given":"D."},{"family":"Kabikenov","given":"A."},{"family":"Nurkenova","given":"M."}],"accessed":{"date-parts":[["2025",11,30]]},"issued":{"date-parts":[["2024",6,28]]}}},{"id":324,"uris":["http://zotero.org/users/16887523/items/XCK7WCKK"],"itemData":{"id":324,"type":"article-journal","abstract":"Статья посвящена комплексному анализу проблем и перспектив развития малого бизнеса в Казахстане в условиях постковидной реальности, характеризующейся повышенной неопределенностью внешней среды. В работе подробно рассматриваются ключевые вызовы, с которыми сталкиваются казахстанские предприниматели в этот период, включая экономическую нестабильность, трансформацию потребительского поведения, усиление конкуренции на рынке, ограниченный доступ к финансовым ресурсам и дефицит квалифицированных кадров. В статье предлагается широкий спектр направлений и конкретных мер по оптимизации управления малым бизнесом в условиях неопределенности. Особое место в статье отводится вопросам цифровой трансформации малого бизнеса, которая рассматривается как один из ключевых факторов повышения конкурентоспособности и адаптации к новым условиям. Подчеркивается необходимость поэтапного внедрения цифровых технологий, начиная с простых CRM-систем и заканчивая сложными платформами для автоматизации маркетинга и управления продажами. В статье также подробно анализируется роль и значение государственной поддержки малого бизнеса в Казахстане в постковидный период. Рассматриваются существующие программы финансовой помощи, налоговые льготы, гранты и другие меры поддержки, которые могут быть использованы предпринимателями для развития своего бизнеса. На основе анализа статистических данных о роли малого бизнеса в экономике Казахстана, в статье формулируются конкретные рекомендации для предпринимателей по оптимизации управления своим бизнесом в условиях неопределенности.","container-title":"Вестник Торайгыров университета. Экономическая серия","DOI":"10.48081/NSHH8219","ISSN":"27103552","issue":"3","journalAbbreviation":"BTOUEcon","page":"433-453","source":"DOI.org (Crossref)","title":"ОПТИМИЗАЦИЯ УПРАВЛЕНИЯ МАЛЫМ БИЗНЕСОМ В КАЗАХСТАНЕ В ПОСТКОВИДНЫЙ ПЕРИОД","URL":"https://vestnik-economic.tou.edu.kz/storage/articles/98746158a8d6f3415e8df99ec84c6165/Смагулов_Р._С.,_Бордияну_И._В.,_Кайгородцев_А._А.,.pdf","author":[{"family":"Смагулов","given":"Р.С."},{"family":"Бордияну","given":"И.В."},{"family":"Кайгородцев","given":"А.А."},{"family":"Браувайлер","given":"Г.К."},{"family":"Цирклер","given":"Б."}],"accessed":{"date-parts":[["2025",11,30]]},"issued":{"date-parts":[["2025",9,30]]}}}],"schema":"https://github.com/citation-style-language/schema/raw/master/csl-citation.json"} </w:instrText>
      </w:r>
      <w:r w:rsidR="00606669">
        <w:rPr>
          <w:rFonts w:ascii="Times New Roman" w:hAnsi="Times New Roman" w:cs="Times New Roman"/>
          <w:sz w:val="28"/>
          <w:szCs w:val="28"/>
          <w:lang w:val="kk-KZ"/>
        </w:rPr>
        <w:fldChar w:fldCharType="separate"/>
      </w:r>
      <w:r w:rsidR="00AE44BA" w:rsidRPr="00AE44BA">
        <w:rPr>
          <w:rFonts w:ascii="Times New Roman" w:hAnsi="Times New Roman" w:cs="Times New Roman"/>
          <w:sz w:val="28"/>
          <w:szCs w:val="24"/>
        </w:rPr>
        <w:t>[238–241]</w:t>
      </w:r>
      <w:r w:rsidR="00606669">
        <w:rPr>
          <w:rFonts w:ascii="Times New Roman" w:hAnsi="Times New Roman" w:cs="Times New Roman"/>
          <w:sz w:val="28"/>
          <w:szCs w:val="28"/>
          <w:lang w:val="kk-KZ"/>
        </w:rPr>
        <w:fldChar w:fldCharType="end"/>
      </w:r>
      <w:r w:rsidRPr="00617838">
        <w:rPr>
          <w:rFonts w:ascii="Times New Roman" w:hAnsi="Times New Roman" w:cs="Times New Roman"/>
          <w:sz w:val="28"/>
          <w:szCs w:val="28"/>
          <w:lang w:val="kk-KZ"/>
        </w:rPr>
        <w:t xml:space="preserve">. </w:t>
      </w:r>
      <w:r w:rsidRPr="002F33D0">
        <w:rPr>
          <w:rFonts w:ascii="Times New Roman" w:hAnsi="Times New Roman" w:cs="Times New Roman"/>
          <w:sz w:val="28"/>
          <w:szCs w:val="28"/>
        </w:rPr>
        <w:t>На основе результатов исследования предлагается комплексная система институциональных решений, направленная на выравнивание условий инновационного развития и снижение трансакционных издержек.</w:t>
      </w:r>
    </w:p>
    <w:p w14:paraId="25A14614" w14:textId="1744C55C" w:rsidR="002F33D0" w:rsidRPr="002F33D0" w:rsidRDefault="002F33D0" w:rsidP="0052009A">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Во-первых, требуется кардинальное упрощение процедур участия МСП в программах поддержки за счёт цифровизации всех этапов: подачи заявки, оценки соответствия, прохождения конкурсных процедур, отчётности и получения обратной связи</w:t>
      </w:r>
      <w:r w:rsidR="00F81FAD">
        <w:rPr>
          <w:rFonts w:ascii="Times New Roman" w:hAnsi="Times New Roman" w:cs="Times New Roman"/>
          <w:sz w:val="28"/>
          <w:szCs w:val="28"/>
          <w:lang w:val="kk-KZ"/>
        </w:rPr>
        <w:t xml:space="preserve"> </w:t>
      </w:r>
      <w:r w:rsidR="00F81FAD">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20ntb7ouah","properties":{"formattedCitation":"[242\\uc0\\u8211{}245]","plainCitation":"[242–245]","noteIndex":0},"citationItems":[{"id":319,"uris":["http://zotero.org/users/16887523/items/DDRNSKCD"],"itemData":{"id":319,"type":"article","DOI":"10.2139/ssrn.4590210","publisher":"SSRN","source":"DOI.org (Crossref)","title":"More Money, More Digital? The Impact of State Grants on Digital Transformation in Small and Medium-Sized Enterprises","title-short":"More Money, More Digital?","URL":"https://www.ssrn.com/abstract=4590210","author":[{"family":"Seitz","given":"Jasmin"},{"family":"Doblinger","given":"Claudia"}],"accessed":{"date-parts":[["2025",11,30]]},"issued":{"date-parts":[["2023"]]}}},{"id":320,"uris":["http://zotero.org/users/16887523/items/4474GGHP"],"itemData":{"id":320,"type":"article-journal","container-title":"Journal of Sustainable Business","DOI":"https://doi.org/10.1186/s40991-025-00121-6","issue":"11","page":"1-17","title":"Digital business process integration and sustainability among smes: the mediating role of operational efficiency and the moderating role of credit access","volume":"10","author":[{"family":"Bindeeba","given":"Dedrix Stephenson"},{"family":"Atuhaire","given":"Susan"},{"family":"Bakashaba","given":"Rennie"},{"family":"Tukamushaba","given":"Eddy Kurobuza"}],"issued":{"date-parts":[["2025"]]}}},{"id":321,"uris":["http://zotero.org/users/16887523/items/WWHEECD9"],"itemData":{"id":321,"type":"article-journal","container-title":"Journal of Public Administration","DOI":"10.53973/jopa.2023.58.2.a8","ISSN":"0036-0767","issue":"2","journalAbbreviation":"Journal of Public Administration","language":"en","page":"337-350","source":"DOI.org (Crossref)","title":"Assessing the Impact of Digitalisation on SME Policy: A Comparative Analysis of Approaches to Support the Manufacturing Sector in the Digital Age – South Africa","title-short":"Assessing the Impact of Digitalisation on SME Policy","URL":"http://journals.co.za/doi/10.53973/jopa.2023.58.2.a8","volume":"58","author":[{"family":"Willie","given":"Michael M"},{"family":"Mbongwe","given":"Nokonwaba A"}],"accessed":{"date-parts":[["2025",11,30]]},"issued":{"date-parts":[["2023",6]]}}},{"id":322,"uris":["http://zotero.org/users/16887523/items/59TLRPM3"],"itemData":{"id":322,"type":"article-journal","container-title":"Heliyon","DOI":"10.1016/j.heliyon.2024.e30586","ISSN":"24058440","issue":"9","journalAbbreviation":"Heliyon","language":"en","page":"e30586","source":"DOI.org (Crossref)","title":"Dynamics in digital finance and its impact on SME financing","URL":"https://linkinghub.elsevier.com/retrieve/pii/S2405844024066179","volume":"10","author":[{"family":"Jun","given":"Wang"},{"family":"Ran","given":"Xin Qian"}],"accessed":{"date-parts":[["2025",11,30]]},"issued":{"date-parts":[["2024",5]]}}}],"schema":"https://github.com/citation-style-language/schema/raw/master/csl-citation.json"} </w:instrText>
      </w:r>
      <w:r w:rsidR="00F81FAD">
        <w:rPr>
          <w:rFonts w:ascii="Times New Roman" w:hAnsi="Times New Roman" w:cs="Times New Roman"/>
          <w:sz w:val="28"/>
          <w:szCs w:val="28"/>
          <w:lang w:val="kk-KZ"/>
        </w:rPr>
        <w:fldChar w:fldCharType="separate"/>
      </w:r>
      <w:r w:rsidR="00AE44BA" w:rsidRPr="00AE44BA">
        <w:rPr>
          <w:rFonts w:ascii="Times New Roman" w:hAnsi="Times New Roman" w:cs="Times New Roman"/>
          <w:sz w:val="28"/>
          <w:szCs w:val="24"/>
        </w:rPr>
        <w:t>[242–245]</w:t>
      </w:r>
      <w:r w:rsidR="00F81FAD">
        <w:rPr>
          <w:rFonts w:ascii="Times New Roman" w:hAnsi="Times New Roman" w:cs="Times New Roman"/>
          <w:sz w:val="28"/>
          <w:szCs w:val="28"/>
          <w:lang w:val="kk-KZ"/>
        </w:rPr>
        <w:fldChar w:fldCharType="end"/>
      </w:r>
      <w:r w:rsidRPr="002F33D0">
        <w:rPr>
          <w:rFonts w:ascii="Times New Roman" w:hAnsi="Times New Roman" w:cs="Times New Roman"/>
          <w:sz w:val="28"/>
          <w:szCs w:val="28"/>
        </w:rPr>
        <w:t>. Формирование «единой цифровой среды поддержки МСП», интегрированной с информационными системами НПП «Атамекен», Фонда «Даму» и QazInnovations, позволит устранить неоднократное дублирование документов и сократить административную нагрузку на предприятия.</w:t>
      </w:r>
    </w:p>
    <w:p w14:paraId="370A314D" w14:textId="66C7FB3B" w:rsidR="002F33D0" w:rsidRPr="002F33D0" w:rsidRDefault="002F33D0" w:rsidP="0052009A">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Во-вторых, целесообразно внедрение дифференцированных требований к МСП по объёму документации, срокам рассмотрения заявок и уровню необходимых подтверждающих материалов. В отличие от крупных предприятий, для которых формализованные отчётные процедуры являются рутинной практикой, МСП нуждаются в гибких регуляторных режимах, основанных на принципах пропорциональности и риск-ориентированного подхода</w:t>
      </w:r>
      <w:r w:rsidR="000F023A">
        <w:rPr>
          <w:rFonts w:ascii="Times New Roman" w:hAnsi="Times New Roman" w:cs="Times New Roman"/>
          <w:sz w:val="28"/>
          <w:szCs w:val="28"/>
          <w:lang w:val="kk-KZ"/>
        </w:rPr>
        <w:t xml:space="preserve"> </w:t>
      </w:r>
      <w:r w:rsidR="000F023A">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{"citationID":"ahrqh71t0i","properties":{"formattedCitation":"[246,247]","plainCitation":"[246,247]","noteIndex":0},"citationItems":[{"id":325,"uris":["http://zotero.org/users/16887523/items/NNGKR7AS"],"itemData":{"id":325,"type":"article-journal","abstract":"Abstract\n            The effects of regulations on small and medium‐sized enterprises (SMEs) have garnered significant political attention internationally, yet, in the academic literature, these effects remain contested. This article presents findings from a systematic literature review of qualitative evidence on the effects of regulation on SMEs. It sets out the strengths of qualitative approaches in relation to more prominent and influential quantitative approaches. It conducts a thematic synthesis of the qualitative research to develop a conceptual framework that provides a processual, embedded understanding of the effects of regulations on SMEs. The conceptual framework highlights four key, interconnected processes: identification–interpretation; strategization; negotiation; and adaptation. This conceptual framework generates insights into dynamic and potentially indirect effects of regulations in relation to a complex array of influences external to and within the business. On the basis of these insights a new research agenda is proposed.","container-title":"International Journal of Management Reviews","DOI":"10.1111/ijmr.12191","ISSN":"1460-8545, 1468-2370","issue":"3","journalAbbreviation":"Int J Management Reviews","language":"en","page":"294-316","source":"DOI.org (Crossref)","title":"How Do Regulations Affect SMEs? A Review of the Qualitative Evidence and a Research Agenda","title-short":"How Do Regulations Affect SMEs?","URL":"https://onlinelibrary.wiley.com/doi/10.1111/ijmr.12191","volume":"21","author":[{"family":"Mallett","given":"Oliver"},{"family":"Wapshott","given":"Robert"},{"family":"Vorley","given":"Tim"}],"accessed":{"date-parts":[["2025",11,30]]},"issued":{"date-parts":[["2019",7]]}}},{"id":327,"uris":["http://zotero.org/users/16887523/items/YSK2T7WW"],"itemData":{"id":327,"type":"book","collection-title":"Financing SMEs and Entrepreneurs","DOI":"10.1787/fa521246-en","ISBN":"978-92-64-81119-5","language":"en","publisher":"OECD Publishing","source":"DOI.org (Crossref)","title":"Financing SMEs and Entrepreneurs 2024: An OECD Scoreboard","title-short":"Financing SMEs and Entrepreneurs 2024","URL":"https://www.oecd.org/en/publications/financing-smes-and-entrepreneurs-2024_fa521246-en.html","author":[{"literal":"OECD"}],"accessed":{"date-parts":[["2025",11,30]]},"issued":{"date-parts":[["2024",3,13]]}}}],"schema":"https://github.com/citation-style-language/schema/raw/master/csl-citation.json"} </w:instrText>
      </w:r>
      <w:r w:rsidR="000F023A">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[246,247]</w:t>
      </w:r>
      <w:r w:rsidR="000F023A">
        <w:rPr>
          <w:rFonts w:ascii="Times New Roman" w:hAnsi="Times New Roman" w:cs="Times New Roman"/>
          <w:sz w:val="28"/>
          <w:szCs w:val="28"/>
          <w:lang w:val="kk-KZ"/>
        </w:rPr>
        <w:fldChar w:fldCharType="end"/>
      </w:r>
      <w:r w:rsidRPr="002F33D0">
        <w:rPr>
          <w:rFonts w:ascii="Times New Roman" w:hAnsi="Times New Roman" w:cs="Times New Roman"/>
          <w:sz w:val="28"/>
          <w:szCs w:val="28"/>
        </w:rPr>
        <w:t>.</w:t>
      </w:r>
    </w:p>
    <w:p w14:paraId="1D122E1E" w14:textId="771EB34A" w:rsidR="002F33D0" w:rsidRPr="00617838" w:rsidRDefault="002F33D0" w:rsidP="0052009A">
      <w:pPr>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rPr>
        <w:t>В-третьих, необходимо расширение сервисных инструментов, которые способствуют не только получению финансирования, но и повышению готовности предприятий к инновационной деятельности. Речь идёт о консультационных и образовательных модулях, включающих анализ инновационного потенциала, оценку цифровой зрелости, разработку компетентностных профилей, а также подготовку проектных заявок</w:t>
      </w:r>
      <w:r w:rsidR="000F023A">
        <w:rPr>
          <w:rFonts w:ascii="Times New Roman" w:hAnsi="Times New Roman" w:cs="Times New Roman"/>
          <w:sz w:val="28"/>
          <w:szCs w:val="28"/>
          <w:lang w:val="kk-KZ"/>
        </w:rPr>
        <w:t xml:space="preserve"> </w:t>
      </w:r>
      <w:r w:rsidR="000F023A">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{"citationID":"a125icama17","properties":{"formattedCitation":"[226,248,249]","plainCitation":"[226,248,249]","noteIndex":0},"citationItems":[{"id":292,"uris":["http://zotero.org/users/16887523/items/XJ94IUBA"],"itemData":{"id":292,"type":"book","collection-title":"OECD Studies on SMEs and Entrepreneurship","DOI":"10.1787/bdb9256a-en","ISBN":"978-92-64-36760-9","language":"en","publisher":"OECD Publishing","source":"DOI.org (Crossref)","title":"The Digital Transformation of SMEs","URL":"https://www.oecd.org/en/publications/the-digital-transformation-of-smes_bdb9256a-en.html","author":[{"literal":"OECD"}],"accessed":{"date-parts":[["2025",11,30]]},"issued":{"date-parts":[["2021",2,3]]}}},{"id":328,"uris":["http://zotero.org/users/16887523/items/JU2Z3UUA"],"itemData":{"id":328,"type":"article-journal","abstract":"This study examines the role of digital transformation strategies in enhancing business management practices within Small and Medium Enterprises (SMEs) in Tangerang, Indonesia. SMEs in this region face ongoing challenges in adopting digital technologies, including limited financial resources, inadequate digital skills, and internal resistance to change, while increasing competition and rapid technological advancement demand adaptation to remain competitive. The purpose of this research is to analyze how digital transformation strategies cloud computing, digital marketing, automation, and data analytics affect business outcomes such as operational efficiency, customer engagement, and market competitiveness. A quantitative approach was applied using Partial Least Squares Structural Equation Modeling (PLS-SEM) based on survey data from 150 SMEs actively implementing digital initiatives in Tangerang. The findings show that cloud computing and data analytics significantly improve operational efficiency through workflow optimization and data-driven decision-making, while digital marketing and automation have a positive impact on customer engagement and competitive positioning. SMEs that adopt these strategies demonstrate enhanced management performance and stronger market responsiveness. The study offers empirical evidence supporting the strategic value of digital transformation for SMEs in emerging regions and highlights the importance of investment in digital capability building. These insights may guide SME leaders and policymakers in strengthening digital adoption to support sustainable economic development. Future research should incorporate longitudinal approaches to evaluate longterm impact and qualitative perspectives to better understand contextual challenges in digital transformation implementation.","container-title":"IAIC Transactions on Sustainable Digital Innovation (ITSDI)","DOI":"10.34306/itsdi.v7i1.703","ISSN":"2715-0461, 2686-6285","issue":"1","journalAbbreviation":"itsdi","license":"https://creativecommons.org/licenses/by/4.0/","page":"85-96","source":"DOI.org (Crossref)","title":"Enhancing SMEs Business Performance Through Strategic Digital Transformation","URL":"https://aptikom-journal.id/itsdi/article/view/703","volume":"7","author":[{"family":"Siahaan","given":"Magda"},{"family":"Kosasi","given":"Sandy"},{"family":"Sukendri","given":"Nengah"},{"family":"Husain","given":"Abigail"}],"accessed":{"date-parts":[["2025",11,30]]},"issued":{"date-parts":[["2025",11,20]]}}},{"id":329,"uris":["http://zotero.org/users/16887523/items/CAKQGN32"],"itemData":{"id":329,"type":"article-journal","abstract":"Small and medium-sized enterprises (SMEs) are pivotal to local economic resilience, employment generation, and innovation in emerging markets. As urbanisation accelerates and digital economies expand, digital transformation emerges not only as a technological imperative but as a developmental and spatial strategy. This paper explores the evolving relationship between digitalisation and SME growth in developing contexts, drawing from the perspective of urban and regional planning. While digital tools offer SMEs new pathways to participate in broader markets and streamline operations, their uptake is often constrained by infrastructure deficits, regulatory uncertainty, and spatial disparities in digital access. Through a critical review of scholarly literature, policy documents, and institutional reports, this study identifies key barriers and strategic responses associated with SME digitalisation. Particular attention is paid to how digital infrastructure, governance environments, and urban–rural linkages influence the efficacy of digital transformation efforts. Strategies such as fintech integration, digital hubs, and public–private partnerships are evaluated for their relevance in spatially diverse regions. The findings highlight the need for place-based, multi-scalar policy responses that align digital transformation initiatives with inclusive urban development and spatial equity. This study contributes to a more integrated understanding of digital development, one that merges technology with territorial planning and offers insights for policymakers, planners, and SME practitioners navigating the digital economy in emerging markets.","container-title":"Journal of Emerging Markets and Management","DOI":"10.63385/jemm.v1i1.35","ISSN":"3093-785X","issue":"1","journalAbbreviation":"jemm","license":"https://creativecommons.org/licenses/by/4.0","page":"15-25","source":"DOI.org (Crossref)","title":"Digital Transformation and SME Growth in Emerging Markets","URL":"https://journals.zycentre.com/jemm/article/view/35","volume":"1","author":[{"family":"Rampaul","given":"Kiara"}],"accessed":{"date-parts":[["2025",11,30]]},"issued":{"date-parts":[["2025",7,15]]}}}],"schema":"https://github.com/citation-style-language/schema/raw/master/csl-citation.json"} </w:instrText>
      </w:r>
      <w:r w:rsidR="000F023A">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[226,248,249]</w:t>
      </w:r>
      <w:r w:rsidR="000F023A">
        <w:rPr>
          <w:rFonts w:ascii="Times New Roman" w:hAnsi="Times New Roman" w:cs="Times New Roman"/>
          <w:sz w:val="28"/>
          <w:szCs w:val="28"/>
          <w:lang w:val="kk-KZ"/>
        </w:rPr>
        <w:fldChar w:fldCharType="end"/>
      </w:r>
      <w:r w:rsidRPr="00617838">
        <w:rPr>
          <w:rFonts w:ascii="Times New Roman" w:hAnsi="Times New Roman" w:cs="Times New Roman"/>
          <w:sz w:val="28"/>
          <w:szCs w:val="28"/>
          <w:lang w:val="kk-KZ"/>
        </w:rPr>
        <w:t xml:space="preserve">. Подобный формат реализуется через программы Tech Access </w:t>
      </w:r>
      <w:r w:rsidRPr="00617838">
        <w:rPr>
          <w:rFonts w:ascii="Times New Roman" w:hAnsi="Times New Roman" w:cs="Times New Roman"/>
          <w:sz w:val="28"/>
          <w:szCs w:val="28"/>
          <w:lang w:val="kk-KZ"/>
        </w:rPr>
        <w:lastRenderedPageBreak/>
        <w:t>Initiative и двухэтапные акселераторы Enterprise Singapore, что повышает результативность государственной поддержки</w:t>
      </w:r>
      <w:r w:rsidR="000F023A">
        <w:rPr>
          <w:rFonts w:ascii="Times New Roman" w:hAnsi="Times New Roman" w:cs="Times New Roman"/>
          <w:sz w:val="28"/>
          <w:szCs w:val="28"/>
          <w:lang w:val="kk-KZ"/>
        </w:rPr>
        <w:t xml:space="preserve"> </w:t>
      </w:r>
      <w:r w:rsidR="000F023A">
        <w:rPr>
          <w:rFonts w:ascii="Times New Roman" w:hAnsi="Times New Roman" w:cs="Times New Roman"/>
          <w:sz w:val="28"/>
          <w:szCs w:val="28"/>
          <w:lang w:val="kk-KZ"/>
        </w:rPr>
        <w:fldChar w:fldCharType="begin"/>
      </w:r>
      <w:r w:rsidR="00CD052D">
        <w:rPr>
          <w:rFonts w:ascii="Times New Roman" w:hAnsi="Times New Roman" w:cs="Times New Roman"/>
          <w:sz w:val="28"/>
          <w:szCs w:val="28"/>
          <w:lang w:val="kk-KZ"/>
        </w:rPr>
        <w:instrText xml:space="preserve"> ADDIN ZOTERO_ITEM CSL_CITATION {"citationID":"a13b455m8o5","properties":{"formattedCitation":"[157]","plainCitation":"[157]","noteIndex":0},"citationItems":[{"id":224,"uris":["http://zotero.org/users/16887523/items/2I9LEMIL"],"itemData":{"id":224,"type":"document","title":"The Smart Nation","URL":"https://www.smartnation.gov.sg/about/our-vision/smart-nation-vision/?utm_source=chatgpt.com","author":[{"literal":"Singapore Government Agency"}]}}],"schema":"https://github.com/citation-style-language/schema/raw/master/csl-citation.json"} </w:instrText>
      </w:r>
      <w:r w:rsidR="000F023A">
        <w:rPr>
          <w:rFonts w:ascii="Times New Roman" w:hAnsi="Times New Roman" w:cs="Times New Roman"/>
          <w:sz w:val="28"/>
          <w:szCs w:val="28"/>
          <w:lang w:val="kk-KZ"/>
        </w:rPr>
        <w:fldChar w:fldCharType="separate"/>
      </w:r>
      <w:r w:rsidR="009C6DCA" w:rsidRPr="009C6DCA">
        <w:rPr>
          <w:rFonts w:ascii="Times New Roman" w:hAnsi="Times New Roman" w:cs="Times New Roman"/>
          <w:sz w:val="28"/>
        </w:rPr>
        <w:t>[157]</w:t>
      </w:r>
      <w:r w:rsidR="000F023A">
        <w:rPr>
          <w:rFonts w:ascii="Times New Roman" w:hAnsi="Times New Roman" w:cs="Times New Roman"/>
          <w:sz w:val="28"/>
          <w:szCs w:val="28"/>
          <w:lang w:val="kk-KZ"/>
        </w:rPr>
        <w:fldChar w:fldCharType="end"/>
      </w:r>
      <w:r w:rsidRPr="00617838">
        <w:rPr>
          <w:rFonts w:ascii="Times New Roman" w:hAnsi="Times New Roman" w:cs="Times New Roman"/>
          <w:sz w:val="28"/>
          <w:szCs w:val="28"/>
          <w:lang w:val="kk-KZ"/>
        </w:rPr>
        <w:t>.</w:t>
      </w:r>
    </w:p>
    <w:p w14:paraId="5D7FF1E3" w14:textId="0F039471" w:rsidR="002F33D0" w:rsidRPr="002F33D0" w:rsidRDefault="002F33D0" w:rsidP="0052009A">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В-четвёртых, особое значение приобретает развитие механизмов партнёрства МСП с университетами, технопарками и инжиниринговыми центрами</w:t>
      </w:r>
      <w:r w:rsidR="000F023A" w:rsidRPr="000F023A">
        <w:rPr>
          <w:rFonts w:ascii="Times New Roman" w:hAnsi="Times New Roman" w:cs="Times New Roman"/>
          <w:sz w:val="28"/>
          <w:szCs w:val="28"/>
        </w:rPr>
        <w:t xml:space="preserve"> </w:t>
      </w:r>
      <w:r w:rsidR="000F023A">
        <w:rPr>
          <w:rFonts w:ascii="Times New Roman" w:hAnsi="Times New Roman" w:cs="Times New Roman"/>
          <w:sz w:val="28"/>
          <w:szCs w:val="28"/>
          <w:lang w:val="en-US"/>
        </w:rPr>
        <w:fldChar w:fldCharType="begin"/>
      </w:r>
      <w:r w:rsidR="00AE44BA">
        <w:rPr>
          <w:rFonts w:ascii="Times New Roman" w:hAnsi="Times New Roman" w:cs="Times New Roman"/>
          <w:sz w:val="28"/>
          <w:szCs w:val="28"/>
        </w:rPr>
        <w:instrText xml:space="preserve"> ADDIN ZOTERO_ITEM CSL_CITATION {"citationID":"acgkj2tqca","properties":{"formattedCitation":"[250\\uc0\\u8211{}253]","plainCitation":"[250–253]","noteIndex":0},"citationItems":[{"id":330,"uris":["http://zotero.org/users/16887523/items/H74MISBE"],"itemData":{"id":330,"type":"article-journal","container-title":"SSRN Electronic Journal","DOI":"10.2139/ssrn.2596018","ISSN":"1556-5068","journalAbbreviation":"SSRN Journal","language":"en","source":"DOI.org (Crossref)","title":"Universities-Industry Collaboration: A Systematic Review","title-short":"Universities-Industry Collaboration","URL":"http://www.ssrn.com/abstract=2596018","author":[{"family":"Ankrah","given":"S N."},{"family":"Al-Tabbaa","given":"Omar"}],"accessed":{"date-parts":[["2025",11,30]]},"issued":{"date-parts":[["2015"]]}}},{"id":331,"uris":["http://zotero.org/users/16887523/items/UJPQE3NU"],"itemData":{"id":331,"type":"article-journal","abstract":"The purpose of this research is to design and explain an entrepreneurial cooperation model between a university and small and medium-sized enterprises (SMEs). The main research question is as follows: What are the elements and conditions of development for entrepreneurial cooperation between the university and SMEs? In this study, a qualitative research method called grounded theory has been used. Data collection was conducted through a semi-structured interview, observation and, afterwards, library studies. The number of interviews continued until theoretical saturation was reached and, in each interview, the coding was modified and edited compared to the previous interview. Based on this model, the goals and motivations of entrepreneurial cooperation were introduced as the causal conditions, entrepreneurial cooperation between the university and SMEs was introduced as the main phenomenon, environmental issues and the entrepreneurship cooperation ecosystem were introduced as the background conditions, the context and infrastructure of entrepreneurial cooperation were introduced as the mediator condition and entrepreneurial cooperation consequence was introduced as the model consequence. The strategies of the entrepreneurship cooperation model between the university and SMEs are as follows: strategies related to the private sector and strategies related to the non-private sector.","container-title":"Sustainability","DOI":"10.3390/su12219140","ISSN":"2071-1050","issue":"21","journalAbbreviation":"Sustainability","language":"en","page":"9140","source":"DOI.org (Crossref)","title":"Entrepreneurial Cooperation Model between University and SMEs: A Case Study in Iran","title-short":"Entrepreneurial Cooperation Model between University and SMEs","URL":"https://www.mdpi.com/2071-1050/12/21/9140","volume":"12","author":[{"family":"Moradi","given":"Yazdan"},{"family":"Noori","given":"Siamak"}],"accessed":{"date-parts":[["2025",11,30]]},"issued":{"date-parts":[["2020",11,3]]}}},{"id":333,"uris":["http://zotero.org/users/16887523/items/UFCTLK86"],"itemData":{"id":333,"type":"article-journal","container-title":"Journal of Open Innovation: Technology, Market, and Complexity","DOI":"10.3390/joitmc8030146","ISSN":"21998531","issue":"3","journalAbbreviation":"Journal of Open Innovation: Technology, Market, and Complexity","language":"en","page":"146","source":"DOI.org (Crossref)","title":"SME Engagement with Open Innovation: Commitments and Challenges towards Collaborative Innovation","title-short":"SME Engagement with Open Innovation","URL":"https://linkinghub.elsevier.com/retrieve/pii/S2199853122007478","volume":"8","author":[{"family":"Annamalah","given":"Sanmugam"},{"family":"Aravindan","given":"Kalisri Logeswaran"},{"family":"Raman","given":"Murali"},{"family":"Paraman","given":"Pradeep"}],"accessed":{"date-parts":[["2025",11,30]]},"issued":{"date-parts":[["2022",9]]}}},{"id":335,"uris":["http://zotero.org/users/16887523/items/J22ESCFI"],"itemData":{"id":335,"type":"article-journal","abstract":"Abstract\n            Continuous technological development, digitalization, Industry 4.0, robotization, virtualization, and related investments in new types of physical assets are imposing increasing financial and intellectual demands on micro, small, and medium-sized enterprises (MSMEs). While fast technological development and rapid societal change make maintenance of a successful competitive edge ever more challenging, they also offer considerable potential for differentiation. In the area of networking and outside resources, MSMEs can utilize external resources and cooperate and collaborate with higher educational institutions (HEI) to boost their innovations pipeline and develop new technologies and processes to generate commercial products/services and improve their service offering.  This research explores existing highly effective university–industry collaboration (UIC) models and seeks explanations for their success by examining the literature from the point of view of establishing successful relationships, emphasizing the importance of critical drivers for success. Our work synthesizes current knowledge of best practices based on a comparative analysis of practical collaboration. In the work, we identify eight popular and successful collaboration models: research and development partnerships, internships and co-op programs, knowledge transfer programs, entrepreneurship, and incubation programs, sponsored projects and grants, joint ventures and licensing agreements, executive education, professional and student career development. Based on analysis of globally reviewed successful models, a concept for robust, productive, and extended collaboration between companies and universities is produced suitable for the Finnish context. Several practical experiences are given for robust collaboration in the current post-COVID transition and energy crisis.","container-title":"Journal of Innovation and Entrepreneurship","DOI":"10.1186/s13731-024-00386-4","ISSN":"2192-5372","issue":"1","journalAbbreviation":"J Innov Entrep","language":"en","page":"28","source":"DOI.org (Crossref)","title":"Emerging best strategies and capabilities for university–industry cooperation: opportunities for MSMEs and universities to improve collaboration. A literature review 2000–2023","title-short":"Emerging best strategies and capabilities for university–industry cooperation","URL":"https://innovation-entrepreneurship.springeropen.com/articles/10.1186/s13731-024-00386-4","volume":"13","author":[{"family":"Tereshchenko","given":"Elizaveta"},{"family":"Salmela","given":"Erno"},{"family":"Melkko","given":"Elsa"},{"family":"Phang","given":"Swee King"},{"family":"Happonen","given":"Ari"}],"accessed":{"date-parts":[["2025",11,30]]},"issued":{"date-parts":[["2024",5,8]]}}}],"schema":"https://github.com/citation-style-language/schema/raw/master/csl-citation.json"} </w:instrText>
      </w:r>
      <w:r w:rsidR="000F023A">
        <w:rPr>
          <w:rFonts w:ascii="Times New Roman" w:hAnsi="Times New Roman" w:cs="Times New Roman"/>
          <w:sz w:val="28"/>
          <w:szCs w:val="28"/>
          <w:lang w:val="en-US"/>
        </w:rPr>
        <w:fldChar w:fldCharType="separate"/>
      </w:r>
      <w:r w:rsidR="00AE44BA" w:rsidRPr="00AE44BA">
        <w:rPr>
          <w:rFonts w:ascii="Times New Roman" w:hAnsi="Times New Roman" w:cs="Times New Roman"/>
          <w:sz w:val="28"/>
          <w:szCs w:val="24"/>
        </w:rPr>
        <w:t>[250–253]</w:t>
      </w:r>
      <w:r w:rsidR="000F023A">
        <w:rPr>
          <w:rFonts w:ascii="Times New Roman" w:hAnsi="Times New Roman" w:cs="Times New Roman"/>
          <w:sz w:val="28"/>
          <w:szCs w:val="28"/>
          <w:lang w:val="en-US"/>
        </w:rPr>
        <w:fldChar w:fldCharType="end"/>
      </w:r>
      <w:r w:rsidRPr="00617838">
        <w:rPr>
          <w:rFonts w:ascii="Times New Roman" w:hAnsi="Times New Roman" w:cs="Times New Roman"/>
          <w:sz w:val="28"/>
          <w:szCs w:val="28"/>
        </w:rPr>
        <w:t xml:space="preserve">. </w:t>
      </w:r>
      <w:r w:rsidRPr="002F33D0">
        <w:rPr>
          <w:rFonts w:ascii="Times New Roman" w:hAnsi="Times New Roman" w:cs="Times New Roman"/>
          <w:sz w:val="28"/>
          <w:szCs w:val="28"/>
        </w:rPr>
        <w:t>Создание условий для совместных исследований, пилотирования решений и тестирования цифровых технологий позволит МСП перейти от фрагментарных инноваций к системной инновационной активности.</w:t>
      </w:r>
    </w:p>
    <w:p w14:paraId="106F8C20" w14:textId="77777777" w:rsidR="002F33D0" w:rsidRPr="002F33D0" w:rsidRDefault="002F33D0" w:rsidP="0052009A">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В совокупности предложенные меры формируют переход от традиционной политики субсидирования к институциональной экосистеме сопровождения, обеспечивающей устойчивое развитие инновационного потенциала МСП. Такая экосистема выступает связующим звеном между внутренними драйверами предприятия и внешними условиями инновационного развития, снижает неопределенность и повышает эффективность трансформации ресурсов в инновационные результаты.</w:t>
      </w:r>
    </w:p>
    <w:p w14:paraId="225F685D" w14:textId="549373B3" w:rsidR="002F33D0" w:rsidRPr="002F33D0" w:rsidRDefault="002F33D0" w:rsidP="0052009A">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Ниже представлена обобщённая схема</w:t>
      </w:r>
      <w:r w:rsidR="003D0751">
        <w:rPr>
          <w:rFonts w:ascii="Times New Roman" w:hAnsi="Times New Roman" w:cs="Times New Roman"/>
          <w:sz w:val="28"/>
          <w:szCs w:val="28"/>
          <w:lang w:val="kk-KZ"/>
        </w:rPr>
        <w:t xml:space="preserve"> (рисунок </w:t>
      </w:r>
      <w:r w:rsidR="005129E8">
        <w:rPr>
          <w:rFonts w:ascii="Times New Roman" w:hAnsi="Times New Roman" w:cs="Times New Roman"/>
          <w:sz w:val="28"/>
          <w:szCs w:val="28"/>
          <w:lang w:val="kk-KZ"/>
        </w:rPr>
        <w:t>12</w:t>
      </w:r>
      <w:r w:rsidRPr="002F33D0">
        <w:rPr>
          <w:rFonts w:ascii="Times New Roman" w:hAnsi="Times New Roman" w:cs="Times New Roman"/>
          <w:sz w:val="28"/>
          <w:szCs w:val="28"/>
          <w:lang w:val="kk-KZ"/>
        </w:rPr>
        <w:t>)</w:t>
      </w:r>
      <w:r w:rsidRPr="002F33D0">
        <w:rPr>
          <w:rFonts w:ascii="Times New Roman" w:hAnsi="Times New Roman" w:cs="Times New Roman"/>
          <w:sz w:val="28"/>
          <w:szCs w:val="28"/>
        </w:rPr>
        <w:t xml:space="preserve"> институциональных механизмов поддержки инновационного потенциала МСП, отражающая ключевые направления проектных решений.</w:t>
      </w:r>
    </w:p>
    <w:p w14:paraId="41338F3A" w14:textId="77777777" w:rsidR="002F33D0" w:rsidRPr="002F33D0" w:rsidRDefault="002F33D0" w:rsidP="002F33D0">
      <w:pPr>
        <w:spacing w:after="0" w:line="240" w:lineRule="auto"/>
        <w:jc w:val="both"/>
        <w:rPr>
          <w:rFonts w:ascii="Times New Roman" w:hAnsi="Times New Roman" w:cs="Times New Roman"/>
          <w:noProof/>
          <w:sz w:val="28"/>
          <w:szCs w:val="28"/>
          <w:lang w:eastAsia="ru-RU"/>
        </w:rPr>
      </w:pPr>
      <w:r w:rsidRPr="002F33D0">
        <w:rPr>
          <w:rFonts w:ascii="Times New Roman" w:hAnsi="Times New Roman" w:cs="Times New Roman"/>
          <w:noProof/>
          <w:sz w:val="28"/>
          <w:szCs w:val="28"/>
          <w:lang w:eastAsia="ru-RU"/>
        </w:rPr>
        <w:drawing>
          <wp:inline distT="0" distB="0" distL="0" distR="0" wp14:anchorId="647F365C" wp14:editId="6F631B4F">
            <wp:extent cx="5740400" cy="2324386"/>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96122" cy="2346949"/>
                    </a:xfrm>
                    <a:prstGeom prst="rect">
                      <a:avLst/>
                    </a:prstGeom>
                  </pic:spPr>
                </pic:pic>
              </a:graphicData>
            </a:graphic>
          </wp:inline>
        </w:drawing>
      </w:r>
    </w:p>
    <w:p w14:paraId="720A7CEF" w14:textId="77777777" w:rsidR="002F33D0" w:rsidRPr="002F33D0" w:rsidRDefault="002F33D0" w:rsidP="002F33D0">
      <w:pPr>
        <w:spacing w:after="0" w:line="240" w:lineRule="auto"/>
        <w:jc w:val="both"/>
        <w:rPr>
          <w:rFonts w:ascii="Times New Roman" w:hAnsi="Times New Roman" w:cs="Times New Roman"/>
          <w:noProof/>
          <w:sz w:val="28"/>
          <w:szCs w:val="28"/>
          <w:lang w:eastAsia="ru-RU"/>
        </w:rPr>
      </w:pPr>
    </w:p>
    <w:p w14:paraId="1767C700" w14:textId="04416A12" w:rsidR="002F33D0" w:rsidRPr="002F33D0" w:rsidRDefault="003D0751" w:rsidP="0052009A">
      <w:pPr>
        <w:spacing w:after="0" w:line="240" w:lineRule="auto"/>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Рисунок </w:t>
      </w:r>
      <w:r w:rsidR="005129E8">
        <w:rPr>
          <w:rFonts w:ascii="Times New Roman" w:hAnsi="Times New Roman" w:cs="Times New Roman"/>
          <w:noProof/>
          <w:sz w:val="28"/>
          <w:szCs w:val="28"/>
          <w:lang w:val="kk-KZ" w:eastAsia="ru-RU"/>
        </w:rPr>
        <w:t>12</w:t>
      </w:r>
      <w:r w:rsidR="002F33D0" w:rsidRPr="002F33D0">
        <w:rPr>
          <w:rFonts w:ascii="Times New Roman" w:hAnsi="Times New Roman" w:cs="Times New Roman"/>
          <w:noProof/>
          <w:sz w:val="28"/>
          <w:szCs w:val="28"/>
          <w:lang w:eastAsia="ru-RU"/>
        </w:rPr>
        <w:t xml:space="preserve"> – Институциональные механизмы поддержки инноваций в секторе МСП</w:t>
      </w:r>
    </w:p>
    <w:p w14:paraId="2636DD99" w14:textId="77777777" w:rsidR="00356FEF" w:rsidRDefault="00356FEF" w:rsidP="00356FEF">
      <w:pPr>
        <w:spacing w:after="0" w:line="240" w:lineRule="auto"/>
        <w:jc w:val="both"/>
        <w:rPr>
          <w:rFonts w:ascii="Times New Roman" w:hAnsi="Times New Roman" w:cs="Times New Roman"/>
          <w:sz w:val="28"/>
          <w:szCs w:val="28"/>
          <w:lang w:val="kk-KZ"/>
        </w:rPr>
      </w:pPr>
    </w:p>
    <w:p w14:paraId="034A0D51" w14:textId="74527968" w:rsidR="002F33D0" w:rsidRPr="00356FEF" w:rsidRDefault="00356FEF" w:rsidP="005129E8">
      <w:pPr>
        <w:spacing w:after="0" w:line="240" w:lineRule="auto"/>
        <w:ind w:firstLine="567"/>
        <w:jc w:val="both"/>
        <w:rPr>
          <w:rFonts w:ascii="Times New Roman" w:hAnsi="Times New Roman" w:cs="Times New Roman"/>
          <w:sz w:val="24"/>
          <w:szCs w:val="28"/>
          <w:lang w:val="kk-KZ"/>
        </w:rPr>
      </w:pPr>
      <w:r w:rsidRPr="00356FEF">
        <w:rPr>
          <w:rFonts w:ascii="Times New Roman" w:hAnsi="Times New Roman" w:cs="Times New Roman"/>
          <w:sz w:val="24"/>
          <w:szCs w:val="28"/>
          <w:lang w:val="kk-KZ"/>
        </w:rPr>
        <w:t xml:space="preserve">Примечание – </w:t>
      </w:r>
      <w:r w:rsidR="000F3C80">
        <w:rPr>
          <w:rFonts w:ascii="Times New Roman" w:hAnsi="Times New Roman" w:cs="Times New Roman"/>
          <w:sz w:val="24"/>
          <w:szCs w:val="28"/>
          <w:lang w:val="kk-KZ"/>
        </w:rPr>
        <w:t>С</w:t>
      </w:r>
      <w:r w:rsidRPr="00356FEF">
        <w:rPr>
          <w:rFonts w:ascii="Times New Roman" w:hAnsi="Times New Roman" w:cs="Times New Roman"/>
          <w:sz w:val="24"/>
          <w:szCs w:val="28"/>
          <w:lang w:val="kk-KZ"/>
        </w:rPr>
        <w:t>оставлено автором</w:t>
      </w:r>
    </w:p>
    <w:p w14:paraId="2008C505" w14:textId="77777777" w:rsidR="00356FEF" w:rsidRPr="00356FEF" w:rsidRDefault="00356FEF" w:rsidP="00356FEF">
      <w:pPr>
        <w:spacing w:after="0" w:line="240" w:lineRule="auto"/>
        <w:jc w:val="both"/>
        <w:rPr>
          <w:rFonts w:ascii="Times New Roman" w:hAnsi="Times New Roman" w:cs="Times New Roman"/>
          <w:sz w:val="28"/>
          <w:szCs w:val="28"/>
          <w:lang w:val="kk-KZ"/>
        </w:rPr>
      </w:pPr>
    </w:p>
    <w:p w14:paraId="4AED8663" w14:textId="77777777" w:rsidR="002F33D0" w:rsidRPr="002F33D0" w:rsidRDefault="002F33D0" w:rsidP="0052009A">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Представленные на рисунке механизмы образуют взаимосвязанную институциональную архитектуру, направленную на снижение административных барьеров и повышение доступности инновационной инфраструктуры для малого и среднего бизнеса. Их объединение в единую систему обеспечивает переход от фрагментарной поддержки к экосистемному управлению инновационным развитием, в котором цифровые сервисы, дифференцированные регуляторные режимы, консультационно-образовательная помощь и партнёрские сети выполняют взаимодополняющие функции. Такой формат институционального сопровождения усиливает </w:t>
      </w:r>
      <w:r w:rsidRPr="002F33D0">
        <w:rPr>
          <w:rFonts w:ascii="Times New Roman" w:hAnsi="Times New Roman" w:cs="Times New Roman"/>
          <w:sz w:val="28"/>
          <w:szCs w:val="28"/>
        </w:rPr>
        <w:lastRenderedPageBreak/>
        <w:t>способность МСП трансформировать внутренние ресурсные и процессные преимущества в устойчивые инновационные результаты.</w:t>
      </w:r>
    </w:p>
    <w:p w14:paraId="15495305" w14:textId="77777777" w:rsidR="002F33D0" w:rsidRPr="002F33D0" w:rsidRDefault="002F33D0" w:rsidP="0052009A">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Важным следствием внедрения данных механизмов является повышение предсказуемости и прозрачности взаимодействия предприятий с государственными институтами, что снижает трансакционные издержки и способствует росту доверия к инструментам государственной поддержки. Кроме того, формирование сервисных и партнёрских элементов институциональной среды создает условия для постепенного перехода МСП к более высоким уровням цифровой зрелости, что, как показано в предыдущем разделе, усиливает влияние внутренних факторов на инновационный потенциал.</w:t>
      </w:r>
    </w:p>
    <w:p w14:paraId="3902A322" w14:textId="6A4E901F" w:rsidR="002F33D0" w:rsidRPr="002F33D0" w:rsidRDefault="002F33D0" w:rsidP="0052009A">
      <w:pPr>
        <w:spacing w:after="0" w:line="240" w:lineRule="auto"/>
        <w:ind w:firstLine="567"/>
        <w:jc w:val="both"/>
        <w:rPr>
          <w:rFonts w:ascii="Times New Roman" w:hAnsi="Times New Roman" w:cs="Times New Roman"/>
          <w:b/>
          <w:sz w:val="28"/>
          <w:szCs w:val="28"/>
        </w:rPr>
      </w:pPr>
      <w:r w:rsidRPr="002F33D0">
        <w:rPr>
          <w:rFonts w:ascii="Times New Roman" w:hAnsi="Times New Roman" w:cs="Times New Roman"/>
          <w:b/>
          <w:sz w:val="28"/>
          <w:szCs w:val="28"/>
        </w:rPr>
        <w:t>3.3.2 Концептуальная модель управления человеческим капиталом и инновационной культурой</w:t>
      </w:r>
    </w:p>
    <w:p w14:paraId="353931A9" w14:textId="461D9FF4" w:rsidR="002F33D0" w:rsidRPr="002F33D0" w:rsidRDefault="002F33D0" w:rsidP="0052009A">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Результаты эмпирического анализа, представленные во второй главе, выявили характерный для казахстанских предпринимательских структур парадокс управления человеческими ресурсами: при высокой статистической значимости индивидуальных компетенций работников (β=0,19</w:t>
      </w:r>
      <w:r w:rsidR="00C97BD5">
        <w:rPr>
          <w:rFonts w:ascii="Times New Roman" w:hAnsi="Times New Roman" w:cs="Times New Roman"/>
          <w:sz w:val="28"/>
          <w:szCs w:val="28"/>
          <w:lang w:val="kk-KZ"/>
        </w:rPr>
        <w:t>-</w:t>
      </w:r>
      <w:r w:rsidRPr="002F33D0">
        <w:rPr>
          <w:rFonts w:ascii="Times New Roman" w:hAnsi="Times New Roman" w:cs="Times New Roman"/>
          <w:sz w:val="28"/>
          <w:szCs w:val="28"/>
        </w:rPr>
        <w:t xml:space="preserve">0,41) формализованные HR-практики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обучение, оценка персонала, кадровые регламенты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не демонстрируют значимого влияния на инновационный потенциал. Это свидетельствует о том, что предприятия обладают кадровыми ресурсами, способными генерировать инновации, но не располагают организационными механизмами, которые обеспечивают системное развитие и преобразование этих компетенций в инновационные результаты.</w:t>
      </w:r>
    </w:p>
    <w:p w14:paraId="6E32DFDB" w14:textId="69035709" w:rsidR="002F33D0" w:rsidRDefault="002F33D0" w:rsidP="0052009A">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Данный дисбаланс подтверждает необходимость перехода от административно-нормативной HR-модели к интегрированному управлению человеческим капиталом и инновационной культурой, где ключевую роль играют не только </w:t>
      </w:r>
      <w:r w:rsidR="00356FEF">
        <w:rPr>
          <w:rFonts w:ascii="Times New Roman" w:hAnsi="Times New Roman" w:cs="Times New Roman"/>
          <w:sz w:val="28"/>
          <w:szCs w:val="28"/>
          <w:lang w:val="kk-KZ"/>
        </w:rPr>
        <w:t>компетенции</w:t>
      </w:r>
      <w:r w:rsidRPr="002F33D0">
        <w:rPr>
          <w:rFonts w:ascii="Times New Roman" w:hAnsi="Times New Roman" w:cs="Times New Roman"/>
          <w:sz w:val="28"/>
          <w:szCs w:val="28"/>
        </w:rPr>
        <w:t xml:space="preserve"> работников, но и условия для их реализации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организационная гибкость, психологическая безопасность, толерантность к риску, командное взаимодействие и культура обмена знаниями</w:t>
      </w:r>
      <w:r w:rsidR="00CD052D">
        <w:rPr>
          <w:rFonts w:ascii="Times New Roman" w:hAnsi="Times New Roman" w:cs="Times New Roman"/>
          <w:sz w:val="28"/>
          <w:szCs w:val="28"/>
          <w:lang w:val="kk-KZ"/>
        </w:rPr>
        <w:t xml:space="preserve"> </w:t>
      </w:r>
      <w:r w:rsidR="00DA67F1">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{"citationID":"apvv9vo5e","properties":{"formattedCitation":"[254]","plainCitation":"[254]","noteIndex":0},"citationItems":[{"id":588,"uris":["http://zotero.org/users/16887523/items/7GR7RPKG"],"itemData":{"id":588,"type":"paper-conference","event-title":"Сборник статей IV Международной научно-практичес-кой конференции «Экономика, финансы и управление: Актуальные вопросы теории и практики»","page":"124-132","publisher":"МЦНС «Наука и Просвещение»","publisher-place":"Пенза","title":"Управление человеческими ресурсами в условиях влияния Индустрии 4.0","author":[{"family":"Дарханқызы","given":"Г."},{"family":"Вдовина","given":"Д.В."},{"family":"Саденова","given":"А.М."}],"issued":{"date-parts":[["2023"]]}}}],"schema":"https://github.com/citation-style-language/schema/raw/master/csl-citation.json"} </w:instrText>
      </w:r>
      <w:r w:rsidR="00DA67F1">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[254]</w:t>
      </w:r>
      <w:r w:rsidR="00DA67F1">
        <w:rPr>
          <w:rFonts w:ascii="Times New Roman" w:hAnsi="Times New Roman" w:cs="Times New Roman"/>
          <w:sz w:val="28"/>
          <w:szCs w:val="28"/>
          <w:lang w:val="kk-KZ"/>
        </w:rPr>
        <w:fldChar w:fldCharType="end"/>
      </w:r>
      <w:r w:rsidRPr="002F33D0">
        <w:rPr>
          <w:rFonts w:ascii="Times New Roman" w:hAnsi="Times New Roman" w:cs="Times New Roman"/>
          <w:sz w:val="28"/>
          <w:szCs w:val="28"/>
        </w:rPr>
        <w:t>. Такая логика соответствует современным международным подходам, в которых человеческий капитал рассматривается как стратегический драйвер инновационного развития</w:t>
      </w:r>
      <w:r w:rsidR="001D5CF3" w:rsidRPr="001D5CF3">
        <w:rPr>
          <w:rFonts w:ascii="Times New Roman" w:hAnsi="Times New Roman" w:cs="Times New Roman"/>
          <w:sz w:val="28"/>
          <w:szCs w:val="28"/>
        </w:rPr>
        <w:t xml:space="preserve"> </w:t>
      </w:r>
      <w:r w:rsidR="001D5CF3">
        <w:rPr>
          <w:rFonts w:ascii="Times New Roman" w:hAnsi="Times New Roman" w:cs="Times New Roman"/>
          <w:sz w:val="28"/>
          <w:szCs w:val="28"/>
          <w:lang w:val="en-US"/>
        </w:rPr>
        <w:fldChar w:fldCharType="begin"/>
      </w:r>
      <w:r w:rsidR="00AE44BA">
        <w:rPr>
          <w:rFonts w:ascii="Times New Roman" w:hAnsi="Times New Roman" w:cs="Times New Roman"/>
          <w:sz w:val="28"/>
          <w:szCs w:val="28"/>
        </w:rPr>
        <w:instrText xml:space="preserve"> ADDIN ZOTERO_ITEM CSL_CITATION {"citationID":"ap3t5u8lfa","properties":{"formattedCitation":"[255\\uc0\\u8211{}257]","plainCitation":"[255–257]","noteIndex":0},"citationItems":[{"id":337,"uris":["http://zotero.org/users/16887523/items/IVV32DPB"],"itemData":{"id":337,"type":"article-journal","abstract":"According to the literature, in traditional business settings, intellectual capital (IC) and knowledge sharing (KS) significantly contribute to increasing organizational innovation (OI) levels. During COVID-19, the environment transformed, which presents numerous obstacles that necessitate creative and innovative thinking. Here, the researchers wondered if the same phenomenon would occur in the university sector and whether the coronavirus pandemic would have an impact on it. Therefore, this paper aimed to conduct an empirical research study to investigate this. The study followed a quantitative research approach to collect data, which was based on an electronic structured questionnaire survey. In addition, a purposive random sampling technique included 407 academics employed by Palestinian universities in the West Bank area. For data analysis, the SPSS v25 program was employed, while a mediation analysis was carried out using the Process Macro v3.5 software. The research results showed that IC significantly contributes to promoting knowledge sharing and raising OI levels, and KS had a beneficial impact on OI. In the end, it was discovered that KS positively mediated the relationship between IC and OI. Despite some limitations, the study’s findings offer numerous advantages for academics, researchers, and policymakers in universities.","container-title":"Sustainability","DOI":"10.3390/su15043673","ISSN":"2071-1050","issue":"4","journalAbbreviation":"Sustainability","language":"en","page":"3673","source":"DOI.org (Crossref)","title":"Intellectual Capital and Organizational Innovation: Examining the Mediation Role of Knowledge Sharing on the Palestinian Universities during the COVID-19 Pandemic","title-short":"Intellectual Capital and Organizational Innovation","URL":"https://www.mdpi.com/2071-1050/15/4/3673","volume":"15","author":[{"family":"Alnatsheh","given":"Amani Yaser"},{"family":"Karaatmaca","given":"Ayşe Gözde"},{"family":"Çavuşoğlu","given":"Behiye"}],"accessed":{"date-parts":[["2025",11,30]]},"issued":{"date-parts":[["2023",2,16]]}}},{"id":339,"uris":["http://zotero.org/users/16887523/items/PE66E7QF"],"itemData":{"id":339,"type":"article-journal","container-title":"Technological Forecasting and Social Change","DOI":"10.1016/j.techfore.2024.123383","ISSN":"00401625","journalAbbreviation":"Technological Forecasting and Social Change","language":"en","page":"123383","source":"DOI.org (Crossref)","title":"Factors for innovation ecosystem frameworks: Comprehensive organizational aspects for evolution","title-short":"Factors for innovation ecosystem frameworks","URL":"https://linkinghub.elsevier.com/retrieve/pii/S0040162524001793","volume":"203","author":[{"family":"Rabelo Neto","given":"José"},{"family":"Figueiredo","given":"Claudia"},{"family":"Gabriel","given":"Bárbara Coelho"},{"family":"Valente","given":"Robertt"}],"accessed":{"date-parts":[["2025",11,30]]},"issued":{"date-parts":[["2024",6]]}}},{"id":340,"uris":["http://zotero.org/users/16887523/items/R4BIGC7N"],"itemData":{"id":340,"type":"article-journal","abstract":"Abstract\n            This paper exclusively examines the relationship between corporate culture—specifically innovation variables—and the success of digital firms in Saudi Arabia. Importantly, it provides significant empirical evidence highlighting the role of different innovation components—such as shared decision-making, reward strategies, learning programs, tolerance for mistakes, recruitment of innovative employees, and teamwork—in contributing to the success of digital firms. Data were gathered from 157 e-mail survey questionnaires sent randomly to managers working in various digital firms in Saudi Arabia. The data were analyzed using logistic regression methods and micro-econometric techniques. The findings from the ordinal logistic regression model with a maximum likelihood estimation (MLE) method pointed to the significant impact of innovation-based corporate culture variables on the success of digital firms in Saudi Arabia. More importantly, the econometric results indicate that digital firms that adopt an innovation culture, namely trust, talent retention, reward strategies, and learning programs, had the highest level of success. The results also revealed that the success of digital firms in Saudi Arabia depends on their willingness to innovate. This paper has implications for digital firm managers or policymakers who want to formulate policies and target appropriate corporate capacities to effectively adopt innovation culture values. It recommends cultivating a healthy corporate culture and targeting appropriate corporate capacities to effectively implement innovative cultural strategies. These actions can decrease reliance on government support and create job opportunities for young Saudis.","container-title":"Future Business Journal","DOI":"10.1186/s43093-025-00554-2","ISSN":"2314-7210","issue":"1","journalAbbreviation":"Futur Bus J","language":"en","page":"136","source":"DOI.org (Crossref)","title":"The effect of an innovation-driven corporate culture on firm success: a new survey of Saudi digital firms","title-short":"The effect of an innovation-driven corporate culture on firm success","URL":"https://fbj.springeropen.com/articles/10.1186/s43093-025-00554-2","volume":"11","author":[{"family":"Amamou","given":"Meriam"}],"accessed":{"date-parts":[["2025",11,30]]},"issued":{"date-parts":[["2025",6,10]]}}}],"schema":"https://github.com/citation-style-language/schema/raw/master/csl-citation.json"} </w:instrText>
      </w:r>
      <w:r w:rsidR="001D5CF3">
        <w:rPr>
          <w:rFonts w:ascii="Times New Roman" w:hAnsi="Times New Roman" w:cs="Times New Roman"/>
          <w:sz w:val="28"/>
          <w:szCs w:val="28"/>
          <w:lang w:val="en-US"/>
        </w:rPr>
        <w:fldChar w:fldCharType="separate"/>
      </w:r>
      <w:r w:rsidR="00AE44BA" w:rsidRPr="00AE44BA">
        <w:rPr>
          <w:rFonts w:ascii="Times New Roman" w:hAnsi="Times New Roman" w:cs="Times New Roman"/>
          <w:sz w:val="28"/>
          <w:szCs w:val="24"/>
        </w:rPr>
        <w:t>[255–257]</w:t>
      </w:r>
      <w:r w:rsidR="001D5CF3">
        <w:rPr>
          <w:rFonts w:ascii="Times New Roman" w:hAnsi="Times New Roman" w:cs="Times New Roman"/>
          <w:sz w:val="28"/>
          <w:szCs w:val="28"/>
          <w:lang w:val="en-US"/>
        </w:rPr>
        <w:fldChar w:fldCharType="end"/>
      </w:r>
      <w:r w:rsidRPr="002F33D0">
        <w:rPr>
          <w:rFonts w:ascii="Times New Roman" w:hAnsi="Times New Roman" w:cs="Times New Roman"/>
          <w:sz w:val="28"/>
          <w:szCs w:val="28"/>
        </w:rPr>
        <w:t>.</w:t>
      </w:r>
    </w:p>
    <w:p w14:paraId="43D0AED7" w14:textId="651678F6" w:rsidR="0082235C" w:rsidRPr="005129E8" w:rsidRDefault="0082235C" w:rsidP="0052009A">
      <w:pPr>
        <w:spacing w:after="0" w:line="240" w:lineRule="auto"/>
        <w:ind w:firstLine="567"/>
        <w:jc w:val="both"/>
        <w:rPr>
          <w:rFonts w:ascii="Times New Roman" w:hAnsi="Times New Roman" w:cs="Times New Roman"/>
          <w:sz w:val="28"/>
          <w:szCs w:val="28"/>
        </w:rPr>
      </w:pPr>
      <w:r w:rsidRPr="005129E8">
        <w:rPr>
          <w:rFonts w:ascii="Times New Roman" w:hAnsi="Times New Roman" w:cs="Times New Roman"/>
          <w:sz w:val="28"/>
          <w:szCs w:val="28"/>
        </w:rPr>
        <w:t>Проектирование человеческого капитала должно быть стратегически ориентировано на устойчивое мышление, влияние которого подтверждено нашим анализом. Это согласуется с выводами о том, что зелёное трансформационное лидерство и зелёная организационная культура являются необходимыми условиями для повышения экологической эффективности и долгосрочной устойчивости бизнеса</w:t>
      </w:r>
      <w:r w:rsidRPr="005129E8">
        <w:rPr>
          <w:rFonts w:ascii="Times New Roman" w:hAnsi="Times New Roman" w:cs="Times New Roman"/>
          <w:sz w:val="28"/>
          <w:szCs w:val="28"/>
          <w:lang w:val="kk-KZ"/>
        </w:rPr>
        <w:t xml:space="preserve"> </w:t>
      </w:r>
      <w:r w:rsidRPr="005129E8">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{"citationID":"a1vccsg309s","properties":{"formattedCitation":"[197]","plainCitation":"[197]","noteIndex":0},"citationItems":[{"id":369,"uris":["http://zotero.org/users/16887523/items/L44XD398"],"itemData":{"id":369,"type":"article-journal","container-title":"Environmental Development","DOI":"10.1016/j.envdev.2025.101148","ISSN":"22114645","journalAbbreviation":"Environmental Development","language":"en","page":"101148","source":"DOI.org (Crossref)","title":"Green leaders and global change: Uncovering the drivers of corporate environmental sustainability","title-short":"Green leaders and global change","URL":"https://linkinghub.elsevier.com/retrieve/pii/S2211464525000144","volume":"54","author":[{"family":"Suieubayeva","given":"Saltanat"},{"family":"Sánchez-García","given":"Eduardo"},{"family":"Martínez-Falcó","given":"Javier"},{"family":"Marco-Lajara","given":"Bartolomé"},{"family":"Sadenova","given":"Assel"},{"family":"Montalvo-Falcón","given":"Johnny Vicente"}],"accessed":{"date-parts":[["2025",12,13]]},"issued":{"date-parts":[["2025",6]]}}}],"schema":"https://github.com/citation-style-language/schema/raw/master/csl-citation.json"} </w:instrText>
      </w:r>
      <w:r w:rsidRPr="005129E8">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[197]</w:t>
      </w:r>
      <w:r w:rsidRPr="005129E8">
        <w:rPr>
          <w:rFonts w:ascii="Times New Roman" w:hAnsi="Times New Roman" w:cs="Times New Roman"/>
          <w:sz w:val="28"/>
          <w:szCs w:val="28"/>
          <w:lang w:val="kk-KZ"/>
        </w:rPr>
        <w:fldChar w:fldCharType="end"/>
      </w:r>
      <w:r w:rsidRPr="005129E8">
        <w:rPr>
          <w:rFonts w:ascii="Times New Roman" w:hAnsi="Times New Roman" w:cs="Times New Roman"/>
          <w:sz w:val="28"/>
          <w:szCs w:val="28"/>
        </w:rPr>
        <w:t>. Таким образом, стратегический уровень должен включать развитие лидерских компетенций, способствующих интеграции ESG-принципов.</w:t>
      </w:r>
    </w:p>
    <w:p w14:paraId="3C8BB89F" w14:textId="3A5D44CB" w:rsidR="002F33D0" w:rsidRDefault="002F33D0" w:rsidP="00356FEF">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На основе полученных результатов предлагается трехуровневая модель управления человеческим капиталом</w:t>
      </w:r>
      <w:r w:rsidR="00356FEF">
        <w:rPr>
          <w:rFonts w:ascii="Times New Roman" w:hAnsi="Times New Roman" w:cs="Times New Roman"/>
          <w:sz w:val="28"/>
          <w:szCs w:val="28"/>
        </w:rPr>
        <w:t xml:space="preserve"> и инновационной культурой</w:t>
      </w:r>
      <w:r w:rsidR="00356FEF">
        <w:rPr>
          <w:rFonts w:ascii="Times New Roman" w:hAnsi="Times New Roman" w:cs="Times New Roman"/>
          <w:sz w:val="28"/>
          <w:szCs w:val="28"/>
          <w:lang w:val="kk-KZ"/>
        </w:rPr>
        <w:t xml:space="preserve"> (рисунок 1</w:t>
      </w:r>
      <w:r w:rsidR="005129E8">
        <w:rPr>
          <w:rFonts w:ascii="Times New Roman" w:hAnsi="Times New Roman" w:cs="Times New Roman"/>
          <w:sz w:val="28"/>
          <w:szCs w:val="28"/>
          <w:lang w:val="kk-KZ"/>
        </w:rPr>
        <w:t>3</w:t>
      </w:r>
      <w:r w:rsidR="00356FEF" w:rsidRPr="002F33D0">
        <w:rPr>
          <w:rFonts w:ascii="Times New Roman" w:hAnsi="Times New Roman" w:cs="Times New Roman"/>
          <w:sz w:val="28"/>
          <w:szCs w:val="28"/>
          <w:lang w:val="kk-KZ"/>
        </w:rPr>
        <w:t>)</w:t>
      </w:r>
      <w:r w:rsidRPr="002F33D0">
        <w:rPr>
          <w:rFonts w:ascii="Times New Roman" w:hAnsi="Times New Roman" w:cs="Times New Roman"/>
          <w:sz w:val="28"/>
          <w:szCs w:val="28"/>
        </w:rPr>
        <w:t>.</w:t>
      </w:r>
    </w:p>
    <w:p w14:paraId="74E3A547" w14:textId="0102452F" w:rsidR="00356FEF" w:rsidRPr="00356FEF" w:rsidRDefault="00356FEF" w:rsidP="00356FEF">
      <w:pPr>
        <w:spacing w:after="0" w:line="240" w:lineRule="auto"/>
        <w:ind w:firstLine="567"/>
        <w:jc w:val="both"/>
        <w:rPr>
          <w:rFonts w:ascii="Times New Roman" w:hAnsi="Times New Roman" w:cs="Times New Roman"/>
          <w:sz w:val="18"/>
          <w:szCs w:val="28"/>
        </w:rPr>
      </w:pPr>
    </w:p>
    <w:p w14:paraId="57367723" w14:textId="4F24C92E" w:rsidR="002F33D0" w:rsidRPr="002F33D0" w:rsidRDefault="004B716E" w:rsidP="001D5CF3">
      <w:pPr>
        <w:spacing w:after="0" w:line="240" w:lineRule="auto"/>
        <w:ind w:firstLine="1148"/>
        <w:jc w:val="both"/>
        <w:rPr>
          <w:rFonts w:ascii="Times New Roman" w:hAnsi="Times New Roman" w:cs="Times New Roman"/>
          <w:sz w:val="28"/>
          <w:szCs w:val="28"/>
        </w:rPr>
      </w:pPr>
      <w:r w:rsidRPr="002F33D0">
        <w:rPr>
          <w:rFonts w:ascii="Times New Roman" w:hAnsi="Times New Roman" w:cs="Times New Roman"/>
          <w:noProof/>
          <w:sz w:val="28"/>
          <w:szCs w:val="28"/>
          <w:lang w:eastAsia="ru-RU"/>
        </w:rPr>
        <w:lastRenderedPageBreak/>
        <mc:AlternateContent>
          <mc:Choice Requires="wpg">
            <w:drawing>
              <wp:anchor distT="0" distB="0" distL="114300" distR="114300" simplePos="0" relativeHeight="251661312" behindDoc="0" locked="0" layoutInCell="1" allowOverlap="1" wp14:anchorId="060E697F" wp14:editId="5930539A">
                <wp:simplePos x="0" y="0"/>
                <wp:positionH relativeFrom="column">
                  <wp:posOffset>222250</wp:posOffset>
                </wp:positionH>
                <wp:positionV relativeFrom="paragraph">
                  <wp:posOffset>-91228</wp:posOffset>
                </wp:positionV>
                <wp:extent cx="5502910" cy="3708189"/>
                <wp:effectExtent l="19050" t="0" r="40640" b="0"/>
                <wp:wrapNone/>
                <wp:docPr id="266" name="Группа 266"/>
                <wp:cNvGraphicFramePr/>
                <a:graphic xmlns:a="http://schemas.openxmlformats.org/drawingml/2006/main">
                  <a:graphicData uri="http://schemas.microsoft.com/office/word/2010/wordprocessingGroup">
                    <wpg:wgp>
                      <wpg:cNvGrpSpPr/>
                      <wpg:grpSpPr>
                        <a:xfrm>
                          <a:off x="0" y="0"/>
                          <a:ext cx="5502910" cy="3708189"/>
                          <a:chOff x="0" y="-8255"/>
                          <a:chExt cx="5502910" cy="3708189"/>
                        </a:xfrm>
                      </wpg:grpSpPr>
                      <wps:wsp>
                        <wps:cNvPr id="267" name="Двойная стрелка вверх/вниз 267"/>
                        <wps:cNvSpPr/>
                        <wps:spPr>
                          <a:xfrm>
                            <a:off x="0" y="110172"/>
                            <a:ext cx="473710" cy="3098800"/>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Двойная стрелка вверх/вниз 268"/>
                        <wps:cNvSpPr/>
                        <wps:spPr>
                          <a:xfrm>
                            <a:off x="5029200" y="101706"/>
                            <a:ext cx="473710" cy="3098800"/>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Надпись 269"/>
                        <wps:cNvSpPr txBox="1"/>
                        <wps:spPr>
                          <a:xfrm rot="16200000">
                            <a:off x="-901700" y="986472"/>
                            <a:ext cx="2251710" cy="2622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9614844" w14:textId="77777777" w:rsidR="001D4931" w:rsidRPr="00926CA8" w:rsidRDefault="001D4931" w:rsidP="002F33D0">
                              <w:pPr>
                                <w:rPr>
                                  <w:lang w:val="kk-KZ"/>
                                </w:rPr>
                              </w:pPr>
                              <w:r>
                                <w:rPr>
                                  <w:lang w:val="kk-KZ"/>
                                </w:rPr>
                                <w:t>ОБРАТНАЯ СВЯЗЬ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0" name="Надпись 270"/>
                        <wps:cNvSpPr txBox="1"/>
                        <wps:spPr>
                          <a:xfrm rot="5400000">
                            <a:off x="3687233" y="1994006"/>
                            <a:ext cx="3149600" cy="2622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41E5D67" w14:textId="77777777" w:rsidR="001D4931" w:rsidRPr="00926CA8" w:rsidRDefault="001D4931" w:rsidP="002F33D0">
                              <w:pPr>
                                <w:rPr>
                                  <w:lang w:val="kk-KZ"/>
                                </w:rPr>
                              </w:pPr>
                              <w:r>
                                <w:rPr>
                                  <w:lang w:val="kk-KZ"/>
                                </w:rPr>
                                <w:t>ОРГАНИЗАЦИОННОЕ ОБУЧЕНИЕ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60E697F" id="Группа 266" o:spid="_x0000_s1190" style="position:absolute;left:0;text-align:left;margin-left:17.5pt;margin-top:-7.2pt;width:433.3pt;height:292pt;z-index:251661312;mso-position-horizontal-relative:text;mso-position-vertical-relative:text;mso-height-relative:margin" coordorigin=",-82" coordsize="55029,37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x44RAQAAHcSAAAOAAAAZHJzL2Uyb0RvYy54bWzsWMtu3DYU3RfoPwja23rMQ6OB5WBq10YB&#10;IzHqFFlzONSMUElkSY41zipt0V2BLtpt/8EIGuSFtL+g+aPeS0qyM07ixEUfSG0DGr7uJXl47zmU&#10;du6sitw5ZVJlvEzcYNt3HVZSPsvKeeJ+df9ga+Q6SpNyRnJessQ9Y8q9s/vpJzuVGLOQL3g+Y9IB&#10;J6UaVyJxF1qLsecpumAFUdtcsBI6Uy4LoqEq595Mkgq8F7kX+v7Qq7icCckpUwpa922nu2v8pymj&#10;+l6aKqadPHFhbdo8pXlO8ent7pDxXBKxyGizDHKDVRQkK2HSztU+0cRZyuyKqyKjkiue6m3KC4+n&#10;aUaZ2QPsJvA3dnMo+VKYvczH1Vx0MAG0Gzjd2C29e3osnWyWuOFw6DolKeCQ6p/Xj9bf13/A/7mD&#10;7YBSJeZjGHwoxYk4lk3D3NZw46tUFvgLW3JWBt+zDl+20g6FxsHAD+MAjoFCXy/yR8EotidAF3BM&#10;F3Zbo3AwaHs+v8baayf3cI3dkioBEaUuQFN/DbSTBRHMnIVCHDrQog60X+rH9e/18/pVfb7+yVl/&#10;u/5u/ah+Ur+sXwCK0Pe4fgKw/uBB4VX9rH4KyEYWWeOxg1WNFSD8VkyDwA+i0ILTAtuPelGHqx+P&#10;Rr6J7A4ZMhZS6UPGCwcLibsU+7wqJ1LyyoQtOT1SGg4VLNqRUEEI7VpMSZ/lDJeVl1+yFGIGTjQ0&#10;1iZb2V4unVMCeUYoZaUObNeCzJhtHvjwh+uGSToLUzMO0XOa5Xnnu3GATHDVt3XTjEdTZpK9M/bf&#10;tTBr3FmYmXmpO+MiK7l8k4McdtXMbMe3IFloEKUpn51BcEhuqUYJepAB5EdE6WMigVsg/IEv9T14&#10;pDmvEpc3JddZcPnwTe04HqIXel2nAq5KXPXNkkjmOvkXJcR1HPT7SG6m0h9EIVTk5Z7p5Z5yWexx&#10;OKYAmFlQU8TxOm+LqeTFA6DVCc4KXaSkMHfiUi3byp62HArETNlkYoYBoQmij8oTQdE5ooqxdH/1&#10;gEjRxJ2GiL3L21wi4424s2PRsuSTpeZpZoLyAtcGb8hrZKR/JMFBwBpWvEGCjz4owZEeQdRcB+gR&#10;s9w3zAux3TDgbZrfpvltmv89Oh53af5rfV7/BlefZyDhP4JImysKkg3IPoq0o1efcdA+IwXYflmu&#10;LfEHQ0hjVDuksuZGtBVjRtvkjkfD/qaGh+Eg6EQ8HELV3IDeruESLrdmgg0SRZm3FHoAcgpyhYr9&#10;WgP4xJb30PdWRuV8ivJuSR+un7CN9vpsnIF04gyv6ff72V4v4e+e+wYqPvv6WhXXq+nK3Iqj5vL7&#10;UQu7/v/JegQR3Mj6Rr5DD+TMh+X7oH8l3XvDURT2elbL4xgGbIh5L+jHQ+QDfBm6zXfkFKQQRf/d&#10;fO9eyT7ii/x/Kt/NWzt83TBvgs2XGPx8crlutOrie9HunwAAAP//AwBQSwMEFAAGAAgAAAAhAMeB&#10;yDDhAAAACgEAAA8AAABkcnMvZG93bnJldi54bWxMj0FLw0AUhO+C/2F5grd2s7YJNmZTSlFPRbAV&#10;xNtr8pqEZt+G7DZJ/73ryR6HGWa+ydaTacVAvWssa1DzCARxYcuGKw1fh7fZMwjnkUtsLZOGKzlY&#10;5/d3GaalHfmThr2vRChhl6KG2vsuldIVNRl0c9sRB+9ke4M+yL6SZY9jKDetfIqiRBpsOCzU2NG2&#10;puK8vxgN7yOOm4V6HXbn0/b6c4g/vneKtH58mDYvIDxN/j8Mf/gBHfLAdLQXLp1oNSzicMVrmKnl&#10;EkQIrCKVgDhqiJNVAjLP5O2F/BcAAP//AwBQSwECLQAUAAYACAAAACEAtoM4kv4AAADhAQAAEwAA&#10;AAAAAAAAAAAAAAAAAAAAW0NvbnRlbnRfVHlwZXNdLnhtbFBLAQItABQABgAIAAAAIQA4/SH/1gAA&#10;AJQBAAALAAAAAAAAAAAAAAAAAC8BAABfcmVscy8ucmVsc1BLAQItABQABgAIAAAAIQAdIx44RAQA&#10;AHcSAAAOAAAAAAAAAAAAAAAAAC4CAABkcnMvZTJvRG9jLnhtbFBLAQItABQABgAIAAAAIQDHgcgw&#10;4QAAAAoBAAAPAAAAAAAAAAAAAAAAAJ4GAABkcnMvZG93bnJldi54bWxQSwUGAAAAAAQABADzAAAA&#10;rAcAAAAA&#10;">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267" o:spid="_x0000_s1191" type="#_x0000_t70" style="position:absolute;top:1101;width:4737;height:30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lVSwwAAANwAAAAPAAAAZHJzL2Rvd25yZXYueG1sRI9Bi8Iw&#10;FITvgv8hPMGLaFoPulajyLILKx5E1x/waJ5NafNSmqzW/fVGEDwOM/MNs9p0thZXan3pWEE6SUAQ&#10;506XXCg4/36PP0D4gKyxdkwK7uRhs+73Vphpd+MjXU+hEBHCPkMFJoQmk9Lnhiz6iWuIo3dxrcUQ&#10;ZVtI3eItwm0tp0kykxZLjgsGG/o0lFenP6tgt6++Lsmh8v+8XYzyUKXaYKrUcNBtlyACdeEdfrV/&#10;tILpbA7PM/EIyPUDAAD//wMAUEsBAi0AFAAGAAgAAAAhANvh9svuAAAAhQEAABMAAAAAAAAAAAAA&#10;AAAAAAAAAFtDb250ZW50X1R5cGVzXS54bWxQSwECLQAUAAYACAAAACEAWvQsW78AAAAVAQAACwAA&#10;AAAAAAAAAAAAAAAfAQAAX3JlbHMvLnJlbHNQSwECLQAUAAYACAAAACEAwfJVUsMAAADcAAAADwAA&#10;AAAAAAAAAAAAAAAHAgAAZHJzL2Rvd25yZXYueG1sUEsFBgAAAAADAAMAtwAAAPcCAAAAAA==&#10;" adj=",1651" fillcolor="#5b9bd5 [3204]" strokecolor="#1f4d78 [1604]" strokeweight="1pt"/>
                <v:shape id="Двойная стрелка вверх/вниз 268" o:spid="_x0000_s1192" type="#_x0000_t70" style="position:absolute;left:50292;top:1017;width:4737;height:30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cEgwgAAANwAAAAPAAAAZHJzL2Rvd25yZXYueG1sRE/NasJA&#10;EL4X+g7LFHqRZpMcRFNXEbHQ4kGMPsCQHbMh2dmQ3Zro03cPQo8f3/9qM9lO3GjwjWMFWZKCIK6c&#10;brhWcDl/fSxA+ICssXNMCu7kYbN+fVlhod3IJ7qVoRYxhH2BCkwIfSGlrwxZ9InriSN3dYPFEOFQ&#10;Sz3gGMNtJ/M0nUuLDccGgz3tDFVt+WsV/Bza/TU9tv7B2+WsCm2mDWZKvb9N208QgabwL366v7WC&#10;fB7XxjPxCMj1HwAAAP//AwBQSwECLQAUAAYACAAAACEA2+H2y+4AAACFAQAAEwAAAAAAAAAAAAAA&#10;AAAAAAAAW0NvbnRlbnRfVHlwZXNdLnhtbFBLAQItABQABgAIAAAAIQBa9CxbvwAAABUBAAALAAAA&#10;AAAAAAAAAAAAAB8BAABfcmVscy8ucmVsc1BLAQItABQABgAIAAAAIQCwbcEgwgAAANwAAAAPAAAA&#10;AAAAAAAAAAAAAAcCAABkcnMvZG93bnJldi54bWxQSwUGAAAAAAMAAwC3AAAA9gIAAAAA&#10;" adj=",1651" fillcolor="#5b9bd5 [3204]" strokecolor="#1f4d78 [1604]" strokeweight="1pt"/>
                <v:shape id="Надпись 269" o:spid="_x0000_s1193" type="#_x0000_t202" style="position:absolute;left:-9017;top:9865;width:22516;height:262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Is+wQAAANwAAAAPAAAAZHJzL2Rvd25yZXYueG1sRI9Ba8JA&#10;FITvBf/D8gQvRTcVKhpdxSoFr0a9P7LPJJh9G7JPk/z7bqHQ4zAz3zCbXe9q9aI2VJ4NfMwSUMS5&#10;txUXBq6X7+kSVBBki7VnMjBQgN129LbB1PqOz/TKpFARwiFFA6VIk2od8pIchplviKN3961DibIt&#10;tG2xi3BX63mSLLTDiuNCiQ0dSsof2dMZkKNU3t7ek7s/d59fwykL2g3GTMb9fg1KqJf/8F/7ZA3M&#10;Fyv4PROPgN7+AAAA//8DAFBLAQItABQABgAIAAAAIQDb4fbL7gAAAIUBAAATAAAAAAAAAAAAAAAA&#10;AAAAAABbQ29udGVudF9UeXBlc10ueG1sUEsBAi0AFAAGAAgAAAAhAFr0LFu/AAAAFQEAAAsAAAAA&#10;AAAAAAAAAAAAHwEAAF9yZWxzLy5yZWxzUEsBAi0AFAAGAAgAAAAhAJaIiz7BAAAA3AAAAA8AAAAA&#10;AAAAAAAAAAAABwIAAGRycy9kb3ducmV2LnhtbFBLBQYAAAAAAwADALcAAAD1AgAAAAA=&#10;" filled="f" stroked="f">
                  <v:textbox>
                    <w:txbxContent>
                      <w:p w14:paraId="79614844" w14:textId="77777777" w:rsidR="001D4931" w:rsidRPr="00926CA8" w:rsidRDefault="001D4931" w:rsidP="002F33D0">
                        <w:pPr>
                          <w:rPr>
                            <w:lang w:val="kk-KZ"/>
                          </w:rPr>
                        </w:pPr>
                        <w:r>
                          <w:rPr>
                            <w:lang w:val="kk-KZ"/>
                          </w:rPr>
                          <w:t>ОБРАТНАЯ СВЯЗЬ</w:t>
                        </w:r>
                      </w:p>
                    </w:txbxContent>
                  </v:textbox>
                </v:shape>
                <v:shape id="Надпись 270" o:spid="_x0000_s1194" type="#_x0000_t202" style="position:absolute;left:36872;top:19940;width:31496;height:262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7y/wQAAANwAAAAPAAAAZHJzL2Rvd25yZXYueG1sRE/NisIw&#10;EL4LvkMYYW+a1oNKNS0qKIvbi+4+wNCMbbGZlCba6tObw4LHj+9/kw2mEQ/qXG1ZQTyLQBAXVtdc&#10;Kvj7PUxXIJxH1thYJgVPcpCl49EGE217PtPj4ksRQtglqKDyvk2kdEVFBt3MtsSBu9rOoA+wK6Xu&#10;sA/hppHzKFpIgzWHhgpb2ldU3C53o+De/zS8P+X5cbF8nQ95EefDLlbqazJs1yA8Df4j/nd/awXz&#10;ZZgfzoQjINM3AAAA//8DAFBLAQItABQABgAIAAAAIQDb4fbL7gAAAIUBAAATAAAAAAAAAAAAAAAA&#10;AAAAAABbQ29udGVudF9UeXBlc10ueG1sUEsBAi0AFAAGAAgAAAAhAFr0LFu/AAAAFQEAAAsAAAAA&#10;AAAAAAAAAAAAHwEAAF9yZWxzLy5yZWxzUEsBAi0AFAAGAAgAAAAhAFRLvL/BAAAA3AAAAA8AAAAA&#10;AAAAAAAAAAAABwIAAGRycy9kb3ducmV2LnhtbFBLBQYAAAAAAwADALcAAAD1AgAAAAA=&#10;" filled="f" stroked="f">
                  <v:textbox>
                    <w:txbxContent>
                      <w:p w14:paraId="241E5D67" w14:textId="77777777" w:rsidR="001D4931" w:rsidRPr="00926CA8" w:rsidRDefault="001D4931" w:rsidP="002F33D0">
                        <w:pPr>
                          <w:rPr>
                            <w:lang w:val="kk-KZ"/>
                          </w:rPr>
                        </w:pPr>
                        <w:r>
                          <w:rPr>
                            <w:lang w:val="kk-KZ"/>
                          </w:rPr>
                          <w:t>ОРГАНИЗАЦИОННОЕ ОБУЧЕНИЕ</w:t>
                        </w:r>
                      </w:p>
                    </w:txbxContent>
                  </v:textbox>
                </v:shape>
              </v:group>
            </w:pict>
          </mc:Fallback>
        </mc:AlternateContent>
      </w:r>
      <w:r w:rsidR="002F33D0" w:rsidRPr="002F33D0">
        <w:rPr>
          <w:rFonts w:ascii="Times New Roman" w:hAnsi="Times New Roman" w:cs="Times New Roman"/>
          <w:noProof/>
          <w:sz w:val="28"/>
          <w:szCs w:val="28"/>
          <w:lang w:eastAsia="ru-RU"/>
        </w:rPr>
        <w:drawing>
          <wp:inline distT="0" distB="0" distL="0" distR="0" wp14:anchorId="67D831FB" wp14:editId="6445E84A">
            <wp:extent cx="4478867" cy="3200400"/>
            <wp:effectExtent l="0" t="0" r="17145" b="19050"/>
            <wp:docPr id="271" name="Схема 27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75059318" w14:textId="77777777" w:rsidR="00356FEF" w:rsidRDefault="00356FEF" w:rsidP="0052009A">
      <w:pPr>
        <w:spacing w:after="0" w:line="240" w:lineRule="auto"/>
        <w:jc w:val="center"/>
        <w:rPr>
          <w:rFonts w:ascii="Times New Roman" w:hAnsi="Times New Roman" w:cs="Times New Roman"/>
          <w:sz w:val="28"/>
          <w:szCs w:val="28"/>
        </w:rPr>
      </w:pPr>
    </w:p>
    <w:p w14:paraId="1D164FE4" w14:textId="2BE07DCB" w:rsidR="002F33D0" w:rsidRPr="002F33D0" w:rsidRDefault="002F33D0" w:rsidP="0052009A">
      <w:pPr>
        <w:spacing w:after="0" w:line="240" w:lineRule="auto"/>
        <w:jc w:val="center"/>
        <w:rPr>
          <w:rFonts w:ascii="Times New Roman" w:hAnsi="Times New Roman" w:cs="Times New Roman"/>
          <w:sz w:val="28"/>
          <w:szCs w:val="28"/>
        </w:rPr>
      </w:pPr>
      <w:r w:rsidRPr="002F33D0">
        <w:rPr>
          <w:rFonts w:ascii="Times New Roman" w:hAnsi="Times New Roman" w:cs="Times New Roman"/>
          <w:sz w:val="28"/>
          <w:szCs w:val="28"/>
        </w:rPr>
        <w:t>Рис</w:t>
      </w:r>
      <w:r w:rsidRPr="002F33D0">
        <w:rPr>
          <w:rFonts w:ascii="Times New Roman" w:hAnsi="Times New Roman" w:cs="Times New Roman"/>
          <w:sz w:val="28"/>
          <w:szCs w:val="28"/>
          <w:lang w:val="kk-KZ"/>
        </w:rPr>
        <w:t>унок</w:t>
      </w:r>
      <w:r w:rsidR="003D0751">
        <w:rPr>
          <w:rFonts w:ascii="Times New Roman" w:hAnsi="Times New Roman" w:cs="Times New Roman"/>
          <w:sz w:val="28"/>
          <w:szCs w:val="28"/>
        </w:rPr>
        <w:t xml:space="preserve"> </w:t>
      </w:r>
      <w:r w:rsidR="003D0751">
        <w:rPr>
          <w:rFonts w:ascii="Times New Roman" w:hAnsi="Times New Roman" w:cs="Times New Roman"/>
          <w:sz w:val="28"/>
          <w:szCs w:val="28"/>
          <w:lang w:val="kk-KZ"/>
        </w:rPr>
        <w:t>1</w:t>
      </w:r>
      <w:r w:rsidR="005129E8">
        <w:rPr>
          <w:rFonts w:ascii="Times New Roman" w:hAnsi="Times New Roman" w:cs="Times New Roman"/>
          <w:sz w:val="28"/>
          <w:szCs w:val="28"/>
          <w:lang w:val="kk-KZ"/>
        </w:rPr>
        <w:t>3</w:t>
      </w:r>
      <w:r w:rsidRPr="002F33D0">
        <w:rPr>
          <w:rFonts w:ascii="Times New Roman" w:hAnsi="Times New Roman" w:cs="Times New Roman"/>
          <w:sz w:val="28"/>
          <w:szCs w:val="28"/>
        </w:rPr>
        <w:t xml:space="preserve"> – Концептуальная модель управления человеческим капиталом и инновационной культурой</w:t>
      </w:r>
    </w:p>
    <w:p w14:paraId="4706779F" w14:textId="77777777" w:rsidR="00356FEF" w:rsidRPr="00356FEF" w:rsidRDefault="00356FEF" w:rsidP="002F33D0">
      <w:pPr>
        <w:spacing w:after="0" w:line="240" w:lineRule="auto"/>
        <w:jc w:val="both"/>
        <w:rPr>
          <w:rFonts w:ascii="Times New Roman" w:hAnsi="Times New Roman" w:cs="Times New Roman"/>
          <w:sz w:val="14"/>
          <w:szCs w:val="28"/>
          <w:lang w:val="kk-KZ"/>
        </w:rPr>
      </w:pPr>
    </w:p>
    <w:p w14:paraId="7C03B078" w14:textId="76901113" w:rsidR="002F33D0" w:rsidRPr="00356FEF" w:rsidRDefault="003D0751" w:rsidP="005129E8">
      <w:pPr>
        <w:spacing w:after="0" w:line="240" w:lineRule="auto"/>
        <w:ind w:firstLine="567"/>
        <w:jc w:val="both"/>
        <w:rPr>
          <w:rFonts w:ascii="Times New Roman" w:hAnsi="Times New Roman" w:cs="Times New Roman"/>
          <w:sz w:val="24"/>
          <w:szCs w:val="28"/>
          <w:lang w:val="kk-KZ"/>
        </w:rPr>
      </w:pPr>
      <w:r w:rsidRPr="00356FEF">
        <w:rPr>
          <w:rFonts w:ascii="Times New Roman" w:hAnsi="Times New Roman" w:cs="Times New Roman"/>
          <w:sz w:val="24"/>
          <w:szCs w:val="28"/>
          <w:lang w:val="kk-KZ"/>
        </w:rPr>
        <w:t xml:space="preserve">Примечание – </w:t>
      </w:r>
      <w:r w:rsidR="000F3C80">
        <w:rPr>
          <w:rFonts w:ascii="Times New Roman" w:hAnsi="Times New Roman" w:cs="Times New Roman"/>
          <w:sz w:val="24"/>
          <w:szCs w:val="28"/>
          <w:lang w:val="kk-KZ"/>
        </w:rPr>
        <w:t>С</w:t>
      </w:r>
      <w:r w:rsidRPr="00356FEF">
        <w:rPr>
          <w:rFonts w:ascii="Times New Roman" w:hAnsi="Times New Roman" w:cs="Times New Roman"/>
          <w:sz w:val="24"/>
          <w:szCs w:val="28"/>
          <w:lang w:val="kk-KZ"/>
        </w:rPr>
        <w:t>оставлено автором</w:t>
      </w:r>
    </w:p>
    <w:p w14:paraId="61696C4A" w14:textId="77777777" w:rsidR="005129E8" w:rsidRDefault="005129E8" w:rsidP="002F33D0">
      <w:pPr>
        <w:tabs>
          <w:tab w:val="left" w:pos="851"/>
        </w:tabs>
        <w:spacing w:after="0" w:line="240" w:lineRule="auto"/>
        <w:ind w:firstLine="567"/>
        <w:jc w:val="both"/>
        <w:rPr>
          <w:rFonts w:ascii="Times New Roman" w:hAnsi="Times New Roman" w:cs="Times New Roman"/>
          <w:sz w:val="28"/>
          <w:szCs w:val="28"/>
        </w:rPr>
      </w:pPr>
    </w:p>
    <w:p w14:paraId="3495F936" w14:textId="6646BBD2"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Стратегический уровень ориентирован на формирование долгосрочной логики развития кадровых ресурсов, согласованной с реальными потребностями предприятий в условиях Индустрии 4.0</w:t>
      </w:r>
      <w:r w:rsidR="00616BA5" w:rsidRPr="00616BA5">
        <w:rPr>
          <w:rFonts w:ascii="Times New Roman" w:hAnsi="Times New Roman" w:cs="Times New Roman"/>
          <w:sz w:val="28"/>
          <w:szCs w:val="28"/>
        </w:rPr>
        <w:t xml:space="preserve"> </w:t>
      </w:r>
      <w:r w:rsidR="00616BA5">
        <w:rPr>
          <w:rFonts w:ascii="Times New Roman" w:hAnsi="Times New Roman" w:cs="Times New Roman"/>
          <w:sz w:val="28"/>
          <w:szCs w:val="28"/>
          <w:lang w:val="en-US"/>
        </w:rPr>
        <w:fldChar w:fldCharType="begin"/>
      </w:r>
      <w:r w:rsidR="00AE44BA">
        <w:rPr>
          <w:rFonts w:ascii="Times New Roman" w:hAnsi="Times New Roman" w:cs="Times New Roman"/>
          <w:sz w:val="28"/>
          <w:szCs w:val="28"/>
        </w:rPr>
        <w:instrText xml:space="preserve"> ADDIN ZOTERO_ITEM CSL_CITATION {"citationID":"a1nrm3bknp1","properties":{"formattedCitation":"[258\\uc0\\u8211{}261]","plainCitation":"[258–261]","noteIndex":0},"citationItems":[{"id":353,"uris":["http://zotero.org/users/16887523/items/48F44AK3"],"itemData":{"id":353,"type":"article-journal","abstract":"Background: The advent of Industrial Revolution 4.0 has led to the need to redesign the jobs and skills required across various industries and markets. As the manufacturing industry has the most significant contribution to GDP, it has not escaped the impact of this revolution. The dynamics of industrial growth, which tend to fluctuate from year to year, are also significant indicators of the need for strategic efforts to enhance the sector's resilience and competitiveness. One step that can be taken is to identify the types of future skills required and relevant to the manufacturing industry to adapt to a changing environment.\nPurpose: This study aims to identify the types of future skills needed by the manufacturing industry through a systematic literature review approach in order to obtain a comprehensive overview of relevant and strategic skill trends.\nDesign/methodology/approach: This research employed the Systematic Literature Review (SLR) method, adhering to the Preferred Reporting Items for Systematic Reviews and Meta-Analyses (PRISMA) guidelines. SLR serves as a systematic approach to identifying, evaluating, and synthesizing relevant previous research results, thereby obtaining a comprehensive understanding of the future skills required in the manufacturing industry. In addition, thematic analysis was used to identify and interpret patterns or themes within a dataset, as well as to develop a conceptual model of the study's results.\nFindings/Results: 63 types of future skills were categorized into eight categories. The classification of future skills in this study consists of: 1) Interpersonal Skills, 2) Leadership and Management, 3) adaptive and resilient mindsets, 4) Higher-Order Thinking Skills, 5) Entrepreneurial and Business Skills, 6) Learning and Development; Social and Ethical Responsibility; and 8) Personal Effectiveness.\nConclusion: This research highlights the importance of the manufacturing industry in adapting to the changing demands brought about by Industrial Revolution 4.0 through the development of future skills. This study identified 63 types of future skills. It classifies them into eight main categories, considering the similarity of concepts, interrelationships in their application in the workplace, and the role of each skill in supporting individual readiness to face future challenges.\nOriginality/value: This study has substantial originality value because it fills a significant research gap related to future skills in the manufacturing industry context. The lack of previous studies that specifically address future skill needs in this sector indicates the need for further exploration to strengthen the scientific foundation while making practical contributions. Therefore, this study is the first step in identifying the types of future skills that are relevant and potentially applicable to the manufacturing industry in Indonesia.\nKeywords: future skills, manufacturing industry, soft skills, systematic literature review, thematic analysis","container-title":"Jurnal Aplikasi Bisnis dan Manajemen","DOI":"10.17358/jabm.11.3.1099","ISSN":"2460-7819, 2528-5149","issue":"3","journalAbbreviation":"jabm","license":"https://creativecommons.org/licenses/by/4.0","page":"1099","source":"DOI.org (Crossref)","title":"Identifying the Types of Future Skills Needed in The Manufacturing Industry: A Systematic Literature Review","title-short":"Identifying the Types of Future Skills Needed in The Manufacturing Industry","URL":"https://journal.ipb.ac.id/jabm/article/view/64385","volume":"11","author":[{"family":"Akhilla","given":"Kharismatul Zaenab"},{"family":"Sukmawati","given":"Anggraini"},{"family":"Sartono","given":"Bagus"}],"accessed":{"date-parts":[["2025",11,30]]},"issued":{"date-parts":[["2025",9,25]]}}},{"id":354,"uris":["http://zotero.org/users/16887523/items/RB4AE29D"],"itemData":{"id":354,"type":"article-journal","abstract":"As Industry 5.0 evolved rapidly, it highlighted human technology collaboration, the role of artificial intelligence (AI) and machine learning (ML) in shaping future workplaces.  The use of AI and ML assist in increasing the efficiency of an organization, employee satisfaction, and team dynamics. It also tackles the issues of transparency, trust, and governance. The goal was to see how the frameworks Industry 5.0 fused human values and technological innovations to reshape workspaces. A mixed-methods approach was adopted. Surveys measuring efficiency, adaptability, and job satisfaction were employed to collect quantitative data while semi-structured interviews of employees and managers in technology driven sectors were conducted to gather qualitative data. Statistical studies show that artificial intelligence adoption has a significantly positive impact on workplace efficiency, adaptability and even job satisfaction. The qualitative findings echoed these results; employees appreciated AI for streamlining tasks but were worried about trust, over-reliance and surveillance. The results suggest that AI and machine learning were not used merely as tools, but as partners in transformation. Nonetheless, the sustainable success of these technology tools depends on ensuring transparent governance frameworks, systematic training of employees and ethical safeguards to mitigate risks of bias and inequality. As per the findings of the research, it was concluded that the concept of Industry 5.0 should be viewed as a socio-technical transformation. Thus, enhancing the relationship between human creative and emotional intelligence with technological innovation. Future studies can look into how AI adoption affects mental health. It can also include interdisciplinary studies and longitudinal studies.","container-title":"Kashf Journal of Multidisciplinary Research","DOI":"10.71146/kjmr617","ISSN":"3007-200X, 3007-1992","issue":"09","journalAbbreviation":"Kashf J. Multidiscip. Res.","license":"https://creativecommons.org/licenses/by/4.0","page":"89-102","source":"DOI.org (Crossref)","title":"INDUSTRY 5.0 AND HUMAN–TECHNOLOGY COLLABORATION: THE ROLE OF AI AND MACHINE LEARNING IN SHAPING FUTURE WORKPLACES","title-short":"INDUSTRY 5.0 AND HUMAN–TECHNOLOGY COLLABORATION","URL":"https://kjmr.com.pk/kjmr/article/view/617","volume":"2","author":[{"literal":"Maria Nafees"},{"literal":"Amjad Jumani"},{"literal":"Zoobia Rana"},{"literal":"Hafiz Muhammad Asad Mustafa"},{"literal":"Touqeer Ali Rind"},{"literal":"Muhammad Rizwan Tahir"}],"accessed":{"date-parts":[["2025",11,30]]},"issued":{"date-parts":[["2025",9,15]]}}},{"id":355,"uris":["http://zotero.org/users/16887523/items/QMDB3NAS"],"itemData":{"id":355,"type":"article-journal","abstract":"The transition toward human-centered innovation models, as reflected in Industry 5.0 frameworks, calls for the integration of sustainability and digital ethics into higher education. Despite the growing international discourse, little is known about how systematically these dimensions are embedded in curricula in Central and Eastern Europe. This study addresses this gap by analyzing the extent to which Polish higher education institutions (HEIs) incorporate elements of sustainable development and digital ethics into their educational programs. Drawing on survey data from 187 Polish HEIs, we employed Cramér’s V and chi-square tests to explore bivariate associations, multiple correspondence analysis (MCA) to examine patterns among categorical variables, and ordinal logistic regression to identify key predictors of curricular integration. The results reveal that institutions offering Industry 5.0-oriented specializations and maintaining regular cooperation with enterprises are significantly more likely to achieve full integration of sustainability and ethics, whereas many others remain at a stage of only partial adoption. These findings underscore the uneven progress of curricular reforms and highlight the importance of institutional capacity and external partnerships. This study contributes to theory by extending institutional and resource-based perspectives to curriculum innovation, and it contributes to practice by recommending targeted accreditation standards, cross-sector partnerships, and interdisciplinary modules (e.g., “Artificial Intelligence and Society,” “Sustainable Technology Futures”) as concrete mechanisms for embedding ethical and sustainable innovation competencies in higher education. Implications for policy, institutional practice, and future research are discussed.","container-title":"Sustainability","DOI":"10.3390/su17198530","ISSN":"2071-1050","issue":"19","journalAbbreviation":"Sustainability","language":"en","page":"8530","source":"DOI.org (Crossref)","title":"The Role of Higher Education Institutions in Shaping Sustainability and Digital Ethics in the Era of Industry 5.0: Universities as Incubators of Future Skills","title-short":"The Role of Higher Education Institutions in Shaping Sustainability and Digital Ethics in the Era of Industry 5.0","URL":"https://www.mdpi.com/2071-1050/17/19/8530","volume":"17","author":[{"family":"Olszak","given":"Celina M."},{"family":"Sączewska-Piotrowska","given":"Anna"}],"accessed":{"date-parts":[["2025",11,30]]},"issued":{"date-parts":[["2025",9,23]]}}},{"id":356,"uris":["http://zotero.org/users/16887523/items/WQSG67G3"],"itemData":{"id":356,"type":"article-journal","abstract":"This study examined the relationship between artificial intelligence (AI) usage and critical thinking skills among\nsecond-year BSED-English students. Utilizing a descriptive-correlational research design, data were collected from 89\nrespondents selected through Raosoft sampling. Statistical analysis revealed a moderate positive correlation between AI\nusage and critical thinking skills, suggesting that students who frequently engage with AI tend to exhibit stronger cognitive\nabilities. However, findings indicate that while AI is frequently used for basic academic tasks due to its accessibility, its\npotential to support deeper understanding remains underutilized, highlighting the need for more guided and meaningful\nintegration in learning. Given these findings, educators should encourage proactive AI usage, integrate AI-driven formative\nassessments, and provide digital literacy training. Academic institutions should improve AI accessibility and develop AI\nliteracy programs that emphasize cognitive skill development. Future research should explore AI tools that enhance students’\nability to comprehend complex texts, recognize relationships between ideas, and modify written structures. Optimizing AI\nintegration in education may enhance cognitive development and learning experiences.","container-title":"International Journal of Innovative Science and Research Technology","DOI":"10.38124/ijisrt/25sep951","journalAbbreviation":"International Journal of Innovative Science and Research Technology (IJISRT)","language":"en","page":"1555-1562","source":"DOI.org (Crossref)","title":"Artificial Intelligence (AI) Usage and Critical Thinking Skills of Second Year BSED-English Students","URL":"https://www.ijisrt.com/artificial-intelligence-ai-usage-and-critical-thinking-skills-of-second-year-bsedenglish-students","author":[{"family":"Verano","given":"Renz M."},{"family":"Bantilan","given":"Jenimy A."},{"family":"Castillano","given":"Justine Mae A."},{"family":"Tajaran","given":"Gretchen C."},{"family":"Mantilla","given":"Jeanverly Grethel M."},{"family":"Bongcayat","given":"Jandy T."}],"accessed":{"date-parts":[["2025",11,30]]},"issued":{"date-parts":[["2025",9,26]]}}}],"schema":"https://github.com/citation-style-language/schema/raw/master/csl-citation.json"} </w:instrText>
      </w:r>
      <w:r w:rsidR="00616BA5">
        <w:rPr>
          <w:rFonts w:ascii="Times New Roman" w:hAnsi="Times New Roman" w:cs="Times New Roman"/>
          <w:sz w:val="28"/>
          <w:szCs w:val="28"/>
          <w:lang w:val="en-US"/>
        </w:rPr>
        <w:fldChar w:fldCharType="separate"/>
      </w:r>
      <w:r w:rsidR="00AE44BA" w:rsidRPr="00AE44BA">
        <w:rPr>
          <w:rFonts w:ascii="Times New Roman" w:hAnsi="Times New Roman" w:cs="Times New Roman"/>
          <w:sz w:val="28"/>
          <w:szCs w:val="24"/>
        </w:rPr>
        <w:t>[258–261]</w:t>
      </w:r>
      <w:r w:rsidR="00616BA5">
        <w:rPr>
          <w:rFonts w:ascii="Times New Roman" w:hAnsi="Times New Roman" w:cs="Times New Roman"/>
          <w:sz w:val="28"/>
          <w:szCs w:val="28"/>
          <w:lang w:val="en-US"/>
        </w:rPr>
        <w:fldChar w:fldCharType="end"/>
      </w:r>
      <w:r w:rsidRPr="002F33D0">
        <w:rPr>
          <w:rFonts w:ascii="Times New Roman" w:hAnsi="Times New Roman" w:cs="Times New Roman"/>
          <w:sz w:val="28"/>
          <w:szCs w:val="28"/>
        </w:rPr>
        <w:t>. В качестве основы используется β-структура, полученная в ходе SEM-анализа, что позволяет выделить приоритетные компетенции, оказывающие наибольшее влияние на инновационный потенциал.</w:t>
      </w:r>
    </w:p>
    <w:p w14:paraId="78864BC7" w14:textId="77777777"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К таким компетенциям, прежде всего, относятся:</w:t>
      </w:r>
    </w:p>
    <w:p w14:paraId="53161637" w14:textId="77777777" w:rsidR="002F33D0" w:rsidRPr="002F33D0" w:rsidRDefault="002F33D0" w:rsidP="007F5E68">
      <w:pPr>
        <w:pStyle w:val="a3"/>
        <w:numPr>
          <w:ilvl w:val="0"/>
          <w:numId w:val="30"/>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знание современных технологических трендов</w:t>
      </w:r>
      <w:r w:rsidRPr="002F33D0">
        <w:rPr>
          <w:rFonts w:ascii="Times New Roman" w:hAnsi="Times New Roman" w:cs="Times New Roman"/>
          <w:sz w:val="28"/>
          <w:szCs w:val="28"/>
          <w:lang w:val="kk-KZ"/>
        </w:rPr>
        <w:t>;</w:t>
      </w:r>
    </w:p>
    <w:p w14:paraId="115F1ED0" w14:textId="77777777" w:rsidR="002F33D0" w:rsidRPr="002F33D0" w:rsidRDefault="002F33D0" w:rsidP="007F5E68">
      <w:pPr>
        <w:pStyle w:val="a3"/>
        <w:numPr>
          <w:ilvl w:val="0"/>
          <w:numId w:val="30"/>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навыки работы с ИИ и машинным обучением</w:t>
      </w:r>
      <w:r w:rsidRPr="002F33D0">
        <w:rPr>
          <w:rFonts w:ascii="Times New Roman" w:hAnsi="Times New Roman" w:cs="Times New Roman"/>
          <w:sz w:val="28"/>
          <w:szCs w:val="28"/>
          <w:lang w:val="kk-KZ"/>
        </w:rPr>
        <w:t>;</w:t>
      </w:r>
    </w:p>
    <w:p w14:paraId="092DDB72" w14:textId="77777777" w:rsidR="002F33D0" w:rsidRPr="002F33D0" w:rsidRDefault="002F33D0" w:rsidP="007F5E68">
      <w:pPr>
        <w:pStyle w:val="a3"/>
        <w:numPr>
          <w:ilvl w:val="0"/>
          <w:numId w:val="30"/>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робототехника и управление автоматизированными системами</w:t>
      </w:r>
      <w:r w:rsidRPr="002F33D0">
        <w:rPr>
          <w:rFonts w:ascii="Times New Roman" w:hAnsi="Times New Roman" w:cs="Times New Roman"/>
          <w:sz w:val="28"/>
          <w:szCs w:val="28"/>
          <w:lang w:val="kk-KZ"/>
        </w:rPr>
        <w:t>;</w:t>
      </w:r>
    </w:p>
    <w:p w14:paraId="3F485BA3" w14:textId="77777777" w:rsidR="002F33D0" w:rsidRPr="002F33D0" w:rsidRDefault="002F33D0" w:rsidP="007F5E68">
      <w:pPr>
        <w:pStyle w:val="a3"/>
        <w:numPr>
          <w:ilvl w:val="0"/>
          <w:numId w:val="30"/>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экологическое и устойчивое мышление</w:t>
      </w:r>
      <w:r w:rsidRPr="002F33D0">
        <w:rPr>
          <w:rFonts w:ascii="Times New Roman" w:hAnsi="Times New Roman" w:cs="Times New Roman"/>
          <w:sz w:val="28"/>
          <w:szCs w:val="28"/>
          <w:lang w:val="kk-KZ"/>
        </w:rPr>
        <w:t>;</w:t>
      </w:r>
    </w:p>
    <w:p w14:paraId="55F05108" w14:textId="77777777" w:rsidR="002F33D0" w:rsidRPr="002F33D0" w:rsidRDefault="002F33D0" w:rsidP="007F5E68">
      <w:pPr>
        <w:pStyle w:val="a3"/>
        <w:numPr>
          <w:ilvl w:val="0"/>
          <w:numId w:val="30"/>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критическое и креативное мышление.</w:t>
      </w:r>
    </w:p>
    <w:p w14:paraId="7F61916B" w14:textId="77777777" w:rsidR="002F33D0" w:rsidRPr="002F33D0" w:rsidRDefault="002F33D0" w:rsidP="001D5CF3">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Проектирование компетенций по β-коэффициентам обеспечивает научную обоснованность выбора приоритетных направлений подготовки кадров и позволяет предприятиям формировать кадровые стратегии, ориентированные на технологии будущего.</w:t>
      </w:r>
    </w:p>
    <w:p w14:paraId="5D14BD31" w14:textId="77777777"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Организационный уровень включает инструменты, обеспечивающие преобразование компетенций работников в инновационные результаты. Основное внимание на этом уровне уделяется гибкости управленческих практик и формированию инновационной культуры, выступающей интегратором внутренних ресурсов.</w:t>
      </w:r>
    </w:p>
    <w:p w14:paraId="7FAADC6F" w14:textId="77777777"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Ключевые инструменты организационного уровня:</w:t>
      </w:r>
    </w:p>
    <w:p w14:paraId="58D79425" w14:textId="2BC1890D" w:rsidR="002F33D0" w:rsidRPr="002F33D0" w:rsidRDefault="002F33D0" w:rsidP="007F5E68">
      <w:pPr>
        <w:pStyle w:val="a3"/>
        <w:numPr>
          <w:ilvl w:val="0"/>
          <w:numId w:val="31"/>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lastRenderedPageBreak/>
        <w:t>гибкие HR-практики, основанные на принципах Agile HR</w:t>
      </w:r>
      <w:r w:rsidRPr="002F33D0">
        <w:rPr>
          <w:rFonts w:ascii="Times New Roman" w:hAnsi="Times New Roman" w:cs="Times New Roman"/>
          <w:sz w:val="28"/>
          <w:szCs w:val="28"/>
          <w:lang w:val="kk-KZ"/>
        </w:rPr>
        <w:t xml:space="preserve"> (гибкая модель управления персоналом, ориентированная на короткие циклы улучшений и высокую адаптивность системы)</w:t>
      </w:r>
      <w:r w:rsidR="001D5CF3">
        <w:rPr>
          <w:rFonts w:ascii="Times New Roman" w:hAnsi="Times New Roman" w:cs="Times New Roman"/>
          <w:sz w:val="28"/>
          <w:szCs w:val="28"/>
          <w:lang w:val="kk-KZ"/>
        </w:rPr>
        <w:t xml:space="preserve"> </w:t>
      </w:r>
      <w:r w:rsidR="001D5CF3">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{"citationID":"aa4132p0ed","properties":{"formattedCitation":"[262]","plainCitation":"[262]","noteIndex":0},"citationItems":[{"id":341,"uris":["http://zotero.org/users/16887523/items/KJQ4JVCG"],"itemData":{"id":341,"type":"article-journal","abstract":"Agile HR is well-established in practice and has emerged as an exciting research area in the last 4 years. However, no comprehensive review of the literature on this subject has been conducted. The aim of this paper is to map the current state of agile HR research. We conducted a systematic mapping study and found 86 relevant primary studies. Our findings are organised into seven research topics that fall into two major themes: Agile for HR; how the HR function adopts agile practices, and HR for Agile; how the HR function supports an agile organisation. The HR for Agile theme is more mature, with more research papers, proposed models, and frameworks. We also review the types of publications, venues, and research methods. The body of publications is fragmented and diverse, with most articles published after 2019, primarily in multidisciplinary journals, incorporating a mix of theoretical and empirical approaches. The paper contributes a thematic analysis of research topics, a comparison of traditional with agile HR practices, a list of theories and models used, a new definition of agile HR, research gaps in the literature, and an agenda for future research. Contributions to practice include findings that agile HR practices benefit organisations, that agile talent acquisition facilitates organisational agility, and that HR can transition to agility by making small changes to their practices rather than undergoing radical change. More academic work needs to be done on agile HR to improve conceptual clarity, theory building and development, understanding benefits and value for the business, identifying challenges, understanding contextual factors, and critically exploring outcomes.","container-title":"German Journal of Human Resource Management: Zeitschrift für Personalforschung","DOI":"10.1177/23970022231226316","ISSN":"2397-0022, 2397-0030","issue":"4","journalAbbreviation":"German Journal of Human Resource Management: Zeitschrift für Personalforschung","language":"en","page":"345-374","source":"DOI.org (Crossref)","title":"Agile human resource management: A systematic mapping study","title-short":"Agile human resource management","URL":"https://journals.sagepub.com/doi/10.1177/23970022231226316","volume":"38","author":[{"family":"Moh’d","given":"Shaima’"},{"family":"Gregory","given":"Peggy"},{"family":"Barroca","given":"Leonor"},{"family":"Sharp","given":"Helen"}],"accessed":{"date-parts":[["2025",11,30]]},"issued":{"date-parts":[["2024",11]]}}}],"schema":"https://github.com/citation-style-language/schema/raw/master/csl-citation.json"} </w:instrText>
      </w:r>
      <w:r w:rsidR="001D5CF3">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[262]</w:t>
      </w:r>
      <w:r w:rsidR="001D5CF3">
        <w:rPr>
          <w:rFonts w:ascii="Times New Roman" w:hAnsi="Times New Roman" w:cs="Times New Roman"/>
          <w:sz w:val="28"/>
          <w:szCs w:val="28"/>
          <w:lang w:val="kk-KZ"/>
        </w:rPr>
        <w:fldChar w:fldCharType="end"/>
      </w:r>
      <w:r w:rsidRPr="002F33D0">
        <w:rPr>
          <w:rFonts w:ascii="Times New Roman" w:hAnsi="Times New Roman" w:cs="Times New Roman"/>
          <w:sz w:val="28"/>
          <w:szCs w:val="28"/>
          <w:lang w:val="kk-KZ"/>
        </w:rPr>
        <w:t>;</w:t>
      </w:r>
    </w:p>
    <w:p w14:paraId="615B392A" w14:textId="25A1AC04" w:rsidR="002F33D0" w:rsidRPr="002F33D0" w:rsidRDefault="002F33D0" w:rsidP="007F5E68">
      <w:pPr>
        <w:pStyle w:val="a3"/>
        <w:numPr>
          <w:ilvl w:val="0"/>
          <w:numId w:val="31"/>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системы регулярной обратной связи</w:t>
      </w:r>
      <w:r w:rsidRPr="002F33D0">
        <w:rPr>
          <w:rFonts w:ascii="Times New Roman" w:hAnsi="Times New Roman" w:cs="Times New Roman"/>
          <w:sz w:val="28"/>
          <w:szCs w:val="28"/>
          <w:lang w:val="kk-KZ"/>
        </w:rPr>
        <w:t xml:space="preserve">, </w:t>
      </w:r>
      <w:r w:rsidRPr="002F33D0">
        <w:rPr>
          <w:rFonts w:ascii="Times New Roman" w:hAnsi="Times New Roman" w:cs="Times New Roman"/>
          <w:sz w:val="28"/>
          <w:szCs w:val="28"/>
        </w:rPr>
        <w:t>например</w:t>
      </w:r>
      <w:r w:rsidRPr="002F33D0">
        <w:rPr>
          <w:rFonts w:ascii="Times New Roman" w:hAnsi="Times New Roman" w:cs="Times New Roman"/>
          <w:sz w:val="28"/>
          <w:szCs w:val="28"/>
          <w:lang w:val="kk-KZ"/>
        </w:rPr>
        <w:t>,</w:t>
      </w:r>
      <w:r w:rsidRPr="002F33D0">
        <w:rPr>
          <w:rFonts w:ascii="Times New Roman" w:hAnsi="Times New Roman" w:cs="Times New Roman"/>
          <w:sz w:val="28"/>
          <w:szCs w:val="28"/>
        </w:rPr>
        <w:t xml:space="preserve"> </w:t>
      </w:r>
      <w:r w:rsidRPr="002F33D0">
        <w:rPr>
          <w:rFonts w:ascii="Times New Roman" w:hAnsi="Times New Roman" w:cs="Times New Roman"/>
          <w:sz w:val="28"/>
          <w:szCs w:val="28"/>
          <w:lang w:val="kk-KZ"/>
        </w:rPr>
        <w:t>«</w:t>
      </w:r>
      <w:r w:rsidRPr="002F33D0">
        <w:rPr>
          <w:rFonts w:ascii="Times New Roman" w:hAnsi="Times New Roman" w:cs="Times New Roman"/>
          <w:sz w:val="28"/>
          <w:szCs w:val="28"/>
        </w:rPr>
        <w:t>формат 360°</w:t>
      </w:r>
      <w:r w:rsidRPr="002F33D0">
        <w:rPr>
          <w:rFonts w:ascii="Times New Roman" w:hAnsi="Times New Roman" w:cs="Times New Roman"/>
          <w:sz w:val="28"/>
          <w:szCs w:val="28"/>
          <w:lang w:val="kk-KZ"/>
        </w:rPr>
        <w:t>» (многосторонняя система оценки компетенций, основанная на сборе обратной связи от всех участников взаимодействия)</w:t>
      </w:r>
      <w:r w:rsidR="001D5CF3">
        <w:rPr>
          <w:rFonts w:ascii="Times New Roman" w:hAnsi="Times New Roman" w:cs="Times New Roman"/>
          <w:sz w:val="28"/>
          <w:szCs w:val="28"/>
          <w:lang w:val="kk-KZ"/>
        </w:rPr>
        <w:t xml:space="preserve"> </w:t>
      </w:r>
      <w:r w:rsidR="001D5CF3">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{"citationID":"a194bogl0dp","properties":{"formattedCitation":"[263]","plainCitation":"[263]","noteIndex":0},"citationItems":[{"id":343,"uris":["http://zotero.org/users/16887523/items/I2Q8G8E9"],"itemData":{"id":343,"type":"article-journal","abstract":"Abstract\n            \n              The current agile management literature is missing insight about the challenges agile organisations face regarding human resource management (HRM/HR) – and how they may overcome them. Based on an exploratory case study design, we investigate the managerial challenges in seven pioneering companies, all of them medium-sized firms (SME) from the IT sector in Switzerland. The majority of the qualitative data gathered stems from interviews, that was coded along emerging themes. The results are divided into three sections: a proposed (1)\n              typology for Business Agilists\n              , (2)\n              general challenges\n              and (3)\n              emergent agile HR capabilities\n              . Following the proposition of agile HR as a distributed capability, we discuss several theoretical and practical implications. In essence, particular attention is to be placed on a cultural fit between employees and the agile working environment, which demands individuals to be highly self-reliant and autonomous. This entails the need for a flexible support structure to grow employees’ skills accordingly. The conclusion emphasises addressing the shared responsibility for HR work and the corresponding broad capability development of different role holders, resulting in the suggestion to replace the term HR with\n              people management\n              as a more inclusive bracket for integrative HR, culture and leadership work in agile organisations.","container-title":"Review of Managerial Science","DOI":"10.1007/s11846-022-00570-4","ISSN":"1863-6683, 1863-6691","issue":"6","journalAbbreviation":"Rev Manag Sci","language":"en","page":"2055-2075","source":"DOI.org (Crossref)","title":"Critical HR capabilities in agile organisations a cross-case analysis in swiss SMEs","URL":"https://link.springer.com/10.1007/s11846-022-00570-4","volume":"17","author":[{"family":"Mollet","given":"Léonie S."},{"family":"Kaudela-Baum","given":"Stephanie"}],"accessed":{"date-parts":[["2025",11,30]]},"issued":{"date-parts":[["2023",8]]}}}],"schema":"https://github.com/citation-style-language/schema/raw/master/csl-citation.json"} </w:instrText>
      </w:r>
      <w:r w:rsidR="001D5CF3">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[263]</w:t>
      </w:r>
      <w:r w:rsidR="001D5CF3">
        <w:rPr>
          <w:rFonts w:ascii="Times New Roman" w:hAnsi="Times New Roman" w:cs="Times New Roman"/>
          <w:sz w:val="28"/>
          <w:szCs w:val="28"/>
          <w:lang w:val="kk-KZ"/>
        </w:rPr>
        <w:fldChar w:fldCharType="end"/>
      </w:r>
      <w:r w:rsidRPr="002F33D0">
        <w:rPr>
          <w:rFonts w:ascii="Times New Roman" w:hAnsi="Times New Roman" w:cs="Times New Roman"/>
          <w:sz w:val="28"/>
          <w:szCs w:val="28"/>
          <w:lang w:val="kk-KZ"/>
        </w:rPr>
        <w:t>;</w:t>
      </w:r>
    </w:p>
    <w:p w14:paraId="03ACE56A" w14:textId="7AEBF2DC" w:rsidR="002F33D0" w:rsidRPr="002F33D0" w:rsidRDefault="002F33D0" w:rsidP="007F5E68">
      <w:pPr>
        <w:pStyle w:val="a3"/>
        <w:numPr>
          <w:ilvl w:val="0"/>
          <w:numId w:val="31"/>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культура экспериментирования, допускающая ошибки как элемент инновационного процесса</w:t>
      </w:r>
      <w:r w:rsidR="00B238AA">
        <w:rPr>
          <w:rFonts w:ascii="Times New Roman" w:hAnsi="Times New Roman" w:cs="Times New Roman"/>
          <w:sz w:val="28"/>
          <w:szCs w:val="28"/>
          <w:lang w:val="kk-KZ"/>
        </w:rPr>
        <w:t xml:space="preserve"> </w:t>
      </w:r>
      <w:r w:rsidR="00B238AA">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{"citationID":"apnomg5h2q","properties":{"formattedCitation":"[264]","plainCitation":"[264]","noteIndex":0},"citationItems":[{"id":345,"uris":["http://zotero.org/users/16887523/items/YGZ7PXTE"],"itemData":{"id":345,"type":"article-journal","container-title":"Journal of Business Research","DOI":"10.1016/j.jbusres.2024.115163","ISSN":"01482963","journalAbbreviation":"Journal of Business Research","language":"en","page":"115163","source":"DOI.org (Crossref)","title":"The agile way of working and team adaptive performance: A goal-setting perspective","title-short":"The agile way of working and team adaptive performance","URL":"https://linkinghub.elsevier.com/retrieve/pii/S0148296324006672","volume":"189","author":[{"family":"Steegh","given":"R."},{"family":"De Voorde","given":"K.Van"},{"family":"Paauwe","given":"J."},{"family":"Peeters","given":"T."}],"accessed":{"date-parts":[["2025",11,30]]},"issued":{"date-parts":[["2025",2]]}}}],"schema":"https://github.com/citation-style-language/schema/raw/master/csl-citation.json"} </w:instrText>
      </w:r>
      <w:r w:rsidR="00B238AA">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[264]</w:t>
      </w:r>
      <w:r w:rsidR="00B238AA">
        <w:rPr>
          <w:rFonts w:ascii="Times New Roman" w:hAnsi="Times New Roman" w:cs="Times New Roman"/>
          <w:sz w:val="28"/>
          <w:szCs w:val="28"/>
          <w:lang w:val="kk-KZ"/>
        </w:rPr>
        <w:fldChar w:fldCharType="end"/>
      </w:r>
      <w:r w:rsidRPr="002F33D0">
        <w:rPr>
          <w:rFonts w:ascii="Times New Roman" w:hAnsi="Times New Roman" w:cs="Times New Roman"/>
          <w:sz w:val="28"/>
          <w:szCs w:val="28"/>
          <w:lang w:val="kk-KZ"/>
        </w:rPr>
        <w:t>;</w:t>
      </w:r>
    </w:p>
    <w:p w14:paraId="1AE9CF3A" w14:textId="123CCE97" w:rsidR="002F33D0" w:rsidRPr="002F33D0" w:rsidRDefault="002F33D0" w:rsidP="007F5E68">
      <w:pPr>
        <w:pStyle w:val="a3"/>
        <w:numPr>
          <w:ilvl w:val="0"/>
          <w:numId w:val="31"/>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командные формы работы, обеспечивающие обмен знаниями и быстроту адаптации</w:t>
      </w:r>
      <w:r w:rsidR="00B238AA">
        <w:rPr>
          <w:rFonts w:ascii="Times New Roman" w:hAnsi="Times New Roman" w:cs="Times New Roman"/>
          <w:sz w:val="28"/>
          <w:szCs w:val="28"/>
          <w:lang w:val="kk-KZ"/>
        </w:rPr>
        <w:t xml:space="preserve"> </w:t>
      </w:r>
      <w:r w:rsidR="00B238AA">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{"citationID":"a19tjndc8ou","properties":{"formattedCitation":"[265]","plainCitation":"[265]","noteIndex":0},"citationItems":[{"id":346,"uris":["http://zotero.org/users/16887523/items/I55ISEUQ"],"itemData":{"id":346,"type":"article-journal","abstract":"Purpose\n              This study aims to investigate the influence of transformational leadership (TL) on product and process innovation in the banking sector, emphasizing the moderating role of knowledge sharing (KS). While TL has been recognized for fostering innovation through mechanisms such as idealized influence, intellectual stimulation, and individualized consideration, its interplay with KS remains underexplored in the context of developing economies.\n            \n            \n              Design/methodology/approach\n              A quantitative, cross-sectional research design was adopted. Data were collected from 418 employees working in banks in Jordan, using self-administered in person survey. Partial Least Squares Structural Equation Modelling (PLS-SEM) was employed to test the hypotheses and validate the proposed conceptual framework.\n            \n            \n              Findings\n              The findings affirm a direct positive relationship between TL and both product and process innovation. Moreover, KS showed a moderation effect on the relation between TL on one side and both process and product innovation on the other. The impact of TL on the ProdInn and ProcInn was strengthened with the moderation of KS among employees with banking sector.\n            \n            \n              Originality/value\n              The study provides valuable insights for both theory and practice, recommending enhanced TL practices and organizational strategies to foster innovation, including building trust and encouraging knowledge-sharing behaviors. Future research should explore these dynamics across diverse sectors and longitudinal contexts to deepen understanding of TL’s role in driving innovation. Practically, the findings underscore crucial considerations for banking sector aiming to effectively leverage TL to improve process and product innovation that will lead to improved performance and competitive advantage.","container-title":"Strategy &amp; Leadership","DOI":"10.1108/SL-05-2025-0118","ISSN":"1087-8572, 1758-9568","language":"en","source":"DOI.org (Crossref)","title":"Driving innovation in banking sector: the role of transformational leadership and knowledge sharing","title-short":"Driving innovation in banking sector","URL":"https://www.emerald.com/sl/article/doi/10.1108/SL-05-2025-0118/1300312/Driving-innovation-in-banking-sector-the-role-of","author":[{"family":"Shyyab","given":"Yaser"},{"family":"Mutahar","given":"Ahmed M."},{"family":"Zouria","given":"Ayoub"},{"family":"Rawlinson","given":"Jacqueline"}],"accessed":{"date-parts":[["2025",11,30]]},"issued":{"date-parts":[["2025",9,26]]}}}],"schema":"https://github.com/citation-style-language/schema/raw/master/csl-citation.json"} </w:instrText>
      </w:r>
      <w:r w:rsidR="00B238AA">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[265]</w:t>
      </w:r>
      <w:r w:rsidR="00B238AA">
        <w:rPr>
          <w:rFonts w:ascii="Times New Roman" w:hAnsi="Times New Roman" w:cs="Times New Roman"/>
          <w:sz w:val="28"/>
          <w:szCs w:val="28"/>
          <w:lang w:val="kk-KZ"/>
        </w:rPr>
        <w:fldChar w:fldCharType="end"/>
      </w:r>
      <w:r w:rsidRPr="002F33D0">
        <w:rPr>
          <w:rFonts w:ascii="Times New Roman" w:hAnsi="Times New Roman" w:cs="Times New Roman"/>
          <w:sz w:val="28"/>
          <w:szCs w:val="28"/>
          <w:lang w:val="kk-KZ"/>
        </w:rPr>
        <w:t>;</w:t>
      </w:r>
    </w:p>
    <w:p w14:paraId="16BFB4FF" w14:textId="326F9D32" w:rsidR="002F33D0" w:rsidRPr="002F33D0" w:rsidRDefault="002F33D0" w:rsidP="007F5E68">
      <w:pPr>
        <w:pStyle w:val="a3"/>
        <w:numPr>
          <w:ilvl w:val="0"/>
          <w:numId w:val="31"/>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системы стимулов, направленные на поддержку рискоустойчивых инициатив</w:t>
      </w:r>
      <w:r w:rsidR="00B238AA">
        <w:rPr>
          <w:rFonts w:ascii="Times New Roman" w:hAnsi="Times New Roman" w:cs="Times New Roman"/>
          <w:sz w:val="28"/>
          <w:szCs w:val="28"/>
          <w:lang w:val="kk-KZ"/>
        </w:rPr>
        <w:t xml:space="preserve"> </w:t>
      </w:r>
      <w:r w:rsidR="00B238AA">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{"citationID":"a274ga4aapp","properties":{"formattedCitation":"[266]","plainCitation":"[266]","noteIndex":0},"citationItems":[{"id":347,"uris":["http://zotero.org/users/16887523/items/98VYVKDR"],"itemData":{"id":347,"type":"article-journal","abstract":"Aim. This study investigates the interplay between process improvement (PRI), organizational innovation (OIN), knowledge sharing (KWS), and product innovation (PIN) in small commercial enterprises, framed within the Resource-Based View (RBV) paradigm.\nMethod. Given the relationship of the variables, the Structural equation modeling (SEM) was the most appropriate technique employed to analyze the relationships among these constructs, focusing on mediation effects and pathways influencing innovation outcomes. The results show a direct and positively significant relationship between PRI, OIN, KWS, and PIN, underscoring their synergistic roles in driving innovation. Whereas Knowledge sharing (KWS) mediates the influence of organizational factors (cultural norms, organizational structure and use of advanced technological infrastructure) on product innovation (PIN). The process improvement (PRI) acts as an intermediary between knowledge transfer, organizational change, and PIN. Organizational Innovation (OIN) directly enhances both product innovation (PIN) and knowledge-sharing practices, fostering a culture of continuous improvement.\nResults. The findings validate RBV’s relevance in small enterprises, highlighting how intangible resources (e.g., knowledge, processes) drive competitive advantage through innovation. The dual mediation roles of KWS and PRI clarify mechanisms linking organizational capabilities to innovation outcomes.\nConclusion. Small enterprises should prioritize the cultivation of a knowledge-sharing culture and robust technological infrastructure to amplify innovation, aligning process improvement initiatives with organizational change strategies to bridge gaps between knowledge and product development.","container-title":"Journal of Education Culture and Society","DOI":"10.15503/jecs2025.3.213.233","ISSN":"2081-1640, 2081-1640","issue":"2","journalAbbreviation":"JECS","license":"http://creativecommons.org/licenses/by/4.0","page":"213-233","source":"DOI.org (Crossref)","title":"The Knowledge-Innovation Pathway: How Organizational Culture, Structure, and Technology Drive Process Improvement and Product Innovation","title-short":"The Knowledge-Innovation Pathway","URL":"https://www.jecs.pl/index.php/jecs/article/view/1836","volume":"16","author":[{"family":"Abbass","given":"Muzaffar"},{"family":"Mahmood","given":"Haider"},{"family":"Furqan","given":"Maham"},{"family":"Qaralleh","given":"Thikryat Jibril"}],"accessed":{"date-parts":[["2025",11,30]]},"issued":{"date-parts":[["2025",9,23]]}}}],"schema":"https://github.com/citation-style-language/schema/raw/master/csl-citation.json"} </w:instrText>
      </w:r>
      <w:r w:rsidR="00B238AA">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[266]</w:t>
      </w:r>
      <w:r w:rsidR="00B238AA">
        <w:rPr>
          <w:rFonts w:ascii="Times New Roman" w:hAnsi="Times New Roman" w:cs="Times New Roman"/>
          <w:sz w:val="28"/>
          <w:szCs w:val="28"/>
          <w:lang w:val="kk-KZ"/>
        </w:rPr>
        <w:fldChar w:fldCharType="end"/>
      </w:r>
      <w:r w:rsidRPr="002F33D0">
        <w:rPr>
          <w:rFonts w:ascii="Times New Roman" w:hAnsi="Times New Roman" w:cs="Times New Roman"/>
          <w:sz w:val="28"/>
          <w:szCs w:val="28"/>
          <w:lang w:val="kk-KZ"/>
        </w:rPr>
        <w:t>;</w:t>
      </w:r>
    </w:p>
    <w:p w14:paraId="538F54B5" w14:textId="01BC0991" w:rsidR="002F33D0" w:rsidRPr="002F33D0" w:rsidRDefault="002F33D0" w:rsidP="007F5E68">
      <w:pPr>
        <w:pStyle w:val="a3"/>
        <w:numPr>
          <w:ilvl w:val="0"/>
          <w:numId w:val="31"/>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поддержка внутренних инновационных проектов</w:t>
      </w:r>
      <w:r w:rsidR="00B238AA">
        <w:rPr>
          <w:rFonts w:ascii="Times New Roman" w:hAnsi="Times New Roman" w:cs="Times New Roman"/>
          <w:sz w:val="28"/>
          <w:szCs w:val="28"/>
          <w:lang w:val="kk-KZ"/>
        </w:rPr>
        <w:t xml:space="preserve"> </w:t>
      </w:r>
      <w:r w:rsidR="00B238AA">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{"citationID":"am9pu25clv","properties":{"formattedCitation":"[267]","plainCitation":"[267]","noteIndex":0},"citationItems":[{"id":348,"uris":["http://zotero.org/users/16887523/items/D8GSF5FB"],"itemData":{"id":348,"type":"article-journal","abstract":"Background and Aim: In the context of the knowledge-driven economy, enhancing innovation capability has become crucial for high-tech enterprises. Although knowledge sharing is widely acknowledged as a driver of innovation, the mechanisms through which explicit and tacit knowledge contribute to different dimensions of innovation remain underexplored. This study aims to clarify how knowledge sharing influences innovation capability by introducing knowledge integration and absorptive capacity as key mediating and moderating variables.\nMaterials and Methods: Based on a comprehensive literature review, a conceptual model was developed. Quantitative empirical methods were employed using a structured questionnaire targeting high-tech firms in China. Data were analyzed through regression models to test the proposed hypotheses regarding the mediating effect of knowledge integration and the moderating effect of absorptive capacity.\nResults: The findings reveal that both explicit and tacit knowledge sharing positively affect innovation capabilities, including organizational, production, and marketing innovation. Knowledge integration significantly mediates this relationship, while absorptive capacity strengthens the effect of knowledge sharing on knowledge integration.\nConclusion: This study contributes to the literature by constructing a mechanism model linking knowledge sharing and innovation capability in high-tech enterprises. It provides theoretical insights for knowledge management research and practical guidance for improving innovation performance through targeted knowledge sharing strategies.","container-title":"International Journal of Sociologies and Anthropologies Science Reviews","DOI":"10.60027/ijsasr.2026.7768","ISSN":"2985-2730","issue":"1","journalAbbreviation":"IJSASR","license":"https://creativecommons.org/licenses/by-nc-nd/4.0","page":"165-178","source":"DOI.org (Crossref)","title":"Research on the Influence Mechanism of Knowledge Sharing on the Innovation Ability of High-tech Enterprises","URL":"https://so07.tci-thaijo.org/index.php/IJSASR/article/view/7768","volume":"6","author":[{"family":"Luo","given":"Kaizheng"},{"family":"Dong","given":"Xueyan"}],"accessed":{"date-parts":[["2025",11,30]]},"issued":{"date-parts":[["2025",9,19]]}}}],"schema":"https://github.com/citation-style-language/schema/raw/master/csl-citation.json"} </w:instrText>
      </w:r>
      <w:r w:rsidR="00B238AA">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[267]</w:t>
      </w:r>
      <w:r w:rsidR="00B238AA">
        <w:rPr>
          <w:rFonts w:ascii="Times New Roman" w:hAnsi="Times New Roman" w:cs="Times New Roman"/>
          <w:sz w:val="28"/>
          <w:szCs w:val="28"/>
          <w:lang w:val="kk-KZ"/>
        </w:rPr>
        <w:fldChar w:fldCharType="end"/>
      </w:r>
      <w:r w:rsidRPr="002F33D0">
        <w:rPr>
          <w:rFonts w:ascii="Times New Roman" w:hAnsi="Times New Roman" w:cs="Times New Roman"/>
          <w:sz w:val="28"/>
          <w:szCs w:val="28"/>
        </w:rPr>
        <w:t>.</w:t>
      </w:r>
    </w:p>
    <w:p w14:paraId="3CB174D4" w14:textId="6DA2E3A7" w:rsidR="002F33D0" w:rsidRDefault="002F33D0" w:rsidP="00B238AA">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Эти элементы позволяют преодолеть выявленный парадокс незначимости формальных HR-процессов: предприятия переходят от административной логики управления персоналом к формированию динамичной организационной среды, внутри которой компетенции работников становятся источником инновационного развития.</w:t>
      </w:r>
    </w:p>
    <w:p w14:paraId="1D046585" w14:textId="2380EF08" w:rsidR="00CB7B36" w:rsidRPr="005129E8" w:rsidRDefault="00CB7B36" w:rsidP="00B238AA">
      <w:pPr>
        <w:tabs>
          <w:tab w:val="left" w:pos="851"/>
        </w:tabs>
        <w:spacing w:after="0" w:line="240" w:lineRule="auto"/>
        <w:ind w:firstLine="567"/>
        <w:jc w:val="both"/>
        <w:rPr>
          <w:rFonts w:ascii="Times New Roman" w:hAnsi="Times New Roman" w:cs="Times New Roman"/>
          <w:sz w:val="28"/>
          <w:szCs w:val="28"/>
        </w:rPr>
      </w:pPr>
      <w:r w:rsidRPr="005129E8">
        <w:rPr>
          <w:rFonts w:ascii="Times New Roman" w:hAnsi="Times New Roman" w:cs="Times New Roman"/>
          <w:sz w:val="28"/>
          <w:szCs w:val="28"/>
        </w:rPr>
        <w:t>Необходимость институционализации человеческого капитала для обеспечения устойчивости предпринимательских структур, особенно в части управления компетенциями и формирования инновационной культуры, согласуется с выводами, подчеркивающими, что мобильность и адаптивность кадров являются критически важными факторами устойчивости рынка труда</w:t>
      </w:r>
      <w:r w:rsidRPr="005129E8">
        <w:rPr>
          <w:rFonts w:ascii="Times New Roman" w:hAnsi="Times New Roman" w:cs="Times New Roman"/>
          <w:sz w:val="28"/>
          <w:szCs w:val="28"/>
          <w:lang w:val="kk-KZ"/>
        </w:rPr>
        <w:t xml:space="preserve"> </w:t>
      </w:r>
      <w:r w:rsidRPr="005129E8">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{"citationID":"a149a1lg4p3","properties":{"formattedCitation":"[268]","plainCitation":"[268]","noteIndex":0},"citationItems":[{"id":375,"uris":["http://zotero.org/users/16887523/items/DDPGBPVT"],"itemData":{"id":375,"type":"article-journal","container-title":"Montenegrin Journal of Economics","DOI":"10.14254/1800-5845/2025.21-3.6","ISSN":"18005845, 18006698","issue":"3","journalAbbreviation":"MNJE","language":"en","license":"CC0 1.0 Universal Public Domain Dedication","page":"67-79","source":"DOI.org (Crossref)","title":"Migration Processes in the Labor Market Associated With the Uncertainty of Behavior of the Employed Population During and After the Pandemic","URL":"https://mnje.com/sites/mnje.com/files/v21n3/067-079%20-%20Denissova%20et%20al..pdf","volume":"21","author":[{"family":"Denissova","given":"Oxana"},{"family":"Suieubayeva","given":"S."},{"family":"Belgibayeva","given":"А."},{"family":"Rakhimberdinova","given":"М."},{"family":"Ordabayeva","given":"М."},{"family":"Sadenova","given":"А."}],"accessed":{"date-parts":[["2025",12,13]]},"issued":{"date-parts":[["2025"]]}}}],"schema":"https://github.com/citation-style-language/schema/raw/master/csl-citation.json"} </w:instrText>
      </w:r>
      <w:r w:rsidRPr="005129E8">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[268]</w:t>
      </w:r>
      <w:r w:rsidRPr="005129E8">
        <w:rPr>
          <w:rFonts w:ascii="Times New Roman" w:hAnsi="Times New Roman" w:cs="Times New Roman"/>
          <w:sz w:val="28"/>
          <w:szCs w:val="28"/>
          <w:lang w:val="kk-KZ"/>
        </w:rPr>
        <w:fldChar w:fldCharType="end"/>
      </w:r>
      <w:r w:rsidRPr="005129E8">
        <w:rPr>
          <w:rFonts w:ascii="Times New Roman" w:hAnsi="Times New Roman" w:cs="Times New Roman"/>
          <w:sz w:val="28"/>
          <w:szCs w:val="28"/>
        </w:rPr>
        <w:t>. При проектировании управленческой модели (</w:t>
      </w:r>
      <w:r w:rsidRPr="005129E8">
        <w:rPr>
          <w:rFonts w:ascii="Times New Roman" w:hAnsi="Times New Roman" w:cs="Times New Roman"/>
          <w:sz w:val="28"/>
          <w:szCs w:val="28"/>
          <w:lang w:val="kk-KZ"/>
        </w:rPr>
        <w:t>с</w:t>
      </w:r>
      <w:r w:rsidRPr="005129E8">
        <w:rPr>
          <w:rFonts w:ascii="Times New Roman" w:hAnsi="Times New Roman" w:cs="Times New Roman"/>
          <w:sz w:val="28"/>
          <w:szCs w:val="28"/>
        </w:rPr>
        <w:t>тратегический уровень) следует использовать β-коэффициенты для приоритетного развития технологических hard-</w:t>
      </w:r>
      <w:r w:rsidRPr="005129E8">
        <w:rPr>
          <w:rFonts w:ascii="Times New Roman" w:hAnsi="Times New Roman" w:cs="Times New Roman"/>
          <w:sz w:val="28"/>
          <w:szCs w:val="28"/>
          <w:lang w:val="kk-KZ"/>
        </w:rPr>
        <w:t>компетенций</w:t>
      </w:r>
      <w:r w:rsidRPr="005129E8">
        <w:rPr>
          <w:rFonts w:ascii="Times New Roman" w:hAnsi="Times New Roman" w:cs="Times New Roman"/>
          <w:sz w:val="28"/>
          <w:szCs w:val="28"/>
        </w:rPr>
        <w:t xml:space="preserve"> (робототехника, Big Data, ИИ) и устойчивого мышления. Развитие этих компетенций обеспечивает устойчивость инновационного потенциала и его адаптацию к условиям цифровой трансформации.</w:t>
      </w:r>
    </w:p>
    <w:p w14:paraId="7EDBB105" w14:textId="77777777"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На индивидуальном уровне ключевым фактором становится способность сотрудников проявлять инициативу, генерировать новые идеи, брать ответственность за инновационные решения и взаимодействовать в междисциплинарных командах. Это требует создания условий, укрепляющих личностную мотивацию и профессиональную автономию сотрудников.</w:t>
      </w:r>
    </w:p>
    <w:p w14:paraId="4D22FC02" w14:textId="77777777" w:rsidR="002F33D0" w:rsidRPr="002F33D0" w:rsidRDefault="002F33D0" w:rsidP="002F33D0">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Основные механизмы индивидуального уровня:</w:t>
      </w:r>
    </w:p>
    <w:p w14:paraId="522AC7D8" w14:textId="79ADA374" w:rsidR="002F33D0" w:rsidRPr="002F33D0" w:rsidRDefault="002F33D0" w:rsidP="007F5E68">
      <w:pPr>
        <w:pStyle w:val="a3"/>
        <w:numPr>
          <w:ilvl w:val="0"/>
          <w:numId w:val="32"/>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развитие креативной автономии</w:t>
      </w:r>
      <w:r w:rsidR="00B238AA">
        <w:rPr>
          <w:rFonts w:ascii="Times New Roman" w:hAnsi="Times New Roman" w:cs="Times New Roman"/>
          <w:sz w:val="28"/>
          <w:szCs w:val="28"/>
          <w:lang w:val="kk-KZ"/>
        </w:rPr>
        <w:t xml:space="preserve"> </w:t>
      </w:r>
      <w:r w:rsidR="00B238AA">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{"citationID":"ae0jton89","properties":{"formattedCitation":"[269]","plainCitation":"[269]","noteIndex":0},"citationItems":[{"id":349,"uris":["http://zotero.org/users/16887523/items/9L3XC768"],"itemData":{"id":349,"type":"article-journal","abstract":"This research report titled creating an immersive connectivist environment to enhance creative innovation skills for higher education aims to 1. design an immersive virtual learning environment that connects knowledge to enhance creative innovation skills for higher education students. 2. evaluate the quality of the designed immersive connectivist virtual learning environment. 3. compare students&amp;rsquo; academic achievement before and after using the immersive environment and 4. examine students&amp;rsquo; satisfaction with the immersive learning environment. The sample group consisted of 30 experts and 33 undergraduate students from Udon Thani Rajabhat University. The findings revealed that 1. creative innovation skills in higher education can be categorized into seven main areas (analytical and problem solving skills, teamwork, storytelling and presentation, self-directed learning, creative risk-taking and experimentation, digital and technological literacy, and adaptability and flexibility). 2. The environment was rated highly appropriate by experts, with an average score of 4.43 and a standard deviation of .50. 3. A paired-sample t-test was conducted to examine the difference in students&amp;rsquo; academic achievement before and after using the immersive learning environment. The results showed that the post-test scores (M = 41.61, SD = 2.68) were significantly higher than the pre-test scores (M = 30.85, SD = 2.48), with a t-value of 12.50 and p &amp;lt; .05. This statistically significant result indicates that the immersive environment had a positive effect on students&amp;rsquo; academic performance and 4. students expressed high satisfaction with the immersive learning experience, with an average score of 4.38 and a standard deviation of .49.","container-title":"Journal of Education and Learning","DOI":"10.5539/jel.v15n1p193","ISSN":"1927-5269, 1927-5250","issue":"1","journalAbbreviation":"JEL","license":"https://creativecommons.org/licenses/by/4.0","page":"193","source":"DOI.org (Crossref)","title":"The Immersive Connectivist Learning Environment to Enhance Creative Innovation Skills for Higher Education","URL":"https://ccsenet.org/journal/index.php/jel/article/view/0/52249","volume":"15","author":[{"family":"Laoha","given":"Rukthin"},{"family":"Bojukrapan","given":"Sutthikarn"}],"accessed":{"date-parts":[["2025",11,30]]},"issued":{"date-parts":[["2025",9,28]]}}}],"schema":"https://github.com/citation-style-language/schema/raw/master/csl-citation.json"} </w:instrText>
      </w:r>
      <w:r w:rsidR="00B238AA">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[269]</w:t>
      </w:r>
      <w:r w:rsidR="00B238AA">
        <w:rPr>
          <w:rFonts w:ascii="Times New Roman" w:hAnsi="Times New Roman" w:cs="Times New Roman"/>
          <w:sz w:val="28"/>
          <w:szCs w:val="28"/>
          <w:lang w:val="kk-KZ"/>
        </w:rPr>
        <w:fldChar w:fldCharType="end"/>
      </w:r>
      <w:r w:rsidRPr="002F33D0">
        <w:rPr>
          <w:rFonts w:ascii="Times New Roman" w:hAnsi="Times New Roman" w:cs="Times New Roman"/>
          <w:sz w:val="28"/>
          <w:szCs w:val="28"/>
          <w:lang w:val="kk-KZ"/>
        </w:rPr>
        <w:t>;</w:t>
      </w:r>
    </w:p>
    <w:p w14:paraId="4E41919E" w14:textId="09E236B7" w:rsidR="002F33D0" w:rsidRPr="002F33D0" w:rsidRDefault="002F33D0" w:rsidP="007F5E68">
      <w:pPr>
        <w:pStyle w:val="a3"/>
        <w:numPr>
          <w:ilvl w:val="0"/>
          <w:numId w:val="32"/>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стимулирование самоуправляемого обучения</w:t>
      </w:r>
      <w:r w:rsidR="00B238AA">
        <w:rPr>
          <w:rFonts w:ascii="Times New Roman" w:hAnsi="Times New Roman" w:cs="Times New Roman"/>
          <w:sz w:val="28"/>
          <w:szCs w:val="28"/>
          <w:lang w:val="kk-KZ"/>
        </w:rPr>
        <w:t xml:space="preserve"> </w:t>
      </w:r>
      <w:r w:rsidR="00B238AA">
        <w:rPr>
          <w:rFonts w:ascii="Times New Roman" w:hAnsi="Times New Roman" w:cs="Times New Roman"/>
          <w:sz w:val="28"/>
          <w:szCs w:val="28"/>
          <w:lang w:val="kk-KZ"/>
        </w:rPr>
        <w:fldChar w:fldCharType="begin"/>
      </w:r>
      <w:r w:rsidR="00AE44BA">
        <w:rPr>
          <w:rFonts w:ascii="Times New Roman" w:hAnsi="Times New Roman" w:cs="Times New Roman"/>
          <w:sz w:val="28"/>
          <w:szCs w:val="28"/>
          <w:lang w:val="kk-KZ"/>
        </w:rPr>
        <w:instrText xml:space="preserve"> ADDIN ZOTERO_ITEM CSL_CITATION {"citationID":"aoe9570qs2","properties":{"formattedCitation":"[270]","plainCitation":"[270]","noteIndex":0},"citationItems":[{"id":350,"uris":["http://zotero.org/users/16887523/items/9JS3CB9Q"],"itemData":{"id":350,"type":"article-journal","abstract":"The study aimed to assess the level of self-directed learning in terms of self-reflexivity, collaboration, and engagement. It also ascertained the level of students' attitudes towards learning in terms of communication and active listening. This study was conducted in Quezon, Bukidnon. The study's respondents were the Hundred Forty-nine (149) STE grade 7 students in Quezon Bukidnon Comprehensive National High School, Division of Bukidnon, during the School Year 2024-2025. Furthermore, it determined whether there was a significant association between the level of self-directed learning and students' attitudes towards learning. The results demonstrated a high level of self-directed learning regarding self-reflection, collaboration, and involvement. The study also found a high level of engagement in students' attitudes towards learning, particularly in the areas of communication and active listening. The findings show a considerable relationship between the amount of self-directed learning and students' attitudes toward learning, implying that as one improves, so does the other. The results show that self-directed learners have a more positive attitude toward learning, particularly in the areas of communication and active listening. As a result, the null hypothesis, which predicted no significant association between these factors, was rejected. These findings emphasize the necessity of developing self-directed learning skills to improve students' general attitudes and involvement in the learning process. These findings suggest that teachers can be trained to identify and implement specific interventions or instructional strategies that promote students' self-directed learning, particularly self-reflexivity, collaboration, and engagement.","container-title":"Psychology and Education: A Multidisciplinary Journal","DOI":"10.70838/pemj.470102","ISSN":"2822-4353","issue":"1","journalAbbreviation":"PEMJ","language":"en","license":"https://scimatic.org/show_manuscript/6401","page":"24-31","source":"DOI.org (Crossref)","title":"Self-Directed Learning and its Impact on Students' Attitude towards Learning","URL":"https://scimatic.org/show_manuscript/6401","volume":"47","author":[{"family":"Maranguis","given":"Mary Grace"},{"family":"Asparin","given":"Ariel"}],"accessed":{"date-parts":[["2025",11,30]]},"issued":{"date-parts":[["2025",9,19]]}}}],"schema":"https://github.com/citation-style-language/schema/raw/master/csl-citation.json"} </w:instrText>
      </w:r>
      <w:r w:rsidR="00B238AA">
        <w:rPr>
          <w:rFonts w:ascii="Times New Roman" w:hAnsi="Times New Roman" w:cs="Times New Roman"/>
          <w:sz w:val="28"/>
          <w:szCs w:val="28"/>
          <w:lang w:val="kk-KZ"/>
        </w:rPr>
        <w:fldChar w:fldCharType="separate"/>
      </w:r>
      <w:r w:rsidR="00AE44BA" w:rsidRPr="00AE44BA">
        <w:rPr>
          <w:rFonts w:ascii="Times New Roman" w:hAnsi="Times New Roman" w:cs="Times New Roman"/>
          <w:sz w:val="28"/>
        </w:rPr>
        <w:t>[270]</w:t>
      </w:r>
      <w:r w:rsidR="00B238AA">
        <w:rPr>
          <w:rFonts w:ascii="Times New Roman" w:hAnsi="Times New Roman" w:cs="Times New Roman"/>
          <w:sz w:val="28"/>
          <w:szCs w:val="28"/>
          <w:lang w:val="kk-KZ"/>
        </w:rPr>
        <w:fldChar w:fldCharType="end"/>
      </w:r>
      <w:r w:rsidRPr="002F33D0">
        <w:rPr>
          <w:rFonts w:ascii="Times New Roman" w:hAnsi="Times New Roman" w:cs="Times New Roman"/>
          <w:sz w:val="28"/>
          <w:szCs w:val="28"/>
          <w:lang w:val="kk-KZ"/>
        </w:rPr>
        <w:t>;</w:t>
      </w:r>
    </w:p>
    <w:p w14:paraId="447C46AB" w14:textId="48070F3E" w:rsidR="002F33D0" w:rsidRPr="002F33D0" w:rsidRDefault="002F33D0" w:rsidP="007F5E68">
      <w:pPr>
        <w:pStyle w:val="a3"/>
        <w:numPr>
          <w:ilvl w:val="0"/>
          <w:numId w:val="32"/>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создание среды психологической безопасности, где сотрудники не боятся предлагать идеи и обсуждать ошибки</w:t>
      </w:r>
      <w:r w:rsidR="00B238AA" w:rsidRPr="00B238AA">
        <w:rPr>
          <w:rFonts w:ascii="Times New Roman" w:hAnsi="Times New Roman" w:cs="Times New Roman"/>
          <w:sz w:val="28"/>
          <w:szCs w:val="28"/>
        </w:rPr>
        <w:t xml:space="preserve"> </w:t>
      </w:r>
      <w:r w:rsidR="00B238AA">
        <w:rPr>
          <w:rFonts w:ascii="Times New Roman" w:hAnsi="Times New Roman" w:cs="Times New Roman"/>
          <w:sz w:val="28"/>
          <w:szCs w:val="28"/>
          <w:lang w:val="en-US"/>
        </w:rPr>
        <w:fldChar w:fldCharType="begin"/>
      </w:r>
      <w:r w:rsidR="00AE44BA">
        <w:rPr>
          <w:rFonts w:ascii="Times New Roman" w:hAnsi="Times New Roman" w:cs="Times New Roman"/>
          <w:sz w:val="28"/>
          <w:szCs w:val="28"/>
        </w:rPr>
        <w:instrText xml:space="preserve"> ADDIN ZOTERO_ITEM CSL_CITATION {"citationID":"a28tuel937p","properties":{"formattedCitation":"[271]","plainCitation":"[271]","noteIndex":0},"citationItems":[{"id":351,"uris":["http://zotero.org/users/16887523/items/RNHAEH6P"],"itemData":{"id":351,"type":"article-journal","abstract":"The conviction that voicing one's opinions won't result in punishment or humiliation is known as Psychological Safety. Learning behaviour is a shift in attitude and conduct brought about by practice, education, training, and experience. Team efficacy is the belief held by all members of the team that they are capable of working effectively together. The ability of a team to achieve its goals and objectives over time is known as team effectiveness. The study is focused on understanding the level of Psychological Safety(PS), Team Learning Behaviour(TLB), Team Efficacy(TE), and Team Effectiveness(TEF) between teams and the correlation between them. The data required for the study was collected through a questionnaire through physical interaction, and the respondents were 100 employees from the manufacturing unit of the automobile industry at Dharwad i.e., 50 from Team 1 and 50 from Team 2. Two teams were considered so that a comparison on the perception of those teams could be made on Psychological Safety, Team Learning Behaviour, Team Efficacy and Team Effectiveness. Further statistical tool the Mann–Whitney U Test was applied to find the statistically significant differences between the perceptions of two Teams on the above parameters, as the data was not normally distributed and a Correlation matrix was done to understand the intercorrelation of Psychological Safety with Team Efficacy and Team Effectiveness, Team Learning Behaviour with Team Efficacy and Team Effectiveness. The results showed that for all four variables ie, Psychological Safety, Team Learning Behaviour, Team Efficacy, and Team Effectiveness, the alternative hypothesis was accepted. According to the overall mean findings, it was found that Psychological Safety, Team Learning Behaviour, Team Efficacy, and team effectiveness were high in Team 1. Inter-correlations were calculated and it was found that Psychological Safety with respect to Team Efficacy and Team Effectiveness there was a moderate degree of correlation, and with respect to Team Learning Behaviour and Team Efficacy, there was a moderate degree of correlation and for Team Learning Behaviour and Team Effectiveness, there was a high degree of correlation.","container-title":"Journal of International Commercial Law and Technology","DOI":"10.61336/Jiclt/25-01-23","issue":"1","journalAbbreviation":"Jiclt","page":"270-281","source":"DOI.org (Crossref)","title":"A Study on Psychological Safety, Team Learning Behavior, And Its Effects on Team Efficacy and Team Effectiveness Between Teams of Blue-Collar Employees","URL":"https://jiclt.com/article/a-study-on-psychological-safety-team-learning-behavior-and-its-effects-on-team-efficacy-and-team-effectiveness-between-teams-of-blue-collar-employees-113/","volume":"6","author":[{"family":"Ainapur","given":"Pooja"},{"family":"Nagendra","given":"S."},{"family":"Nikhila","given":"P."},{"family":"Johnson","given":"F."},{"family":"Musthaf","given":"H."},{"family":"Ramapriya","given":"H.D."}],"accessed":{"date-parts":[["2025",11,30]]},"issued":{"date-parts":[["2025",9,21]]}}}],"schema":"https://github.com/citation-style-language/schema/raw/master/csl-citation.json"} </w:instrText>
      </w:r>
      <w:r w:rsidR="00B238AA">
        <w:rPr>
          <w:rFonts w:ascii="Times New Roman" w:hAnsi="Times New Roman" w:cs="Times New Roman"/>
          <w:sz w:val="28"/>
          <w:szCs w:val="28"/>
          <w:lang w:val="en-US"/>
        </w:rPr>
        <w:fldChar w:fldCharType="separate"/>
      </w:r>
      <w:r w:rsidR="00AE44BA" w:rsidRPr="00AE44BA">
        <w:rPr>
          <w:rFonts w:ascii="Times New Roman" w:hAnsi="Times New Roman" w:cs="Times New Roman"/>
          <w:sz w:val="28"/>
        </w:rPr>
        <w:t>[271]</w:t>
      </w:r>
      <w:r w:rsidR="00B238AA">
        <w:rPr>
          <w:rFonts w:ascii="Times New Roman" w:hAnsi="Times New Roman" w:cs="Times New Roman"/>
          <w:sz w:val="28"/>
          <w:szCs w:val="28"/>
          <w:lang w:val="en-US"/>
        </w:rPr>
        <w:fldChar w:fldCharType="end"/>
      </w:r>
      <w:r w:rsidRPr="002F33D0">
        <w:rPr>
          <w:rFonts w:ascii="Times New Roman" w:hAnsi="Times New Roman" w:cs="Times New Roman"/>
          <w:sz w:val="28"/>
          <w:szCs w:val="28"/>
          <w:lang w:val="kk-KZ"/>
        </w:rPr>
        <w:t>;</w:t>
      </w:r>
    </w:p>
    <w:p w14:paraId="6EAFFA04" w14:textId="185CDBE5" w:rsidR="002F33D0" w:rsidRPr="002F33D0" w:rsidRDefault="002F33D0" w:rsidP="007F5E68">
      <w:pPr>
        <w:pStyle w:val="a3"/>
        <w:numPr>
          <w:ilvl w:val="0"/>
          <w:numId w:val="32"/>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поощрение внутреннего предпринимательства</w:t>
      </w:r>
      <w:r w:rsidR="00B238AA">
        <w:rPr>
          <w:rFonts w:ascii="Times New Roman" w:hAnsi="Times New Roman" w:cs="Times New Roman"/>
          <w:sz w:val="28"/>
          <w:szCs w:val="28"/>
          <w:lang w:val="en-US"/>
        </w:rPr>
        <w:t xml:space="preserve"> </w:t>
      </w:r>
      <w:r w:rsidR="00B238AA">
        <w:rPr>
          <w:rFonts w:ascii="Times New Roman" w:hAnsi="Times New Roman" w:cs="Times New Roman"/>
          <w:sz w:val="28"/>
          <w:szCs w:val="28"/>
          <w:lang w:val="en-US"/>
        </w:rPr>
        <w:fldChar w:fldCharType="begin"/>
      </w:r>
      <w:r w:rsidR="00AE44BA">
        <w:rPr>
          <w:rFonts w:ascii="Times New Roman" w:hAnsi="Times New Roman" w:cs="Times New Roman"/>
          <w:sz w:val="28"/>
          <w:szCs w:val="28"/>
          <w:lang w:val="en-US"/>
        </w:rPr>
        <w:instrText xml:space="preserve"> ADDIN ZOTERO_ITEM CSL_CITATION {"citationID":"apckbv3uh9","properties":{"formattedCitation":"[271]","plainCitation":"[271]","noteIndex":0},"citationItems":[{"id":351,"uris":["http://zotero.org/users/16887523/items/RNHAEH6P"],"itemData":{"id":351,"type":"article-journal","abstract":"The conviction that voicing one's opinions won't result in punishment or humiliation is known as Psychological Safety. Learning behaviour is a shift in attitude and conduct brought about by practice, education, training, and experience. Team efficacy is the belief held by all members of the team that they are capable of working effectively together. The ability of a team to achieve its goals and objectives over time is known as team effectiveness. The study is focused on understanding the level of Psychological Safety(PS), Team Learning Behaviour(TLB), Team Efficacy(TE), and Team Effectiveness(TEF) between teams and the correlation between them. The data required for the study was collected through a questionnaire through physical interaction, and the respondents were 100 employees from the manufacturing unit of the automobile industry at Dharwad i.e., 50 from Team 1 and 50 from Team 2. Two teams were considered so that a comparison on the perception of those teams could be made on Psychological Safety, Team Learning Behaviour, Team Efficacy and Team Effectiveness. Further statistical tool the Mann–Whitney U Test was applied to find the statistically significant differences between the perceptions of two Teams on the above parameters, as the data was not normally distributed and a Correlation matrix was done to understand the intercorrelation of Psychological Safety with Team Efficacy and Team Effectiveness, Team Learning Behaviour with Team Efficacy and Team Effectiveness. The results showed that for all four variables ie, Psychological Safety, Team Learning Behaviour, Team Efficacy, and Team Effectiveness, the alternative hypothesis was accepted. According</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to</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the</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overall</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mean</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findings</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it</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was</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found</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that</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Psychological</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Safety</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Team</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Learning</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Behaviour</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Team</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Efficacy</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and</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team</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effectiveness</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were</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high</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in</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Team</w:instrText>
      </w:r>
      <w:r w:rsidR="00AE44BA" w:rsidRPr="00AE44BA">
        <w:rPr>
          <w:rFonts w:ascii="Times New Roman" w:hAnsi="Times New Roman" w:cs="Times New Roman"/>
          <w:sz w:val="28"/>
          <w:szCs w:val="28"/>
        </w:rPr>
        <w:instrText xml:space="preserve"> 1. </w:instrText>
      </w:r>
      <w:r w:rsidR="00AE44BA">
        <w:rPr>
          <w:rFonts w:ascii="Times New Roman" w:hAnsi="Times New Roman" w:cs="Times New Roman"/>
          <w:sz w:val="28"/>
          <w:szCs w:val="28"/>
          <w:lang w:val="en-US"/>
        </w:rPr>
        <w:instrText>Inter</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correlations</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were</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calculated</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and</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it</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was</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found</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that</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Psychological</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Safety</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with</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respect</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to</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Team</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Efficacy</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and</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Team</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Effectiveness</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there</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was</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a</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moderate</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degree</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of</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correlation</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and</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with</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respect</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to</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Team</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Learning</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Behaviour</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and</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Team</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Efficacy</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there</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was</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a</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moderate</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degree</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of</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correlation</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and</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for</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Team</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Learning</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Behaviour</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and</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Team</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Effectiveness</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there</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was</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a</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high</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degree</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of</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correlation</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container</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title</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Journal</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of</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International</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Commercial</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Law</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and</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Technology</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DOI</w:instrText>
      </w:r>
      <w:r w:rsidR="00AE44BA" w:rsidRPr="00AE44BA">
        <w:rPr>
          <w:rFonts w:ascii="Times New Roman" w:hAnsi="Times New Roman" w:cs="Times New Roman"/>
          <w:sz w:val="28"/>
          <w:szCs w:val="28"/>
        </w:rPr>
        <w:instrText>":"10.61336/</w:instrText>
      </w:r>
      <w:r w:rsidR="00AE44BA">
        <w:rPr>
          <w:rFonts w:ascii="Times New Roman" w:hAnsi="Times New Roman" w:cs="Times New Roman"/>
          <w:sz w:val="28"/>
          <w:szCs w:val="28"/>
          <w:lang w:val="en-US"/>
        </w:rPr>
        <w:instrText>Jiclt</w:instrText>
      </w:r>
      <w:r w:rsidR="00AE44BA" w:rsidRPr="00AE44BA">
        <w:rPr>
          <w:rFonts w:ascii="Times New Roman" w:hAnsi="Times New Roman" w:cs="Times New Roman"/>
          <w:sz w:val="28"/>
          <w:szCs w:val="28"/>
        </w:rPr>
        <w:instrText>/25-01-23","</w:instrText>
      </w:r>
      <w:r w:rsidR="00AE44BA">
        <w:rPr>
          <w:rFonts w:ascii="Times New Roman" w:hAnsi="Times New Roman" w:cs="Times New Roman"/>
          <w:sz w:val="28"/>
          <w:szCs w:val="28"/>
          <w:lang w:val="en-US"/>
        </w:rPr>
        <w:instrText>issue</w:instrText>
      </w:r>
      <w:r w:rsidR="00AE44BA" w:rsidRPr="00AE44BA">
        <w:rPr>
          <w:rFonts w:ascii="Times New Roman" w:hAnsi="Times New Roman" w:cs="Times New Roman"/>
          <w:sz w:val="28"/>
          <w:szCs w:val="28"/>
        </w:rPr>
        <w:instrText>":"1","</w:instrText>
      </w:r>
      <w:r w:rsidR="00AE44BA">
        <w:rPr>
          <w:rFonts w:ascii="Times New Roman" w:hAnsi="Times New Roman" w:cs="Times New Roman"/>
          <w:sz w:val="28"/>
          <w:szCs w:val="28"/>
          <w:lang w:val="en-US"/>
        </w:rPr>
        <w:instrText>journalAbbreviation</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Jiclt</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page</w:instrText>
      </w:r>
      <w:r w:rsidR="00AE44BA" w:rsidRPr="00AE44BA">
        <w:rPr>
          <w:rFonts w:ascii="Times New Roman" w:hAnsi="Times New Roman" w:cs="Times New Roman"/>
          <w:sz w:val="28"/>
          <w:szCs w:val="28"/>
        </w:rPr>
        <w:instrText>":"270-281","</w:instrText>
      </w:r>
      <w:r w:rsidR="00AE44BA">
        <w:rPr>
          <w:rFonts w:ascii="Times New Roman" w:hAnsi="Times New Roman" w:cs="Times New Roman"/>
          <w:sz w:val="28"/>
          <w:szCs w:val="28"/>
          <w:lang w:val="en-US"/>
        </w:rPr>
        <w:instrText>source</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DOI</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org</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Crossref</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title</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A</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Study</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on</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Psychological</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Safety</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Team</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Learning</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Behavior</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And</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Its</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Effects</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on</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Team</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Efficacy</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and</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Team</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Effectiveness</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Between</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Teams</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of</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Blue</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Collar</w:instrText>
      </w:r>
      <w:r w:rsidR="00AE44BA" w:rsidRPr="00AE44BA">
        <w:rPr>
          <w:rFonts w:ascii="Times New Roman" w:hAnsi="Times New Roman" w:cs="Times New Roman"/>
          <w:sz w:val="28"/>
          <w:szCs w:val="28"/>
        </w:rPr>
        <w:instrText xml:space="preserve"> </w:instrText>
      </w:r>
      <w:r w:rsidR="00AE44BA">
        <w:rPr>
          <w:rFonts w:ascii="Times New Roman" w:hAnsi="Times New Roman" w:cs="Times New Roman"/>
          <w:sz w:val="28"/>
          <w:szCs w:val="28"/>
          <w:lang w:val="en-US"/>
        </w:rPr>
        <w:instrText>Employees</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URL</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https</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jiclt</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com</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article</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a</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study</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on</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psychological</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safety</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team</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learning</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behavior</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and</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its</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effects</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on</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team</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efficacy</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and</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team</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effectiveness</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between</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teams</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of</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blue</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collar</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employees</w:instrText>
      </w:r>
      <w:r w:rsidR="00AE44BA" w:rsidRPr="00AE44BA">
        <w:rPr>
          <w:rFonts w:ascii="Times New Roman" w:hAnsi="Times New Roman" w:cs="Times New Roman"/>
          <w:sz w:val="28"/>
          <w:szCs w:val="28"/>
        </w:rPr>
        <w:instrText>-113/","</w:instrText>
      </w:r>
      <w:r w:rsidR="00AE44BA">
        <w:rPr>
          <w:rFonts w:ascii="Times New Roman" w:hAnsi="Times New Roman" w:cs="Times New Roman"/>
          <w:sz w:val="28"/>
          <w:szCs w:val="28"/>
          <w:lang w:val="en-US"/>
        </w:rPr>
        <w:instrText>volume</w:instrText>
      </w:r>
      <w:r w:rsidR="00AE44BA" w:rsidRPr="00AE44BA">
        <w:rPr>
          <w:rFonts w:ascii="Times New Roman" w:hAnsi="Times New Roman" w:cs="Times New Roman"/>
          <w:sz w:val="28"/>
          <w:szCs w:val="28"/>
        </w:rPr>
        <w:instrText>":"6","</w:instrText>
      </w:r>
      <w:r w:rsidR="00AE44BA">
        <w:rPr>
          <w:rFonts w:ascii="Times New Roman" w:hAnsi="Times New Roman" w:cs="Times New Roman"/>
          <w:sz w:val="28"/>
          <w:szCs w:val="28"/>
          <w:lang w:val="en-US"/>
        </w:rPr>
        <w:instrText>author</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family</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Ainapur</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given</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Pooja</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family</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Nagendra</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given</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S</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family</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Nikhila</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given</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P</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family</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Johnson</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given</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F</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family</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Musthaf</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given</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H</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family</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Ramapriya</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given</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H</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D</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accessed</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date</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parts</w:instrText>
      </w:r>
      <w:r w:rsidR="00AE44BA" w:rsidRPr="00AE44BA">
        <w:rPr>
          <w:rFonts w:ascii="Times New Roman" w:hAnsi="Times New Roman" w:cs="Times New Roman"/>
          <w:sz w:val="28"/>
          <w:szCs w:val="28"/>
        </w:rPr>
        <w:instrText>":[["2025",11,30]]},"</w:instrText>
      </w:r>
      <w:r w:rsidR="00AE44BA">
        <w:rPr>
          <w:rFonts w:ascii="Times New Roman" w:hAnsi="Times New Roman" w:cs="Times New Roman"/>
          <w:sz w:val="28"/>
          <w:szCs w:val="28"/>
          <w:lang w:val="en-US"/>
        </w:rPr>
        <w:instrText>issued</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date</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parts</w:instrText>
      </w:r>
      <w:r w:rsidR="00AE44BA" w:rsidRPr="00AE44BA">
        <w:rPr>
          <w:rFonts w:ascii="Times New Roman" w:hAnsi="Times New Roman" w:cs="Times New Roman"/>
          <w:sz w:val="28"/>
          <w:szCs w:val="28"/>
        </w:rPr>
        <w:instrText>":[["2025",9,21]]}}}],"</w:instrText>
      </w:r>
      <w:r w:rsidR="00AE44BA">
        <w:rPr>
          <w:rFonts w:ascii="Times New Roman" w:hAnsi="Times New Roman" w:cs="Times New Roman"/>
          <w:sz w:val="28"/>
          <w:szCs w:val="28"/>
          <w:lang w:val="en-US"/>
        </w:rPr>
        <w:instrText>schema</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https</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github</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com</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citation</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style</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language</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schema</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raw</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master</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csl</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citation</w:instrText>
      </w:r>
      <w:r w:rsidR="00AE44BA" w:rsidRPr="00AE44BA">
        <w:rPr>
          <w:rFonts w:ascii="Times New Roman" w:hAnsi="Times New Roman" w:cs="Times New Roman"/>
          <w:sz w:val="28"/>
          <w:szCs w:val="28"/>
        </w:rPr>
        <w:instrText>.</w:instrText>
      </w:r>
      <w:r w:rsidR="00AE44BA">
        <w:rPr>
          <w:rFonts w:ascii="Times New Roman" w:hAnsi="Times New Roman" w:cs="Times New Roman"/>
          <w:sz w:val="28"/>
          <w:szCs w:val="28"/>
          <w:lang w:val="en-US"/>
        </w:rPr>
        <w:instrText>json</w:instrText>
      </w:r>
      <w:r w:rsidR="00AE44BA" w:rsidRPr="00AE44BA">
        <w:rPr>
          <w:rFonts w:ascii="Times New Roman" w:hAnsi="Times New Roman" w:cs="Times New Roman"/>
          <w:sz w:val="28"/>
          <w:szCs w:val="28"/>
        </w:rPr>
        <w:instrText xml:space="preserve">"} </w:instrText>
      </w:r>
      <w:r w:rsidR="00B238AA">
        <w:rPr>
          <w:rFonts w:ascii="Times New Roman" w:hAnsi="Times New Roman" w:cs="Times New Roman"/>
          <w:sz w:val="28"/>
          <w:szCs w:val="28"/>
          <w:lang w:val="en-US"/>
        </w:rPr>
        <w:fldChar w:fldCharType="separate"/>
      </w:r>
      <w:r w:rsidR="00AE44BA" w:rsidRPr="00AE44BA">
        <w:rPr>
          <w:rFonts w:ascii="Times New Roman" w:hAnsi="Times New Roman" w:cs="Times New Roman"/>
          <w:sz w:val="28"/>
        </w:rPr>
        <w:t>[271]</w:t>
      </w:r>
      <w:r w:rsidR="00B238AA">
        <w:rPr>
          <w:rFonts w:ascii="Times New Roman" w:hAnsi="Times New Roman" w:cs="Times New Roman"/>
          <w:sz w:val="28"/>
          <w:szCs w:val="28"/>
          <w:lang w:val="en-US"/>
        </w:rPr>
        <w:fldChar w:fldCharType="end"/>
      </w:r>
      <w:r w:rsidRPr="002F33D0">
        <w:rPr>
          <w:rFonts w:ascii="Times New Roman" w:hAnsi="Times New Roman" w:cs="Times New Roman"/>
          <w:sz w:val="28"/>
          <w:szCs w:val="28"/>
          <w:lang w:val="kk-KZ"/>
        </w:rPr>
        <w:t>;</w:t>
      </w:r>
    </w:p>
    <w:p w14:paraId="70175ADE" w14:textId="6A865DFF" w:rsidR="002F33D0" w:rsidRPr="002F33D0" w:rsidRDefault="002F33D0" w:rsidP="007F5E68">
      <w:pPr>
        <w:pStyle w:val="a3"/>
        <w:numPr>
          <w:ilvl w:val="0"/>
          <w:numId w:val="32"/>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развитие лидерских компетенций, связанных с устойчивостью, инновационностью и цифровыми навыками</w:t>
      </w:r>
      <w:r w:rsidR="00B238AA" w:rsidRPr="00B238AA">
        <w:rPr>
          <w:rFonts w:ascii="Times New Roman" w:hAnsi="Times New Roman" w:cs="Times New Roman"/>
          <w:sz w:val="28"/>
          <w:szCs w:val="28"/>
        </w:rPr>
        <w:t xml:space="preserve"> </w:t>
      </w:r>
      <w:r w:rsidR="00B238AA">
        <w:rPr>
          <w:rFonts w:ascii="Times New Roman" w:hAnsi="Times New Roman" w:cs="Times New Roman"/>
          <w:sz w:val="28"/>
          <w:szCs w:val="28"/>
          <w:lang w:val="en-US"/>
        </w:rPr>
        <w:fldChar w:fldCharType="begin"/>
      </w:r>
      <w:r w:rsidR="00AE44BA">
        <w:rPr>
          <w:rFonts w:ascii="Times New Roman" w:hAnsi="Times New Roman" w:cs="Times New Roman"/>
          <w:sz w:val="28"/>
          <w:szCs w:val="28"/>
        </w:rPr>
        <w:instrText xml:space="preserve"> ADDIN ZOTERO_ITEM CSL_CITATION {"citationID":"a1t31dli20v","properties":{"formattedCitation":"[272]","plainCitation":"[272]","noteIndex":0},"citationItems":[{"id":352,"uris":["http://zotero.org/users/16887523/items/YA25YUX2"],"itemData":{"id":352,"type":"article-journal","abstract":"Leaders play a crucial role in shaping employees’ safety behaviors (SBs). However, research on broader leadership styles has yielded inconsistent findings, emphasizing the need for a more tailored leadership approach, especially in high-risk industries, such as construction. Applying the social exchange theory and the positive organizational behavior framework, this study examined the impact of safety-specific transformational leadership (SSTL) on SB. This study uses a quantitative research design to collect data from employees of Turkish construction firms in Ankara and Istanbul. A cross-sectional research design was employed, with purposive sampling of data collected from 706 construction workers in Türkiye. The findings indicate that SSTL positively influences both SB and knowledge sharing, whereas knowledge sharing enhances SB. Knowledge sharing mediates the relationship between SSTL and SB. This study’s findings suggest that implementing safety-specific transformational leadership (SSTL) can significantly improve safety behavior among construction workers by promoting knowledge sharing and psychological safety.","container-title":"Buildings","DOI":"10.3390/buildings15183340","ISSN":"2075-5309","issue":"18","journalAbbreviation":"Buildings","language":"en","page":"3340","source":"DOI.org (Crossref)","title":"Using Safety-Specific Transformational Leadership to Improve Safety Behavior Among Construction Workers: Exploring the Role of Knowledge Sharing and Psychological Safety","title-short":"Using Safety-Specific Transformational Leadership to Improve Safety Behavior Among Construction Workers","URL":"https://www.mdpi.com/2075-5309/15/18/3340","volume":"15","author":[{"family":"Ali","given":"Mohamed"},{"family":"Iyiola","given":"Kolawole"},{"family":"Alzubi","given":"Ahmad"},{"family":"Aljuhmani","given":"Hasan Yousef"}],"accessed":{"date-parts":[["2025",11,30]]},"issued":{"date-parts":[["2025",9,15]]}}}],"schema":"https://github.com/citation-style-language/schema/raw/master/csl-citation.json"} </w:instrText>
      </w:r>
      <w:r w:rsidR="00B238AA">
        <w:rPr>
          <w:rFonts w:ascii="Times New Roman" w:hAnsi="Times New Roman" w:cs="Times New Roman"/>
          <w:sz w:val="28"/>
          <w:szCs w:val="28"/>
          <w:lang w:val="en-US"/>
        </w:rPr>
        <w:fldChar w:fldCharType="separate"/>
      </w:r>
      <w:r w:rsidR="00AE44BA" w:rsidRPr="00AE44BA">
        <w:rPr>
          <w:rFonts w:ascii="Times New Roman" w:hAnsi="Times New Roman" w:cs="Times New Roman"/>
          <w:sz w:val="28"/>
        </w:rPr>
        <w:t>[272]</w:t>
      </w:r>
      <w:r w:rsidR="00B238AA">
        <w:rPr>
          <w:rFonts w:ascii="Times New Roman" w:hAnsi="Times New Roman" w:cs="Times New Roman"/>
          <w:sz w:val="28"/>
          <w:szCs w:val="28"/>
          <w:lang w:val="en-US"/>
        </w:rPr>
        <w:fldChar w:fldCharType="end"/>
      </w:r>
      <w:r w:rsidRPr="002F33D0">
        <w:rPr>
          <w:rFonts w:ascii="Times New Roman" w:hAnsi="Times New Roman" w:cs="Times New Roman"/>
          <w:sz w:val="28"/>
          <w:szCs w:val="28"/>
        </w:rPr>
        <w:t>.</w:t>
      </w:r>
    </w:p>
    <w:p w14:paraId="4B05FABF" w14:textId="77777777"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Именно этот уровень обеспечивает превращение человеческого капитала из объекта управления в активный источник инновационного развития.</w:t>
      </w:r>
    </w:p>
    <w:p w14:paraId="3F715438" w14:textId="77777777" w:rsidR="002F33D0" w:rsidRPr="002F33D0" w:rsidRDefault="002F33D0" w:rsidP="0052009A">
      <w:pPr>
        <w:tabs>
          <w:tab w:val="left" w:pos="851"/>
        </w:tabs>
        <w:spacing w:after="0" w:line="240" w:lineRule="auto"/>
        <w:ind w:firstLine="567"/>
        <w:jc w:val="both"/>
        <w:rPr>
          <w:rFonts w:ascii="Times New Roman" w:hAnsi="Times New Roman" w:cs="Times New Roman"/>
          <w:b/>
          <w:sz w:val="28"/>
          <w:szCs w:val="28"/>
        </w:rPr>
      </w:pPr>
      <w:r w:rsidRPr="002F33D0">
        <w:rPr>
          <w:rFonts w:ascii="Times New Roman" w:hAnsi="Times New Roman" w:cs="Times New Roman"/>
          <w:b/>
          <w:sz w:val="28"/>
          <w:szCs w:val="28"/>
        </w:rPr>
        <w:lastRenderedPageBreak/>
        <w:t>3.3.3 Направления развития цифровой адаптации предпринимательских структур</w:t>
      </w:r>
    </w:p>
    <w:p w14:paraId="79B8B238" w14:textId="04DF1E68"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Результаты структурного моделирования</w:t>
      </w:r>
      <w:r w:rsidRPr="002F33D0">
        <w:rPr>
          <w:rFonts w:ascii="Times New Roman" w:hAnsi="Times New Roman" w:cs="Times New Roman"/>
          <w:sz w:val="28"/>
          <w:szCs w:val="28"/>
          <w:lang w:val="kk-KZ"/>
        </w:rPr>
        <w:t xml:space="preserve"> </w:t>
      </w:r>
      <w:r w:rsidRPr="002F33D0">
        <w:rPr>
          <w:rFonts w:ascii="Times New Roman" w:hAnsi="Times New Roman" w:cs="Times New Roman"/>
          <w:sz w:val="28"/>
          <w:szCs w:val="28"/>
        </w:rPr>
        <w:t>(</w:t>
      </w:r>
      <w:r w:rsidRPr="002F33D0">
        <w:rPr>
          <w:rFonts w:ascii="Times New Roman" w:hAnsi="Times New Roman" w:cs="Times New Roman"/>
          <w:sz w:val="28"/>
          <w:szCs w:val="28"/>
          <w:lang w:val="en-US"/>
        </w:rPr>
        <w:t>SEM</w:t>
      </w:r>
      <w:r w:rsidRPr="002F33D0">
        <w:rPr>
          <w:rFonts w:ascii="Times New Roman" w:hAnsi="Times New Roman" w:cs="Times New Roman"/>
          <w:sz w:val="28"/>
          <w:szCs w:val="28"/>
        </w:rPr>
        <w:t xml:space="preserve">), показали, что цифровая адаптация выступает значимым медиатором, усиливающим влияние ресурсных и кадровых факторов на инновационный потенциал предпринимательских структур. При этом сила медиаторного эффекта различается в зависимости от масштаба бизнеса: в малых предприятиях цифровая среда выполняет компенсаторную функцию, в средних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обеспечивает переход к цифровой зрелости, в крупных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играет роль платформы для интеллектуализации производственных и управленческих процессов.</w:t>
      </w:r>
    </w:p>
    <w:p w14:paraId="3D9A124B" w14:textId="7A81F2AA"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rPr>
        <w:t>Таким образом, развитие цифровизации не может рассматриваться как универсальный процесс; оно требует учёта размерных особенностей, уровня цифровой зрелости и степени интеграции цифровых решений в производственные и организационные контуры. Для обоснования проектных решений в рамках настоящего исследования разработана типология цифрового развития предпринимательских структур, отражающая различия в логике цифровой адаптации предприятий</w:t>
      </w:r>
      <w:r w:rsidR="00616BA5" w:rsidRPr="00616BA5">
        <w:rPr>
          <w:rFonts w:ascii="Times New Roman" w:hAnsi="Times New Roman" w:cs="Times New Roman"/>
          <w:sz w:val="28"/>
          <w:szCs w:val="28"/>
        </w:rPr>
        <w:t xml:space="preserve"> </w:t>
      </w:r>
      <w:r w:rsidR="00616BA5">
        <w:rPr>
          <w:rFonts w:ascii="Times New Roman" w:hAnsi="Times New Roman" w:cs="Times New Roman"/>
          <w:sz w:val="28"/>
          <w:szCs w:val="28"/>
          <w:lang w:val="en-US"/>
        </w:rPr>
        <w:fldChar w:fldCharType="begin"/>
      </w:r>
      <w:r w:rsidR="00AE44BA">
        <w:rPr>
          <w:rFonts w:ascii="Times New Roman" w:hAnsi="Times New Roman" w:cs="Times New Roman"/>
          <w:sz w:val="28"/>
          <w:szCs w:val="28"/>
        </w:rPr>
        <w:instrText xml:space="preserve"> ADDIN ZOTERO_ITEM CSL_CITATION {"citationID":"av6lkho4u5","properties":{"formattedCitation":"[61,122,273\\uc0\\u8211{}275]","plainCitation":"[61,122,273–275]","noteIndex":0},"citationItems":[{"id":99,"uris":["http://zotero.org/users/16887523/items/8I9ZDHDJ"],"itemData":{"id":99,"type":"article-journal","container-title":"Discover Sustainability","DOI":"10.1007/s43621-025-01916-0","ISSN":"2662-9984","issue":"1","journalAbbreviation":"Discov Sustain","language":"en","page":"955","source":"DOI.org (Crossref)","title":"How digital capabilities and credit access influence green innovation performance in small and medium enterprises in resource constrained settings","URL":"https://link.springer.com/10.1007/s43621-025-01916-0","volume":"6","author":[{"family":"Bindeeba","given":"Dedrix Stephenson"},{"family":"Tukamushaba","given":"Eddy Kurobuza"},{"family":"Bakashaba","given":"Rennie"}],"accessed":{"date-parts":[["2025",11,22]]},"issued":{"date-parts":[["2025",9,29]]}}},{"id":110,"uris":["http://zotero.org/users/16887523/items/YLH4XTTT"],"itemData":{"id":110,"type":"article-journal","abstract":"This study explores the role of digital transformation in enhancing the resilience and competitive advantage of Small and Medium Enterprises (SMEs) in the post-pandemic era. Through both qualitative and quantitative analyses, the study examines how SMEs have adopted digital technologies, such as e-commerce, cloud computing, and customer relationship management (CRM), to overcome challenges posed by the pandemic and build sustainable advantages. The findings reveal that digital transformation has a significant positive impact on business resilience, operational efficiency, and customer satisfaction. However, challenges such as limited skilled human resources and high initial investment costs remain barriers to full adoption. The study offers practical implications for SME owners and policymakers, emphasizing the need for strategic investments in digital skills and technology, as well as supportive policies to reduce barriers to digital transformation. Despite some limitations, the study contributes to the literature on resilient business models and the role of digital transformation in SMEs.","container-title":"Journal of Economics and Management Scienties","DOI":"10.37034/jems.v8i1.248","ISSN":"2655-6685, 2655-1934","journalAbbreviation":"JEMS","license":"https://creativecommons.org/licenses/by/4.0","page":"1-6","source":"DOI.org (Crossref)","title":"Digital Transformation and Resilient Business Models: Unlocking Competitive Advantage in Post-Pandemic SMEs","title-short":"Digital Transformation and Resilient Business Models","URL":"https://jems.ink/index.php/JEMS/article/view/248","author":[{"family":"Kusuma","given":"Sitta"}],"accessed":{"date-parts":[["2025",11,22]]},"issued":{"date-parts":[["2025",9,29]]}}},{"id":359,"uris":["http://zotero.org/users/16887523/items/36YLE423"],"itemData":{"id":359,"type":"article-journal","abstract":"In the current context of artificial intelligence driving economic digital transformation, enterprise digital maturity has become a critical foundation for creating shared value and enhancing competitiveness within service ecosystems. Existing maturity models often fail to adequately reflect the fundamental changes brought about by AI technology, necessitating that enterprises continuously adjust their business strategies to align with the requirements of service ecosystem development and value co-creation. Digital maturity measures a company's capabilities in integrating digital technologies, data-driven decision-making, and process optimization, significantly enhancing operational efficiency and market responsiveness while connecting consumers, partners, and the entire ecosystem network. This study constructs an AI-enabled digital maturity model encompassing three dimensions: people enhancement, product-driven innovation, and marketing empowerment. It focuses on analyzing the underlying mechanisms through which value co-creation drives a company's competitive advantage. This direction will approach the topic from a theoretical perspective, focusing on how AI technology reshapes the connotations and measurement standards of AI-driven digital maturity: AI-Enhanced People capability, AI-Driven Product Innovation,and AI-Enabled Marketing Empowerment: AI-Enhanced People capability focuses on leveraging AI technologies such as user profiling, behavioral modelling, and social vitality to achieve deep user insights, ecosystem construction, and intelligent interaction capabilities, while emphasizing the use of privacy computing technologies like federated learning to establish a balance between data development and privacy protection; AI-Driven Product Power emphasizes the intelligence of products and adaptive service capabilities enabled by embedded AI functionalities; AI-Enabled Marketing Empowerment focuses on the effectiveness of ultra-personalised customer insights, precise targeting, and automated interaction based on AI algorithms, and how to upgrade 'AI-Enabled Marketing Empowerment' from traditional broad coverage to 'precise targeting and value prediction capabilities' centred on data intelligence.","container-title":"Frontiers in Sustainable Development","DOI":"10.54691/tt5b9s51","ISSN":"2710-0723","issue":"9","journalAbbreviation":"FSD","license":"https://creativecommons.org/licenses/by-nc/4.0","page":"173-180","source":"DOI.org (Crossref)","title":"AI Empowerment and Measurement: Reconstructing the Enterprise Digital Maturity Model and its Implications for Service Ecosystem","title-short":"AI Empowerment and Measurement","URL":"https://fsdjournal.org/index.php/ojs/article/view/183","volume":"5","author":[{"family":"Zhou","given":"Shuqing"}],"accessed":{"date-parts":[["2025",11,30]]},"issued":{"date-parts":[["2025",9,24]]}}},{"id":360,"uris":["http://zotero.org/users/16887523/items/9CLUWQ4U"],"itemData":{"id":360,"type":"article-journal","abstract":"This study examines the influence of digital leadership and green digital innovation on the performance and sustainability of SMEs in Enugu State, Nigeria. The specific objectives are to examine the influence of digital leadership on the adoption of green digital innovation among SMEs in Enugu State, Nigeria, and to assess the impact of digital leadership and green digital innovation on the performance and sustainability of SMEs in Enugu State, Nigeria. This study adopts a quantitative research design, utilizing a structured questionnaire design with a 5-point Likert scale in a primary data collection. The target population consists of SMEs across various sectors from the Small and Medium Enterprises Development Agency of Nigeria (SMEDAN). A sample of 313 SMEs was selected from a population of 1,432 SMEs in Enugu State through stratified random sampling. The results demonstrate sustainability, with a coefficient of 0.462 (p=0.000), while green innovation (GDI) also had a strong positive effect with a coefficient of 0.347 (p=0.000). This study concluded that digital leadership has a significant positive influence on SME performance and sustainability. Therefore, it is imperative for SME managers to adopt green digital practices and improve their digital leadership skills. The study recommends, among others, that SME owners and managers should prioritize the development of their digital leadership capabilities by participating in leadership seminars, training programs, and continuous education that emphasize innovation management and digital transformation.","container-title":"International Journal of Advanced Business Studies","DOI":"10.59857/ctw2g227","ISSN":"2940-2735","issue":"5","journalAbbreviation":"IJABS","license":"https://creativecommons.org/licenses/by-nc-nd/4.0","page":"33-46","source":"DOI.org (Crossref)","title":"Influence of Digital Leadership and Green Digital Innovation on SMEs in Enugu State, Nigeria","URL":"https://besra-journals.net/index.php/ijabs/article/view/137","volume":"4","author":[{"family":"Anusi","given":"Happiness Ifunanya"},{"family":"Dlamini","given":"Bongani Innocent"}],"accessed":{"date-parts":[["2025",11,30]]},"issued":{"date-parts":[["2025",9,25]]}}},{"id":"jo0Cjpe8/R8ZI4Es0","uris":["http://zotero.org/users/16887523/items/V73AC5FZ"],"itemData":{"id":361,"type":"article-journal","abstract":"The article examines conceptual and methodological approaches to assessing the maturity of digital university architecture as an institutional model for education transformation. The methodological basis is systemic analysis, a process-architectural approach, and organizational maturity models – Capability Maturity Model (CMM) and Business Process Maturity Model (BPMM). Particular attention is paid to the application of the international benchmarking APQC Education Process Classification Framework, which allows structuring university activities into development processes, core activities, and support processes. The article states that the maturity of IT architecture directly affects the integration of management and educational processes and determines the strategic role of the IT department in the digital transformation of the university. The use of the BCG matrix made it possible to demonstrate the interdependence between the level of technology maturity and the positioning of information systems in the institution’s management system. The results obtained prove that achieving at least the third level of process management maturity is a prerequisite for the effective implementation of digital transformation, since it is at this stage that the regulation of key processes, coordination of actions between departments, and implementation of best practices are ensured. Thus, integrated assessment of architecture maturity creates the basis for forming a roadmap for digital transformation and strengthening the university’s competitiveness in the global digital economy.","container-title":"Journal of Economics, Finance And Management Studies","DOI":"10.47191/jefms/v8-i9-41","ISSN":"26440490, 26440504","issue":"09","journalAbbreviation":"jefms","source":"DOI.org (Crossref)","title":"Assessing the Maturity of the Digital University Architecture as an Institutional Model for Education Transformation","URL":"https://www.ijefm.co.in/v8i9/41.php","volume":"08","author":[{"family":"Bobro","given":"Natalia"}],"accessed":{"date-parts":[["2025",11,30]]},"issued":{"date-parts":[["2025",9,29]]}}}],"schema":"https://github.com/citation-style-language/schema/raw/master/csl-citation.json"} </w:instrText>
      </w:r>
      <w:r w:rsidR="00616BA5">
        <w:rPr>
          <w:rFonts w:ascii="Times New Roman" w:hAnsi="Times New Roman" w:cs="Times New Roman"/>
          <w:sz w:val="28"/>
          <w:szCs w:val="28"/>
          <w:lang w:val="en-US"/>
        </w:rPr>
        <w:fldChar w:fldCharType="separate"/>
      </w:r>
      <w:r w:rsidR="00AE44BA" w:rsidRPr="00AE44BA">
        <w:rPr>
          <w:rFonts w:ascii="Times New Roman" w:hAnsi="Times New Roman" w:cs="Times New Roman"/>
          <w:sz w:val="28"/>
          <w:szCs w:val="24"/>
        </w:rPr>
        <w:t>[61,122,273–275]</w:t>
      </w:r>
      <w:r w:rsidR="00616BA5">
        <w:rPr>
          <w:rFonts w:ascii="Times New Roman" w:hAnsi="Times New Roman" w:cs="Times New Roman"/>
          <w:sz w:val="28"/>
          <w:szCs w:val="28"/>
          <w:lang w:val="en-US"/>
        </w:rPr>
        <w:fldChar w:fldCharType="end"/>
      </w:r>
      <w:r w:rsidRPr="002F33D0">
        <w:rPr>
          <w:rFonts w:ascii="Times New Roman" w:hAnsi="Times New Roman" w:cs="Times New Roman"/>
          <w:sz w:val="28"/>
          <w:szCs w:val="28"/>
          <w:lang w:val="kk-KZ"/>
        </w:rPr>
        <w:t>.</w:t>
      </w:r>
    </w:p>
    <w:p w14:paraId="5ABC9C23" w14:textId="77777777"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Типология опирается на три ключевых параметра цифровой зрелости:</w:t>
      </w:r>
    </w:p>
    <w:p w14:paraId="10BEE334" w14:textId="77777777" w:rsidR="002F33D0" w:rsidRPr="002F33D0" w:rsidRDefault="002F33D0" w:rsidP="007F5E68">
      <w:pPr>
        <w:pStyle w:val="a3"/>
        <w:numPr>
          <w:ilvl w:val="0"/>
          <w:numId w:val="33"/>
        </w:numPr>
        <w:tabs>
          <w:tab w:val="left" w:pos="851"/>
        </w:tabs>
        <w:spacing w:after="0" w:line="240" w:lineRule="auto"/>
        <w:ind w:left="0"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уровень цифровых ресурсов (инфраструктура, платформы, программные решения);</w:t>
      </w:r>
    </w:p>
    <w:p w14:paraId="061EF85E" w14:textId="77777777" w:rsidR="002F33D0" w:rsidRPr="002F33D0" w:rsidRDefault="002F33D0" w:rsidP="007F5E68">
      <w:pPr>
        <w:pStyle w:val="a3"/>
        <w:numPr>
          <w:ilvl w:val="0"/>
          <w:numId w:val="33"/>
        </w:numPr>
        <w:tabs>
          <w:tab w:val="left" w:pos="851"/>
        </w:tabs>
        <w:spacing w:after="0" w:line="240" w:lineRule="auto"/>
        <w:ind w:left="0"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готовность к трансформации процессов (цифровизация бизнес-процессов, автоматизация, интеграция данных);</w:t>
      </w:r>
    </w:p>
    <w:p w14:paraId="6D2AE3A5" w14:textId="77777777" w:rsidR="002F33D0" w:rsidRPr="002F33D0" w:rsidRDefault="002F33D0" w:rsidP="007F5E68">
      <w:pPr>
        <w:pStyle w:val="a3"/>
        <w:numPr>
          <w:ilvl w:val="0"/>
          <w:numId w:val="33"/>
        </w:numPr>
        <w:tabs>
          <w:tab w:val="left" w:pos="851"/>
        </w:tabs>
        <w:spacing w:after="0" w:line="240" w:lineRule="auto"/>
        <w:ind w:left="0"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инновационная восприимчивость (готовность кадров, культура, стратегическая ориентация).</w:t>
      </w:r>
    </w:p>
    <w:p w14:paraId="216C254F" w14:textId="11A1033B"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 xml:space="preserve">На основе этих параметров выделены дифференцированные направления цифрового развития для малых, средних и </w:t>
      </w:r>
      <w:r w:rsidR="003D0751">
        <w:rPr>
          <w:rFonts w:ascii="Times New Roman" w:hAnsi="Times New Roman" w:cs="Times New Roman"/>
          <w:sz w:val="28"/>
          <w:szCs w:val="28"/>
          <w:lang w:val="kk-KZ"/>
        </w:rPr>
        <w:t>крупных предприятий (таблица 3</w:t>
      </w:r>
      <w:r w:rsidRPr="002F33D0">
        <w:rPr>
          <w:rFonts w:ascii="Times New Roman" w:hAnsi="Times New Roman" w:cs="Times New Roman"/>
          <w:sz w:val="28"/>
          <w:szCs w:val="28"/>
          <w:lang w:val="kk-KZ"/>
        </w:rPr>
        <w:t>6).</w:t>
      </w:r>
    </w:p>
    <w:p w14:paraId="4CDFFE9F" w14:textId="77777777" w:rsidR="002F33D0" w:rsidRPr="002F33D0" w:rsidRDefault="002F33D0" w:rsidP="002F33D0">
      <w:pPr>
        <w:tabs>
          <w:tab w:val="left" w:pos="851"/>
        </w:tabs>
        <w:spacing w:after="0" w:line="240" w:lineRule="auto"/>
        <w:jc w:val="both"/>
        <w:rPr>
          <w:rFonts w:ascii="Times New Roman" w:hAnsi="Times New Roman" w:cs="Times New Roman"/>
          <w:sz w:val="28"/>
          <w:szCs w:val="28"/>
        </w:rPr>
      </w:pPr>
    </w:p>
    <w:p w14:paraId="4837F912" w14:textId="44E3AE8D" w:rsidR="002F33D0" w:rsidRPr="002F33D0" w:rsidRDefault="003D0751" w:rsidP="002F33D0">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3</w:t>
      </w:r>
      <w:r w:rsidR="002F33D0" w:rsidRPr="002F33D0">
        <w:rPr>
          <w:rFonts w:ascii="Times New Roman" w:hAnsi="Times New Roman" w:cs="Times New Roman"/>
          <w:sz w:val="28"/>
          <w:szCs w:val="28"/>
        </w:rPr>
        <w:t>6 – Типология цифрового развития предпринимательских структур по масштабам предприятия</w:t>
      </w:r>
    </w:p>
    <w:p w14:paraId="265B032E" w14:textId="77777777" w:rsidR="002F33D0" w:rsidRPr="003D0751" w:rsidRDefault="002F33D0" w:rsidP="002F33D0">
      <w:pPr>
        <w:tabs>
          <w:tab w:val="left" w:pos="851"/>
        </w:tabs>
        <w:spacing w:after="0" w:line="240" w:lineRule="auto"/>
        <w:jc w:val="both"/>
        <w:rPr>
          <w:rFonts w:ascii="Times New Roman" w:hAnsi="Times New Roman" w:cs="Times New Roman"/>
          <w:sz w:val="20"/>
          <w:szCs w:val="20"/>
        </w:rPr>
      </w:pPr>
    </w:p>
    <w:tbl>
      <w:tblPr>
        <w:tblStyle w:val="a5"/>
        <w:tblW w:w="0" w:type="auto"/>
        <w:tblLayout w:type="fixed"/>
        <w:tblLook w:val="04A0" w:firstRow="1" w:lastRow="0" w:firstColumn="1" w:lastColumn="0" w:noHBand="0" w:noVBand="1"/>
      </w:tblPr>
      <w:tblGrid>
        <w:gridCol w:w="1599"/>
        <w:gridCol w:w="1940"/>
        <w:gridCol w:w="3161"/>
        <w:gridCol w:w="2645"/>
      </w:tblGrid>
      <w:tr w:rsidR="002F33D0" w:rsidRPr="0052009A" w14:paraId="0F23BD90" w14:textId="77777777" w:rsidTr="005129E8">
        <w:tc>
          <w:tcPr>
            <w:tcW w:w="1599" w:type="dxa"/>
            <w:hideMark/>
          </w:tcPr>
          <w:p w14:paraId="0C95B4CF" w14:textId="77777777" w:rsidR="002F33D0" w:rsidRPr="0052009A" w:rsidRDefault="002F33D0" w:rsidP="003D0751">
            <w:pPr>
              <w:ind w:firstLine="0"/>
              <w:jc w:val="center"/>
              <w:rPr>
                <w:rFonts w:eastAsia="Times New Roman"/>
                <w:bCs/>
                <w:szCs w:val="24"/>
                <w:lang w:eastAsia="ru-RU"/>
              </w:rPr>
            </w:pPr>
            <w:r w:rsidRPr="0052009A">
              <w:rPr>
                <w:rFonts w:eastAsia="Times New Roman"/>
                <w:bCs/>
                <w:szCs w:val="24"/>
                <w:lang w:eastAsia="ru-RU"/>
              </w:rPr>
              <w:t>Масштаб предприятия</w:t>
            </w:r>
          </w:p>
        </w:tc>
        <w:tc>
          <w:tcPr>
            <w:tcW w:w="1940" w:type="dxa"/>
            <w:hideMark/>
          </w:tcPr>
          <w:p w14:paraId="66462C68" w14:textId="77777777" w:rsidR="002F33D0" w:rsidRPr="0052009A" w:rsidRDefault="002F33D0" w:rsidP="003D0751">
            <w:pPr>
              <w:ind w:firstLine="0"/>
              <w:jc w:val="center"/>
              <w:rPr>
                <w:rFonts w:eastAsia="Times New Roman"/>
                <w:bCs/>
                <w:szCs w:val="24"/>
                <w:lang w:eastAsia="ru-RU"/>
              </w:rPr>
            </w:pPr>
            <w:r w:rsidRPr="0052009A">
              <w:rPr>
                <w:rFonts w:eastAsia="Times New Roman"/>
                <w:bCs/>
                <w:szCs w:val="24"/>
                <w:lang w:eastAsia="ru-RU"/>
              </w:rPr>
              <w:t>Характер цифровой адаптации</w:t>
            </w:r>
          </w:p>
        </w:tc>
        <w:tc>
          <w:tcPr>
            <w:tcW w:w="3161" w:type="dxa"/>
            <w:hideMark/>
          </w:tcPr>
          <w:p w14:paraId="2D228F5D" w14:textId="77777777" w:rsidR="002F33D0" w:rsidRPr="0052009A" w:rsidRDefault="002F33D0" w:rsidP="003D0751">
            <w:pPr>
              <w:ind w:firstLine="0"/>
              <w:jc w:val="center"/>
              <w:rPr>
                <w:rFonts w:eastAsia="Times New Roman"/>
                <w:bCs/>
                <w:szCs w:val="24"/>
                <w:lang w:eastAsia="ru-RU"/>
              </w:rPr>
            </w:pPr>
            <w:r w:rsidRPr="0052009A">
              <w:rPr>
                <w:rFonts w:eastAsia="Times New Roman"/>
                <w:bCs/>
                <w:szCs w:val="24"/>
                <w:lang w:eastAsia="ru-RU"/>
              </w:rPr>
              <w:t>Основные направления</w:t>
            </w:r>
          </w:p>
        </w:tc>
        <w:tc>
          <w:tcPr>
            <w:tcW w:w="2645" w:type="dxa"/>
            <w:hideMark/>
          </w:tcPr>
          <w:p w14:paraId="21E2A6BF" w14:textId="77777777" w:rsidR="002F33D0" w:rsidRPr="0052009A" w:rsidRDefault="002F33D0" w:rsidP="003D0751">
            <w:pPr>
              <w:ind w:firstLine="0"/>
              <w:jc w:val="center"/>
              <w:rPr>
                <w:rFonts w:eastAsia="Times New Roman"/>
                <w:bCs/>
                <w:szCs w:val="24"/>
                <w:lang w:eastAsia="ru-RU"/>
              </w:rPr>
            </w:pPr>
            <w:r w:rsidRPr="0052009A">
              <w:rPr>
                <w:rFonts w:eastAsia="Times New Roman"/>
                <w:bCs/>
                <w:szCs w:val="24"/>
                <w:lang w:eastAsia="ru-RU"/>
              </w:rPr>
              <w:t>Целевой результат</w:t>
            </w:r>
          </w:p>
        </w:tc>
      </w:tr>
      <w:tr w:rsidR="002F33D0" w:rsidRPr="0052009A" w14:paraId="4FAE46C5" w14:textId="77777777" w:rsidTr="005129E8">
        <w:tc>
          <w:tcPr>
            <w:tcW w:w="1599" w:type="dxa"/>
            <w:hideMark/>
          </w:tcPr>
          <w:p w14:paraId="692BFE6C" w14:textId="77777777" w:rsidR="002F33D0" w:rsidRPr="0052009A" w:rsidRDefault="002F33D0" w:rsidP="003D0751">
            <w:pPr>
              <w:ind w:firstLine="0"/>
              <w:rPr>
                <w:rFonts w:eastAsia="Times New Roman"/>
                <w:szCs w:val="24"/>
                <w:lang w:eastAsia="ru-RU"/>
              </w:rPr>
            </w:pPr>
            <w:r w:rsidRPr="0052009A">
              <w:rPr>
                <w:rFonts w:eastAsia="Times New Roman"/>
                <w:bCs/>
                <w:szCs w:val="24"/>
                <w:lang w:eastAsia="ru-RU"/>
              </w:rPr>
              <w:t>Малые предприятия</w:t>
            </w:r>
          </w:p>
        </w:tc>
        <w:tc>
          <w:tcPr>
            <w:tcW w:w="1940" w:type="dxa"/>
            <w:hideMark/>
          </w:tcPr>
          <w:p w14:paraId="57CC6F84" w14:textId="77777777" w:rsidR="002F33D0" w:rsidRPr="0052009A" w:rsidRDefault="002F33D0" w:rsidP="003D0751">
            <w:pPr>
              <w:ind w:firstLine="0"/>
              <w:rPr>
                <w:rFonts w:eastAsia="Times New Roman"/>
                <w:szCs w:val="24"/>
                <w:lang w:eastAsia="ru-RU"/>
              </w:rPr>
            </w:pPr>
            <w:r w:rsidRPr="0052009A">
              <w:rPr>
                <w:rFonts w:eastAsia="Times New Roman"/>
                <w:szCs w:val="24"/>
                <w:lang w:eastAsia="ru-RU"/>
              </w:rPr>
              <w:t>Компенсаторная цифровизация</w:t>
            </w:r>
          </w:p>
        </w:tc>
        <w:tc>
          <w:tcPr>
            <w:tcW w:w="3161" w:type="dxa"/>
            <w:hideMark/>
          </w:tcPr>
          <w:p w14:paraId="58DF0593" w14:textId="376D0306" w:rsidR="002F33D0" w:rsidRPr="0052009A" w:rsidRDefault="002F33D0" w:rsidP="003D0751">
            <w:pPr>
              <w:ind w:firstLine="0"/>
              <w:rPr>
                <w:rFonts w:eastAsia="Times New Roman"/>
                <w:szCs w:val="24"/>
                <w:lang w:eastAsia="ru-RU"/>
              </w:rPr>
            </w:pPr>
            <w:r w:rsidRPr="0052009A">
              <w:rPr>
                <w:rFonts w:eastAsia="Times New Roman"/>
                <w:szCs w:val="24"/>
                <w:lang w:eastAsia="ru-RU"/>
              </w:rPr>
              <w:t>Облачные сервисы; недорогие ERP Lite; цифровые платежи;  онлайн-обучение</w:t>
            </w:r>
          </w:p>
        </w:tc>
        <w:tc>
          <w:tcPr>
            <w:tcW w:w="2645" w:type="dxa"/>
            <w:hideMark/>
          </w:tcPr>
          <w:p w14:paraId="7EE5C472" w14:textId="77777777" w:rsidR="002F33D0" w:rsidRPr="0052009A" w:rsidRDefault="002F33D0" w:rsidP="003D0751">
            <w:pPr>
              <w:ind w:firstLine="0"/>
              <w:rPr>
                <w:rFonts w:eastAsia="Times New Roman"/>
                <w:szCs w:val="24"/>
                <w:lang w:eastAsia="ru-RU"/>
              </w:rPr>
            </w:pPr>
            <w:r w:rsidRPr="0052009A">
              <w:rPr>
                <w:rFonts w:eastAsia="Times New Roman"/>
                <w:szCs w:val="24"/>
                <w:lang w:eastAsia="ru-RU"/>
              </w:rPr>
              <w:t>Снижение издержек, доступ к рынкам и технологиям без капитальных вложений</w:t>
            </w:r>
          </w:p>
        </w:tc>
      </w:tr>
      <w:tr w:rsidR="002F33D0" w:rsidRPr="0052009A" w14:paraId="0E9D0D35" w14:textId="77777777" w:rsidTr="005129E8">
        <w:tc>
          <w:tcPr>
            <w:tcW w:w="1599" w:type="dxa"/>
            <w:hideMark/>
          </w:tcPr>
          <w:p w14:paraId="6BDDC90F" w14:textId="77777777" w:rsidR="002F33D0" w:rsidRPr="0052009A" w:rsidRDefault="002F33D0" w:rsidP="003D0751">
            <w:pPr>
              <w:ind w:firstLine="0"/>
              <w:rPr>
                <w:rFonts w:eastAsia="Times New Roman"/>
                <w:szCs w:val="24"/>
                <w:lang w:eastAsia="ru-RU"/>
              </w:rPr>
            </w:pPr>
            <w:r w:rsidRPr="0052009A">
              <w:rPr>
                <w:rFonts w:eastAsia="Times New Roman"/>
                <w:bCs/>
                <w:szCs w:val="24"/>
                <w:lang w:eastAsia="ru-RU"/>
              </w:rPr>
              <w:t>Средние предприятия</w:t>
            </w:r>
          </w:p>
        </w:tc>
        <w:tc>
          <w:tcPr>
            <w:tcW w:w="1940" w:type="dxa"/>
            <w:hideMark/>
          </w:tcPr>
          <w:p w14:paraId="367727F4" w14:textId="77777777" w:rsidR="002F33D0" w:rsidRPr="0052009A" w:rsidRDefault="002F33D0" w:rsidP="003D0751">
            <w:pPr>
              <w:ind w:firstLine="0"/>
              <w:rPr>
                <w:rFonts w:eastAsia="Times New Roman"/>
                <w:szCs w:val="24"/>
                <w:lang w:eastAsia="ru-RU"/>
              </w:rPr>
            </w:pPr>
            <w:r w:rsidRPr="0052009A">
              <w:rPr>
                <w:rFonts w:eastAsia="Times New Roman"/>
                <w:szCs w:val="24"/>
                <w:lang w:eastAsia="ru-RU"/>
              </w:rPr>
              <w:t>Цифровая зрелость</w:t>
            </w:r>
          </w:p>
        </w:tc>
        <w:tc>
          <w:tcPr>
            <w:tcW w:w="3161" w:type="dxa"/>
            <w:hideMark/>
          </w:tcPr>
          <w:p w14:paraId="14449DE0" w14:textId="77777777" w:rsidR="002F33D0" w:rsidRPr="0052009A" w:rsidRDefault="002F33D0" w:rsidP="003D0751">
            <w:pPr>
              <w:ind w:firstLine="0"/>
              <w:rPr>
                <w:rFonts w:eastAsia="Times New Roman"/>
                <w:szCs w:val="24"/>
                <w:lang w:eastAsia="ru-RU"/>
              </w:rPr>
            </w:pPr>
            <w:r w:rsidRPr="0052009A">
              <w:rPr>
                <w:rFonts w:eastAsia="Times New Roman"/>
                <w:szCs w:val="24"/>
                <w:lang w:eastAsia="ru-RU"/>
              </w:rPr>
              <w:t>Интеграция ERP/CRM; Big Data; кибербезопасность; сквозная аналитика процессов</w:t>
            </w:r>
          </w:p>
        </w:tc>
        <w:tc>
          <w:tcPr>
            <w:tcW w:w="2645" w:type="dxa"/>
            <w:hideMark/>
          </w:tcPr>
          <w:p w14:paraId="276952DF" w14:textId="77777777" w:rsidR="002F33D0" w:rsidRPr="0052009A" w:rsidRDefault="002F33D0" w:rsidP="003D0751">
            <w:pPr>
              <w:ind w:firstLine="0"/>
              <w:rPr>
                <w:rFonts w:eastAsia="Times New Roman"/>
                <w:szCs w:val="24"/>
                <w:lang w:eastAsia="ru-RU"/>
              </w:rPr>
            </w:pPr>
            <w:r w:rsidRPr="0052009A">
              <w:rPr>
                <w:rFonts w:eastAsia="Times New Roman"/>
                <w:szCs w:val="24"/>
                <w:lang w:eastAsia="ru-RU"/>
              </w:rPr>
              <w:t>Масштабируемость, повышение производительности и управляемости</w:t>
            </w:r>
          </w:p>
        </w:tc>
      </w:tr>
      <w:tr w:rsidR="002F33D0" w:rsidRPr="0052009A" w14:paraId="750D0CF5" w14:textId="77777777" w:rsidTr="005129E8">
        <w:tc>
          <w:tcPr>
            <w:tcW w:w="1599" w:type="dxa"/>
            <w:hideMark/>
          </w:tcPr>
          <w:p w14:paraId="3A1055B7" w14:textId="77777777" w:rsidR="002F33D0" w:rsidRPr="0052009A" w:rsidRDefault="002F33D0" w:rsidP="003D0751">
            <w:pPr>
              <w:ind w:firstLine="0"/>
              <w:rPr>
                <w:rFonts w:eastAsia="Times New Roman"/>
                <w:szCs w:val="24"/>
                <w:lang w:eastAsia="ru-RU"/>
              </w:rPr>
            </w:pPr>
            <w:r w:rsidRPr="0052009A">
              <w:rPr>
                <w:rFonts w:eastAsia="Times New Roman"/>
                <w:bCs/>
                <w:szCs w:val="24"/>
                <w:lang w:eastAsia="ru-RU"/>
              </w:rPr>
              <w:t>Крупные предприятия</w:t>
            </w:r>
          </w:p>
        </w:tc>
        <w:tc>
          <w:tcPr>
            <w:tcW w:w="1940" w:type="dxa"/>
            <w:hideMark/>
          </w:tcPr>
          <w:p w14:paraId="1FB50E72" w14:textId="50280ED2" w:rsidR="002F33D0" w:rsidRPr="0052009A" w:rsidRDefault="008A745C" w:rsidP="003D0751">
            <w:pPr>
              <w:ind w:firstLine="0"/>
              <w:rPr>
                <w:rFonts w:eastAsia="Times New Roman"/>
                <w:szCs w:val="24"/>
                <w:lang w:eastAsia="ru-RU"/>
              </w:rPr>
            </w:pPr>
            <w:r w:rsidRPr="008A745C">
              <w:rPr>
                <w:rFonts w:eastAsia="Times New Roman"/>
                <w:szCs w:val="24"/>
                <w:lang w:eastAsia="ru-RU"/>
              </w:rPr>
              <w:t>Продвинутая</w:t>
            </w:r>
            <w:r>
              <w:rPr>
                <w:rFonts w:eastAsia="Times New Roman"/>
                <w:szCs w:val="24"/>
                <w:lang w:val="kk-KZ" w:eastAsia="ru-RU"/>
              </w:rPr>
              <w:t xml:space="preserve"> </w:t>
            </w:r>
            <w:r w:rsidR="002F33D0" w:rsidRPr="0052009A">
              <w:rPr>
                <w:rFonts w:eastAsia="Times New Roman"/>
                <w:szCs w:val="24"/>
                <w:lang w:eastAsia="ru-RU"/>
              </w:rPr>
              <w:t>цифровизация</w:t>
            </w:r>
          </w:p>
        </w:tc>
        <w:tc>
          <w:tcPr>
            <w:tcW w:w="3161" w:type="dxa"/>
            <w:hideMark/>
          </w:tcPr>
          <w:p w14:paraId="7FF7F165" w14:textId="77777777" w:rsidR="002F33D0" w:rsidRPr="0052009A" w:rsidRDefault="002F33D0" w:rsidP="003D0751">
            <w:pPr>
              <w:ind w:firstLine="0"/>
              <w:rPr>
                <w:rFonts w:eastAsia="Times New Roman"/>
                <w:szCs w:val="24"/>
                <w:lang w:eastAsia="ru-RU"/>
              </w:rPr>
            </w:pPr>
            <w:r w:rsidRPr="0052009A">
              <w:rPr>
                <w:rFonts w:eastAsia="Times New Roman"/>
                <w:szCs w:val="24"/>
                <w:lang w:eastAsia="ru-RU"/>
              </w:rPr>
              <w:t>Искусственный интеллект; роботизация; цифровые двойники; открытые инновации; платформенные модели</w:t>
            </w:r>
          </w:p>
        </w:tc>
        <w:tc>
          <w:tcPr>
            <w:tcW w:w="2645" w:type="dxa"/>
            <w:hideMark/>
          </w:tcPr>
          <w:p w14:paraId="65F4A28E" w14:textId="77777777" w:rsidR="002F33D0" w:rsidRPr="0052009A" w:rsidRDefault="002F33D0" w:rsidP="003D0751">
            <w:pPr>
              <w:ind w:firstLine="0"/>
              <w:rPr>
                <w:rFonts w:eastAsia="Times New Roman"/>
                <w:szCs w:val="24"/>
                <w:lang w:eastAsia="ru-RU"/>
              </w:rPr>
            </w:pPr>
            <w:r w:rsidRPr="0052009A">
              <w:rPr>
                <w:rFonts w:eastAsia="Times New Roman"/>
                <w:szCs w:val="24"/>
                <w:lang w:eastAsia="ru-RU"/>
              </w:rPr>
              <w:t>Интеллектуализация бизнеса, лидерство в отраслевых инновациях</w:t>
            </w:r>
          </w:p>
        </w:tc>
      </w:tr>
    </w:tbl>
    <w:p w14:paraId="565538DF" w14:textId="1743F1F0"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lastRenderedPageBreak/>
        <w:t>С учётом выявленной медиаторной функции цифровизации и типологии развития сформированы приоритетные направления цифровой адаптации для предприятий разных масштабов.</w:t>
      </w:r>
      <w:r w:rsidR="003D0751">
        <w:rPr>
          <w:rFonts w:ascii="Times New Roman" w:hAnsi="Times New Roman" w:cs="Times New Roman"/>
          <w:sz w:val="28"/>
          <w:szCs w:val="28"/>
        </w:rPr>
        <w:t xml:space="preserve"> Они представлены на рисунке </w:t>
      </w:r>
      <w:r w:rsidR="003D0751">
        <w:rPr>
          <w:rFonts w:ascii="Times New Roman" w:hAnsi="Times New Roman" w:cs="Times New Roman"/>
          <w:sz w:val="28"/>
          <w:szCs w:val="28"/>
          <w:lang w:val="kk-KZ"/>
        </w:rPr>
        <w:t>1</w:t>
      </w:r>
      <w:r w:rsidR="005129E8">
        <w:rPr>
          <w:rFonts w:ascii="Times New Roman" w:hAnsi="Times New Roman" w:cs="Times New Roman"/>
          <w:sz w:val="28"/>
          <w:szCs w:val="28"/>
          <w:lang w:val="kk-KZ"/>
        </w:rPr>
        <w:t>4</w:t>
      </w:r>
      <w:r w:rsidRPr="002F33D0">
        <w:rPr>
          <w:rFonts w:ascii="Times New Roman" w:hAnsi="Times New Roman" w:cs="Times New Roman"/>
          <w:sz w:val="28"/>
          <w:szCs w:val="28"/>
        </w:rPr>
        <w:t>.</w:t>
      </w:r>
    </w:p>
    <w:p w14:paraId="543B4A08" w14:textId="11F69963" w:rsidR="002F33D0" w:rsidRPr="002F33D0" w:rsidRDefault="00F65A99" w:rsidP="00F65A99">
      <w:pPr>
        <w:tabs>
          <w:tab w:val="left" w:pos="851"/>
        </w:tabs>
        <w:spacing w:after="0" w:line="240" w:lineRule="auto"/>
        <w:ind w:firstLine="284"/>
        <w:jc w:val="both"/>
        <w:rPr>
          <w:rFonts w:ascii="Times New Roman" w:hAnsi="Times New Roman" w:cs="Times New Roman"/>
          <w:sz w:val="28"/>
          <w:szCs w:val="28"/>
        </w:rPr>
      </w:pPr>
      <w:r w:rsidRPr="002F33D0">
        <w:rPr>
          <w:rFonts w:ascii="Times New Roman" w:hAnsi="Times New Roman" w:cs="Times New Roman"/>
          <w:noProof/>
          <w:sz w:val="28"/>
          <w:szCs w:val="28"/>
          <w:lang w:eastAsia="ru-RU"/>
        </w:rPr>
        <mc:AlternateContent>
          <mc:Choice Requires="wpg">
            <w:drawing>
              <wp:anchor distT="0" distB="0" distL="114300" distR="114300" simplePos="0" relativeHeight="251662336" behindDoc="0" locked="0" layoutInCell="1" allowOverlap="1" wp14:anchorId="304E50F4" wp14:editId="68ED5DCF">
                <wp:simplePos x="0" y="0"/>
                <wp:positionH relativeFrom="column">
                  <wp:posOffset>262043</wp:posOffset>
                </wp:positionH>
                <wp:positionV relativeFrom="paragraph">
                  <wp:posOffset>244899</wp:posOffset>
                </wp:positionV>
                <wp:extent cx="5595620" cy="2870200"/>
                <wp:effectExtent l="0" t="0" r="24130" b="6350"/>
                <wp:wrapTopAndBottom/>
                <wp:docPr id="156" name="Группа 156"/>
                <wp:cNvGraphicFramePr/>
                <a:graphic xmlns:a="http://schemas.openxmlformats.org/drawingml/2006/main">
                  <a:graphicData uri="http://schemas.microsoft.com/office/word/2010/wordprocessingGroup">
                    <wpg:wgp>
                      <wpg:cNvGrpSpPr/>
                      <wpg:grpSpPr>
                        <a:xfrm>
                          <a:off x="0" y="0"/>
                          <a:ext cx="5595620" cy="2870200"/>
                          <a:chOff x="0" y="0"/>
                          <a:chExt cx="5596044" cy="2870200"/>
                        </a:xfrm>
                      </wpg:grpSpPr>
                      <wps:wsp>
                        <wps:cNvPr id="140" name="Надпись 140"/>
                        <wps:cNvSpPr txBox="1"/>
                        <wps:spPr>
                          <a:xfrm>
                            <a:off x="1244600" y="0"/>
                            <a:ext cx="2988734" cy="474133"/>
                          </a:xfrm>
                          <a:prstGeom prst="rect">
                            <a:avLst/>
                          </a:prstGeom>
                          <a:solidFill>
                            <a:schemeClr val="lt1"/>
                          </a:solidFill>
                          <a:ln w="12700">
                            <a:solidFill>
                              <a:prstClr val="black"/>
                            </a:solidFill>
                          </a:ln>
                        </wps:spPr>
                        <wps:txbx>
                          <w:txbxContent>
                            <w:p w14:paraId="3BF20645" w14:textId="77777777" w:rsidR="001D4931" w:rsidRPr="0052009A" w:rsidRDefault="001D4931" w:rsidP="0052009A">
                              <w:pPr>
                                <w:spacing w:after="0" w:line="240" w:lineRule="auto"/>
                                <w:jc w:val="center"/>
                                <w:rPr>
                                  <w:rFonts w:ascii="Times New Roman" w:hAnsi="Times New Roman" w:cs="Times New Roman"/>
                                  <w:sz w:val="24"/>
                                  <w:szCs w:val="24"/>
                                  <w:lang w:val="kk-KZ"/>
                                </w:rPr>
                              </w:pPr>
                              <w:r w:rsidRPr="0052009A">
                                <w:rPr>
                                  <w:rFonts w:ascii="Times New Roman" w:hAnsi="Times New Roman" w:cs="Times New Roman"/>
                                  <w:sz w:val="24"/>
                                  <w:szCs w:val="24"/>
                                  <w:lang w:val="kk-KZ"/>
                                </w:rPr>
                                <w:t>Цифровая адаптация как медиатор инновационного потенциала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1" name="Надпись 141"/>
                        <wps:cNvSpPr txBox="1"/>
                        <wps:spPr>
                          <a:xfrm>
                            <a:off x="0" y="677333"/>
                            <a:ext cx="1616710" cy="330200"/>
                          </a:xfrm>
                          <a:prstGeom prst="rect">
                            <a:avLst/>
                          </a:prstGeom>
                          <a:solidFill>
                            <a:schemeClr val="lt1"/>
                          </a:solidFill>
                          <a:ln w="6350">
                            <a:solidFill>
                              <a:prstClr val="black"/>
                            </a:solidFill>
                          </a:ln>
                        </wps:spPr>
                        <wps:txbx>
                          <w:txbxContent>
                            <w:p w14:paraId="4EE75457" w14:textId="77777777" w:rsidR="001D4931" w:rsidRPr="0052009A" w:rsidRDefault="001D4931" w:rsidP="0052009A">
                              <w:pPr>
                                <w:spacing w:after="0" w:line="240" w:lineRule="auto"/>
                                <w:jc w:val="center"/>
                                <w:rPr>
                                  <w:rFonts w:ascii="Times New Roman" w:hAnsi="Times New Roman" w:cs="Times New Roman"/>
                                  <w:sz w:val="24"/>
                                  <w:szCs w:val="24"/>
                                  <w:lang w:val="kk-KZ"/>
                                </w:rPr>
                              </w:pPr>
                              <w:r w:rsidRPr="0052009A">
                                <w:rPr>
                                  <w:rFonts w:ascii="Times New Roman" w:hAnsi="Times New Roman" w:cs="Times New Roman"/>
                                  <w:sz w:val="24"/>
                                  <w:szCs w:val="24"/>
                                  <w:lang w:val="kk-KZ"/>
                                </w:rPr>
                                <w:t>Малые предприятия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Надпись 142"/>
                        <wps:cNvSpPr txBox="1"/>
                        <wps:spPr>
                          <a:xfrm>
                            <a:off x="1998134" y="685800"/>
                            <a:ext cx="1616710" cy="330200"/>
                          </a:xfrm>
                          <a:prstGeom prst="rect">
                            <a:avLst/>
                          </a:prstGeom>
                          <a:solidFill>
                            <a:schemeClr val="lt1"/>
                          </a:solidFill>
                          <a:ln w="6350">
                            <a:solidFill>
                              <a:prstClr val="black"/>
                            </a:solidFill>
                          </a:ln>
                        </wps:spPr>
                        <wps:txbx>
                          <w:txbxContent>
                            <w:p w14:paraId="1B9B6E31" w14:textId="77777777" w:rsidR="001D4931" w:rsidRPr="0052009A" w:rsidRDefault="001D4931" w:rsidP="0052009A">
                              <w:pPr>
                                <w:spacing w:after="0" w:line="240" w:lineRule="auto"/>
                                <w:jc w:val="center"/>
                                <w:rPr>
                                  <w:rFonts w:ascii="Times New Roman" w:hAnsi="Times New Roman" w:cs="Times New Roman"/>
                                  <w:sz w:val="24"/>
                                  <w:szCs w:val="24"/>
                                  <w:lang w:val="kk-KZ"/>
                                </w:rPr>
                              </w:pPr>
                              <w:r w:rsidRPr="0052009A">
                                <w:rPr>
                                  <w:rFonts w:ascii="Times New Roman" w:hAnsi="Times New Roman" w:cs="Times New Roman"/>
                                  <w:sz w:val="24"/>
                                  <w:szCs w:val="24"/>
                                  <w:lang w:val="kk-KZ"/>
                                </w:rPr>
                                <w:t>Средние предприятия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Надпись 143"/>
                        <wps:cNvSpPr txBox="1"/>
                        <wps:spPr>
                          <a:xfrm>
                            <a:off x="3920067" y="685800"/>
                            <a:ext cx="1675977" cy="330200"/>
                          </a:xfrm>
                          <a:prstGeom prst="rect">
                            <a:avLst/>
                          </a:prstGeom>
                          <a:solidFill>
                            <a:schemeClr val="lt1"/>
                          </a:solidFill>
                          <a:ln w="6350">
                            <a:solidFill>
                              <a:prstClr val="black"/>
                            </a:solidFill>
                          </a:ln>
                        </wps:spPr>
                        <wps:txbx>
                          <w:txbxContent>
                            <w:p w14:paraId="34DF0673" w14:textId="77777777" w:rsidR="001D4931" w:rsidRPr="0052009A" w:rsidRDefault="001D4931" w:rsidP="0052009A">
                              <w:pPr>
                                <w:spacing w:after="0" w:line="240" w:lineRule="auto"/>
                                <w:jc w:val="center"/>
                                <w:rPr>
                                  <w:rFonts w:ascii="Times New Roman" w:hAnsi="Times New Roman" w:cs="Times New Roman"/>
                                  <w:sz w:val="24"/>
                                  <w:szCs w:val="24"/>
                                  <w:lang w:val="kk-KZ"/>
                                </w:rPr>
                              </w:pPr>
                              <w:r w:rsidRPr="0052009A">
                                <w:rPr>
                                  <w:rFonts w:ascii="Times New Roman" w:hAnsi="Times New Roman" w:cs="Times New Roman"/>
                                  <w:sz w:val="24"/>
                                  <w:szCs w:val="24"/>
                                  <w:lang w:val="kk-KZ"/>
                                </w:rPr>
                                <w:t>Крупные предприятия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Надпись 144"/>
                        <wps:cNvSpPr txBox="1"/>
                        <wps:spPr>
                          <a:xfrm>
                            <a:off x="0" y="1007533"/>
                            <a:ext cx="1616710" cy="1362287"/>
                          </a:xfrm>
                          <a:prstGeom prst="rect">
                            <a:avLst/>
                          </a:prstGeom>
                          <a:solidFill>
                            <a:schemeClr val="lt1"/>
                          </a:solidFill>
                          <a:ln w="6350">
                            <a:solidFill>
                              <a:prstClr val="black"/>
                            </a:solidFill>
                          </a:ln>
                        </wps:spPr>
                        <wps:txbx>
                          <w:txbxContent>
                            <w:p w14:paraId="6B07298A" w14:textId="77777777" w:rsidR="001D4931" w:rsidRPr="0052009A" w:rsidRDefault="001D4931" w:rsidP="0052009A">
                              <w:pPr>
                                <w:spacing w:after="0" w:line="240" w:lineRule="auto"/>
                                <w:jc w:val="center"/>
                                <w:rPr>
                                  <w:rFonts w:ascii="Times New Roman" w:hAnsi="Times New Roman" w:cs="Times New Roman"/>
                                  <w:sz w:val="24"/>
                                  <w:szCs w:val="24"/>
                                  <w:lang w:val="kk-KZ"/>
                                </w:rPr>
                              </w:pPr>
                              <w:r w:rsidRPr="0052009A">
                                <w:rPr>
                                  <w:rFonts w:ascii="Times New Roman" w:hAnsi="Times New Roman" w:cs="Times New Roman"/>
                                  <w:sz w:val="24"/>
                                  <w:szCs w:val="24"/>
                                  <w:lang w:val="kk-KZ"/>
                                </w:rPr>
                                <w:t xml:space="preserve">Облачные сервисы, </w:t>
                              </w:r>
                              <w:r w:rsidRPr="0052009A">
                                <w:rPr>
                                  <w:rFonts w:ascii="Times New Roman" w:hAnsi="Times New Roman" w:cs="Times New Roman"/>
                                  <w:sz w:val="24"/>
                                  <w:szCs w:val="24"/>
                                  <w:lang w:val="en-US"/>
                                </w:rPr>
                                <w:t>CRM</w:t>
                              </w:r>
                              <w:r w:rsidRPr="0052009A">
                                <w:rPr>
                                  <w:rFonts w:ascii="Times New Roman" w:hAnsi="Times New Roman" w:cs="Times New Roman"/>
                                  <w:sz w:val="24"/>
                                  <w:szCs w:val="24"/>
                                </w:rPr>
                                <w:t>/</w:t>
                              </w:r>
                              <w:r w:rsidRPr="0052009A">
                                <w:rPr>
                                  <w:rFonts w:ascii="Times New Roman" w:hAnsi="Times New Roman" w:cs="Times New Roman"/>
                                  <w:sz w:val="24"/>
                                  <w:szCs w:val="24"/>
                                  <w:lang w:val="en-US"/>
                                </w:rPr>
                                <w:t>ERP</w:t>
                              </w:r>
                              <w:r w:rsidRPr="0052009A">
                                <w:rPr>
                                  <w:rFonts w:ascii="Times New Roman" w:hAnsi="Times New Roman" w:cs="Times New Roman"/>
                                  <w:sz w:val="24"/>
                                  <w:szCs w:val="24"/>
                                  <w:lang w:val="kk-KZ"/>
                                </w:rPr>
                                <w:t>,</w:t>
                              </w:r>
                              <w:r w:rsidRPr="0052009A">
                                <w:rPr>
                                  <w:rFonts w:ascii="Times New Roman" w:hAnsi="Times New Roman" w:cs="Times New Roman"/>
                                  <w:sz w:val="24"/>
                                  <w:szCs w:val="24"/>
                                </w:rPr>
                                <w:t xml:space="preserve"> </w:t>
                              </w:r>
                              <w:r w:rsidRPr="0052009A">
                                <w:rPr>
                                  <w:rFonts w:ascii="Times New Roman" w:hAnsi="Times New Roman" w:cs="Times New Roman"/>
                                  <w:sz w:val="24"/>
                                  <w:szCs w:val="24"/>
                                  <w:lang w:val="kk-KZ"/>
                                </w:rPr>
                                <w:t>электронная отчетность, кибербезопасность, цифровые навыки и др.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Надпись 145"/>
                        <wps:cNvSpPr txBox="1"/>
                        <wps:spPr>
                          <a:xfrm>
                            <a:off x="1998134" y="1016000"/>
                            <a:ext cx="1616710" cy="1353608"/>
                          </a:xfrm>
                          <a:prstGeom prst="rect">
                            <a:avLst/>
                          </a:prstGeom>
                          <a:solidFill>
                            <a:schemeClr val="lt1"/>
                          </a:solidFill>
                          <a:ln w="6350">
                            <a:solidFill>
                              <a:prstClr val="black"/>
                            </a:solidFill>
                          </a:ln>
                        </wps:spPr>
                        <wps:txbx>
                          <w:txbxContent>
                            <w:p w14:paraId="0CD18314" w14:textId="77777777" w:rsidR="001D4931" w:rsidRPr="0052009A" w:rsidRDefault="001D4931" w:rsidP="0052009A">
                              <w:pPr>
                                <w:spacing w:after="0" w:line="240" w:lineRule="auto"/>
                                <w:jc w:val="center"/>
                                <w:rPr>
                                  <w:rFonts w:ascii="Times New Roman" w:hAnsi="Times New Roman" w:cs="Times New Roman"/>
                                  <w:sz w:val="24"/>
                                  <w:szCs w:val="24"/>
                                  <w:lang w:val="kk-KZ"/>
                                </w:rPr>
                              </w:pPr>
                              <w:r w:rsidRPr="0052009A">
                                <w:rPr>
                                  <w:rFonts w:ascii="Times New Roman" w:hAnsi="Times New Roman" w:cs="Times New Roman"/>
                                  <w:sz w:val="24"/>
                                  <w:szCs w:val="24"/>
                                  <w:lang w:val="en-US"/>
                                </w:rPr>
                                <w:t>Big</w:t>
                              </w:r>
                              <w:r w:rsidRPr="0052009A">
                                <w:rPr>
                                  <w:rFonts w:ascii="Times New Roman" w:hAnsi="Times New Roman" w:cs="Times New Roman"/>
                                  <w:sz w:val="24"/>
                                  <w:szCs w:val="24"/>
                                </w:rPr>
                                <w:t xml:space="preserve"> </w:t>
                              </w:r>
                              <w:r w:rsidRPr="0052009A">
                                <w:rPr>
                                  <w:rFonts w:ascii="Times New Roman" w:hAnsi="Times New Roman" w:cs="Times New Roman"/>
                                  <w:sz w:val="24"/>
                                  <w:szCs w:val="24"/>
                                  <w:lang w:val="en-US"/>
                                </w:rPr>
                                <w:t>Data</w:t>
                              </w:r>
                              <w:r w:rsidRPr="0052009A">
                                <w:rPr>
                                  <w:rFonts w:ascii="Times New Roman" w:hAnsi="Times New Roman" w:cs="Times New Roman"/>
                                  <w:sz w:val="24"/>
                                  <w:szCs w:val="24"/>
                                </w:rPr>
                                <w:t xml:space="preserve">, </w:t>
                              </w:r>
                              <w:r w:rsidRPr="0052009A">
                                <w:rPr>
                                  <w:rFonts w:ascii="Times New Roman" w:hAnsi="Times New Roman" w:cs="Times New Roman"/>
                                  <w:sz w:val="24"/>
                                  <w:szCs w:val="24"/>
                                  <w:lang w:val="kk-KZ"/>
                                </w:rPr>
                                <w:t>автоматизация, обучение, цифровая зрелость, участие в цифровых кластерах и др.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Надпись 146"/>
                        <wps:cNvSpPr txBox="1"/>
                        <wps:spPr>
                          <a:xfrm>
                            <a:off x="3920067" y="1016000"/>
                            <a:ext cx="1675765" cy="1353820"/>
                          </a:xfrm>
                          <a:prstGeom prst="rect">
                            <a:avLst/>
                          </a:prstGeom>
                          <a:solidFill>
                            <a:schemeClr val="lt1"/>
                          </a:solidFill>
                          <a:ln w="6350">
                            <a:solidFill>
                              <a:prstClr val="black"/>
                            </a:solidFill>
                          </a:ln>
                        </wps:spPr>
                        <wps:txbx>
                          <w:txbxContent>
                            <w:p w14:paraId="5C9E5820" w14:textId="77777777" w:rsidR="001D4931" w:rsidRPr="0052009A" w:rsidRDefault="001D4931" w:rsidP="0052009A">
                              <w:pPr>
                                <w:spacing w:after="0" w:line="240" w:lineRule="auto"/>
                                <w:jc w:val="center"/>
                                <w:rPr>
                                  <w:rFonts w:ascii="Times New Roman" w:hAnsi="Times New Roman" w:cs="Times New Roman"/>
                                  <w:sz w:val="24"/>
                                  <w:szCs w:val="24"/>
                                  <w:lang w:val="kk-KZ"/>
                                </w:rPr>
                              </w:pPr>
                              <w:r w:rsidRPr="0052009A">
                                <w:rPr>
                                  <w:rFonts w:ascii="Times New Roman" w:hAnsi="Times New Roman" w:cs="Times New Roman"/>
                                  <w:sz w:val="24"/>
                                  <w:szCs w:val="24"/>
                                  <w:lang w:val="kk-KZ"/>
                                </w:rPr>
                                <w:t xml:space="preserve">ИИ, роботизация, </w:t>
                              </w:r>
                              <w:r w:rsidRPr="0052009A">
                                <w:rPr>
                                  <w:rFonts w:ascii="Times New Roman" w:hAnsi="Times New Roman" w:cs="Times New Roman"/>
                                  <w:sz w:val="24"/>
                                  <w:szCs w:val="24"/>
                                  <w:lang w:val="en-US"/>
                                </w:rPr>
                                <w:t>RPA</w:t>
                              </w:r>
                              <w:r w:rsidRPr="0052009A">
                                <w:rPr>
                                  <w:rFonts w:ascii="Times New Roman" w:hAnsi="Times New Roman" w:cs="Times New Roman"/>
                                  <w:sz w:val="24"/>
                                  <w:szCs w:val="24"/>
                                </w:rPr>
                                <w:t xml:space="preserve">, </w:t>
                              </w:r>
                              <w:r w:rsidRPr="0052009A">
                                <w:rPr>
                                  <w:rFonts w:ascii="Times New Roman" w:hAnsi="Times New Roman" w:cs="Times New Roman"/>
                                  <w:sz w:val="24"/>
                                  <w:szCs w:val="24"/>
                                  <w:lang w:val="kk-KZ"/>
                                </w:rPr>
                                <w:t>кибербезопасность, цифровые экосистемы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Надпись 147"/>
                        <wps:cNvSpPr txBox="1"/>
                        <wps:spPr>
                          <a:xfrm>
                            <a:off x="1329267" y="2540000"/>
                            <a:ext cx="3022600" cy="3302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1A7B6DD" w14:textId="77777777" w:rsidR="001D4931" w:rsidRPr="0052009A" w:rsidRDefault="001D4931" w:rsidP="0052009A">
                              <w:pPr>
                                <w:spacing w:after="0" w:line="240" w:lineRule="auto"/>
                                <w:jc w:val="center"/>
                                <w:rPr>
                                  <w:rFonts w:ascii="Times New Roman" w:hAnsi="Times New Roman" w:cs="Times New Roman"/>
                                  <w:sz w:val="24"/>
                                  <w:szCs w:val="24"/>
                                  <w:lang w:val="kk-KZ"/>
                                </w:rPr>
                              </w:pPr>
                              <w:r w:rsidRPr="0052009A">
                                <w:rPr>
                                  <w:rFonts w:ascii="Times New Roman" w:hAnsi="Times New Roman" w:cs="Times New Roman"/>
                                  <w:sz w:val="24"/>
                                  <w:szCs w:val="24"/>
                                  <w:lang w:val="kk-KZ"/>
                                </w:rPr>
                                <w:t>Усиление инновационной активности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Прямая со стрелкой 148"/>
                        <wps:cNvCnPr/>
                        <wps:spPr>
                          <a:xfrm flipH="1">
                            <a:off x="1193800" y="474133"/>
                            <a:ext cx="550334" cy="20362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49" name="Прямая со стрелкой 149"/>
                        <wps:cNvCnPr/>
                        <wps:spPr>
                          <a:xfrm>
                            <a:off x="2760134" y="474133"/>
                            <a:ext cx="0" cy="21166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50" name="Прямая со стрелкой 150"/>
                        <wps:cNvCnPr/>
                        <wps:spPr>
                          <a:xfrm>
                            <a:off x="3708400" y="474133"/>
                            <a:ext cx="643467" cy="2032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53" name="Дуга 153"/>
                        <wps:cNvSpPr/>
                        <wps:spPr>
                          <a:xfrm rot="10800000">
                            <a:off x="821267" y="2057400"/>
                            <a:ext cx="3851910" cy="575310"/>
                          </a:xfrm>
                          <a:prstGeom prst="arc">
                            <a:avLst>
                              <a:gd name="adj1" fmla="val 10838661"/>
                              <a:gd name="adj2" fmla="val 21552537"/>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Прямая соединительная линия 155"/>
                        <wps:cNvCnPr/>
                        <wps:spPr>
                          <a:xfrm>
                            <a:off x="2717800" y="2370667"/>
                            <a:ext cx="0" cy="262891"/>
                          </a:xfrm>
                          <a:prstGeom prst="line">
                            <a:avLst/>
                          </a:prstGeom>
                        </wps:spPr>
                        <wps:style>
                          <a:lnRef idx="2">
                            <a:schemeClr val="dk1"/>
                          </a:lnRef>
                          <a:fillRef idx="0">
                            <a:schemeClr val="dk1"/>
                          </a:fillRef>
                          <a:effectRef idx="1">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304E50F4" id="Группа 156" o:spid="_x0000_s1195" style="position:absolute;left:0;text-align:left;margin-left:20.65pt;margin-top:19.3pt;width:440.6pt;height:226pt;z-index:251662336;mso-position-horizontal-relative:text;mso-position-vertical-relative:text" coordsize="55960,28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kctWwYAAMAqAAAOAAAAZHJzL2Uyb0RvYy54bWzsWktv20YQvhfofyB4b8Tlm4LlwHUeLRAk&#10;QZMi5zVFSmxILrtcW3JOSXoNkEN7LfoXDDQF0lf6F6h/1JnlkpRlyamcNgVowYBM7mO4OzvfzOzM&#10;7N2cZ6l2EvEyYflIJzcMXYvykI2TfDLSv3585zNf10pB8zFNWR6N9NOo1G/uf/rJ3qwYRiabsnQc&#10;cQ2I5OVwVoz0qRDFcDAow2mU0fIGK6IcOmPGMyrglU8GY05nQD1LB6ZhuIMZ4+OCszAqS2i9VXfq&#10;+5J+HEeheBDHZSS0dKTD2oT85fL3CH8H+3t0OOG0mCahWga9wioymuTw0ZbULSqodsyTC6SyJOSs&#10;ZLG4EbJswOI4CSO5B9gNMVZ2c5ez40LuZTKcTYqWTcDaFT5dmWx4/+Qh15IxnJ3j6lpOMzik6vvF&#10;88V31V/wd6ZhO3BpVkyGMPguLx4VD7lqmNRvuPF5zDP8D1vS5pK/py1/o7nQQmh0nMBxTTiGEPpM&#10;3zPgBOsTCKdwTBfmhdPb3UzXsO0LMwfNhwe4vnY5swKkqewYVn4Ywx5NaRHJcyiRBw3DbNiJYtiP&#10;1Vn1Btj1dvFi8Uoj0CM5JIcjvzQx/5wBB0jTXkLjGrYR07ZdYIp2kXlm4PuepVhgezaxLCTWcoAO&#10;C16KuxHLNHwY6RyEX8okPblXinpoMwQ/XbI0Gd9J0lS+IOCiw5RrJxSgkgq5UiB+blSaazPYhOnB&#10;Ei+QQNotgaOUhk/V+pZIAME0h0XjAdUswCcxP5pLGfT8hj9HbHwKbOOsRmxZhHcSoH+PluIh5QBR&#10;4BGoHfEAfuKUwaqYetK1KePP1rXjeBAE6NW1GUB+pJffHlMe6Vr6ZQ4iEhAbj1TIF9vxUFL5cs/R&#10;ck9+nB0yYBUBBVeE8hHHi7R5jDnLnoB2OsCvQhfNQ/j2SBfN46GoFRFotzA6OJCDQCsUVNzLHxUh&#10;kkYmI18fz59QXqiDFYCn+6wRSjpcOd96LM7M2cGxYHEiDx8ZXXNV8R8AgrD+KEgBJm1ASosIANY2&#10;SAGGAkZcz7NqHNBho2WIS1yPQD9qGctqlMz/ABTXcv4jnATXACeh4NcQKeZGpJjNmW+JFBIEPkHD&#10;gXjxHb+xudcIL35rj3tsV64nXqyNeJHuEdq3LfFiBXix8C7Bi+cEHvT31774rVXe4aVnnhjYgQ2e&#10;mH1F+1J7YsQwPOdSV4xYrgmXPvxKn3wxv7XLO6z0DCvORqw4V8TKsi9GDAJXfRUAWeuMEcuxXEPe&#10;iXuFmNYy7xDTM8R0IcTViJgKIn6QN7YBMZ7juQBVdMcQMT7EbfpmY1rbvENMzxAD94gN/pj0lK5w&#10;fyGWGZjq/mI6NpiYFRsDITFTBpn/rQtMzjCMDJiro7sYeFQN6+O9pThNo3r0V1EMkV+ZMMCGMuST&#10;Iwwi15FRSHSAd9kkaiQxmIADY/jglnPVFJwdyczQlvPbSfL7LBft/CzJGa8D4ufD6OOnTRg9rsc3&#10;oe+aAXi4bezbb32KHcZ7hnHIgSqM/wSJtdfVH9XZ4rW2eFG9g5/Fy8Xz6pfq9+q36l31q0bsNgcC&#10;cYvDXOXamnRJne/S4jQpvmgSBCrlRkhgYXAP43xdfqiLizuOYTX5I9OAy9h78kel4DSZTMUhy3NI&#10;JTFepyNWsg2YcEJAYFqHDgVN0tv5WBOnBeQRBU9oPkkjZY7XZH7WaQLzciSl+WUq4FwWawl+tbpY&#10;g/16UzLf3KW/uolXAL2Yvxf0NcLRSVH5l4+WiAm2EsU2zbBZFJGlSgBNzzWaQPM6AVQpGZMQF8zT&#10;pS7aTvbA2PVM9iAXtoUahNEgIcr92aAGl2TP8gwfXJ2Nys+1LRt9InR5QPmpwoPNt+qdAPZQALtc&#10;wQ9Q3vKzLG5pYxEqS6CEbrk+o65CIAYYV/Sll6TON0nraRuOhwII8zuTa/kOCZpUtAPxUXi+VO9R&#10;Hkr60sgipclYYYaOv4EkepylUPsAJRoaLMfyXVeamvPDIIPYDTOJ45iO1ahbRRfOFqsKatu9Uoxx&#10;rU1yLwtOrmVi0OmCt6tON3jbb6q31Z9QrfUSPe/FK3hGjxyc8Lr5NVS9tdexf+j7EK9xvk0wRsrD&#10;6VRB4/y4ph80/mFTM9dgUdX3pEmO1WYXCnt2cO2uzWs8aFkCCGWSMr2kSjqxDnP5XXrcXeHp/t8A&#10;AAD//wMAUEsDBBQABgAIAAAAIQCpi9zP4AAAAAkBAAAPAAAAZHJzL2Rvd25yZXYueG1sTI9Na8JA&#10;EIbvhf6HZYTe6uajBo3ZiEjbkxSqhdLbmIxJMDsbsmsS/323p3ocnpf3fSbbTLoVA/W2MawgnAcg&#10;iAtTNlwp+Dq+PS9BWIdcYmuYFNzIwiZ/fMgwLc3InzQcXCV8CdsUFdTOdamUtqhJo52bjtizs+k1&#10;On/2lSx7HH25bmUUBInU2LBfqLGjXU3F5XDVCt5HHLdx+DrsL+fd7ee4+Pjeh6TU02zarkE4mtx/&#10;GP70vTrk3ulkrlxa0Sp4CWOfVBAvExCer6JoAeLkwSpIQOaZvP8g/wUAAP//AwBQSwECLQAUAAYA&#10;CAAAACEAtoM4kv4AAADhAQAAEwAAAAAAAAAAAAAAAAAAAAAAW0NvbnRlbnRfVHlwZXNdLnhtbFBL&#10;AQItABQABgAIAAAAIQA4/SH/1gAAAJQBAAALAAAAAAAAAAAAAAAAAC8BAABfcmVscy8ucmVsc1BL&#10;AQItABQABgAIAAAAIQDCikctWwYAAMAqAAAOAAAAAAAAAAAAAAAAAC4CAABkcnMvZTJvRG9jLnht&#10;bFBLAQItABQABgAIAAAAIQCpi9zP4AAAAAkBAAAPAAAAAAAAAAAAAAAAALUIAABkcnMvZG93bnJl&#10;di54bWxQSwUGAAAAAAQABADzAAAAwgkAAAAA&#10;">
                <v:shape id="Надпись 140" o:spid="_x0000_s1196" type="#_x0000_t202" style="position:absolute;left:12446;width:29887;height:4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WLCxgAAANwAAAAPAAAAZHJzL2Rvd25yZXYueG1sRI9Ba8JA&#10;EIXvhf6HZQq91U2lSIiu0gpFoVqo9eJtyI5JTHY2ZLcx+ffOQehthvfmvW8Wq8E1qqcuVJ4NvE4S&#10;UMS5txUXBo6/ny8pqBCRLTaeycBIAVbLx4cFZtZf+Yf6QyyUhHDI0EAZY5tpHfKSHIaJb4lFO/vO&#10;YZS1K7Tt8CrhrtHTJJlphxVLQ4ktrUvK68OfM1B/bNbHr+lpO24u6e57rHd92KfGPD8N73NQkYb4&#10;b75fb63gvwm+PCMT6OUNAAD//wMAUEsBAi0AFAAGAAgAAAAhANvh9svuAAAAhQEAABMAAAAAAAAA&#10;AAAAAAAAAAAAAFtDb250ZW50X1R5cGVzXS54bWxQSwECLQAUAAYACAAAACEAWvQsW78AAAAVAQAA&#10;CwAAAAAAAAAAAAAAAAAfAQAAX3JlbHMvLnJlbHNQSwECLQAUAAYACAAAACEA9SViwsYAAADcAAAA&#10;DwAAAAAAAAAAAAAAAAAHAgAAZHJzL2Rvd25yZXYueG1sUEsFBgAAAAADAAMAtwAAAPoCAAAAAA==&#10;" fillcolor="white [3201]" strokeweight="1pt">
                  <v:textbox>
                    <w:txbxContent>
                      <w:p w14:paraId="3BF20645" w14:textId="77777777" w:rsidR="001D4931" w:rsidRPr="0052009A" w:rsidRDefault="001D4931" w:rsidP="0052009A">
                        <w:pPr>
                          <w:spacing w:after="0" w:line="240" w:lineRule="auto"/>
                          <w:jc w:val="center"/>
                          <w:rPr>
                            <w:rFonts w:ascii="Times New Roman" w:hAnsi="Times New Roman" w:cs="Times New Roman"/>
                            <w:sz w:val="24"/>
                            <w:szCs w:val="24"/>
                            <w:lang w:val="kk-KZ"/>
                          </w:rPr>
                        </w:pPr>
                        <w:r w:rsidRPr="0052009A">
                          <w:rPr>
                            <w:rFonts w:ascii="Times New Roman" w:hAnsi="Times New Roman" w:cs="Times New Roman"/>
                            <w:sz w:val="24"/>
                            <w:szCs w:val="24"/>
                            <w:lang w:val="kk-KZ"/>
                          </w:rPr>
                          <w:t>Цифровая адаптация как медиатор инновационного потенциала</w:t>
                        </w:r>
                      </w:p>
                    </w:txbxContent>
                  </v:textbox>
                </v:shape>
                <v:shape id="Надпись 141" o:spid="_x0000_s1197" type="#_x0000_t202" style="position:absolute;top:6773;width:16167;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YSnwgAAANwAAAAPAAAAZHJzL2Rvd25yZXYueG1sRE9NawIx&#10;EL0X/A9hBG81uyK1bI1SRdHSU1ftedhMd4ObyZpE3f77plDobR7vc+bL3rbiRj4YxwrycQaCuHLa&#10;cK3geNg+PoMIEVlj65gUfFOA5WLwMMdCuzt/0K2MtUghHApU0MTYFVKGqiGLYew64sR9OW8xJuhr&#10;qT3eU7ht5STLnqRFw6mhwY7WDVXn8moVXE7+MM3N5nPbvpXmMju/r3Y4U2o07F9fQETq47/4z73X&#10;af40h99n0gVy8QMAAP//AwBQSwECLQAUAAYACAAAACEA2+H2y+4AAACFAQAAEwAAAAAAAAAAAAAA&#10;AAAAAAAAW0NvbnRlbnRfVHlwZXNdLnhtbFBLAQItABQABgAIAAAAIQBa9CxbvwAAABUBAAALAAAA&#10;AAAAAAAAAAAAAB8BAABfcmVscy8ucmVsc1BLAQItABQABgAIAAAAIQDLiYSnwgAAANwAAAAPAAAA&#10;AAAAAAAAAAAAAAcCAABkcnMvZG93bnJldi54bWxQSwUGAAAAAAMAAwC3AAAA9gIAAAAA&#10;" fillcolor="white [3201]" strokeweight=".5pt">
                  <v:textbox>
                    <w:txbxContent>
                      <w:p w14:paraId="4EE75457" w14:textId="77777777" w:rsidR="001D4931" w:rsidRPr="0052009A" w:rsidRDefault="001D4931" w:rsidP="0052009A">
                        <w:pPr>
                          <w:spacing w:after="0" w:line="240" w:lineRule="auto"/>
                          <w:jc w:val="center"/>
                          <w:rPr>
                            <w:rFonts w:ascii="Times New Roman" w:hAnsi="Times New Roman" w:cs="Times New Roman"/>
                            <w:sz w:val="24"/>
                            <w:szCs w:val="24"/>
                            <w:lang w:val="kk-KZ"/>
                          </w:rPr>
                        </w:pPr>
                        <w:r w:rsidRPr="0052009A">
                          <w:rPr>
                            <w:rFonts w:ascii="Times New Roman" w:hAnsi="Times New Roman" w:cs="Times New Roman"/>
                            <w:sz w:val="24"/>
                            <w:szCs w:val="24"/>
                            <w:lang w:val="kk-KZ"/>
                          </w:rPr>
                          <w:t>Малые предприятия</w:t>
                        </w:r>
                      </w:p>
                    </w:txbxContent>
                  </v:textbox>
                </v:shape>
                <v:shape id="Надпись 142" o:spid="_x0000_s1198" type="#_x0000_t202" style="position:absolute;left:19981;top:6858;width:16167;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xrQwgAAANwAAAAPAAAAZHJzL2Rvd25yZXYueG1sRE9LawIx&#10;EL4X+h/CFHqrWUVUVqO0orTSk+vjPGzG3eBmsiaprv/eFAq9zcf3nNmis424kg/GsYJ+LwNBXDpt&#10;uFKw363fJiBCRNbYOCYFdwqwmD8/zTDX7sZbuhaxEimEQ44K6hjbXMpQ1mQx9FxLnLiT8xZjgr6S&#10;2uMthdtGDrJsJC0aTg01trSsqTwXP1bB5eB3w75ZHdfNpjCX8fn74xPHSr2+dO9TEJG6+C/+c3/p&#10;NH84gN9n0gVy/gAAAP//AwBQSwECLQAUAAYACAAAACEA2+H2y+4AAACFAQAAEwAAAAAAAAAAAAAA&#10;AAAAAAAAW0NvbnRlbnRfVHlwZXNdLnhtbFBLAQItABQABgAIAAAAIQBa9CxbvwAAABUBAAALAAAA&#10;AAAAAAAAAAAAAB8BAABfcmVscy8ucmVsc1BLAQItABQABgAIAAAAIQA7WxrQwgAAANwAAAAPAAAA&#10;AAAAAAAAAAAAAAcCAABkcnMvZG93bnJldi54bWxQSwUGAAAAAAMAAwC3AAAA9gIAAAAA&#10;" fillcolor="white [3201]" strokeweight=".5pt">
                  <v:textbox>
                    <w:txbxContent>
                      <w:p w14:paraId="1B9B6E31" w14:textId="77777777" w:rsidR="001D4931" w:rsidRPr="0052009A" w:rsidRDefault="001D4931" w:rsidP="0052009A">
                        <w:pPr>
                          <w:spacing w:after="0" w:line="240" w:lineRule="auto"/>
                          <w:jc w:val="center"/>
                          <w:rPr>
                            <w:rFonts w:ascii="Times New Roman" w:hAnsi="Times New Roman" w:cs="Times New Roman"/>
                            <w:sz w:val="24"/>
                            <w:szCs w:val="24"/>
                            <w:lang w:val="kk-KZ"/>
                          </w:rPr>
                        </w:pPr>
                        <w:r w:rsidRPr="0052009A">
                          <w:rPr>
                            <w:rFonts w:ascii="Times New Roman" w:hAnsi="Times New Roman" w:cs="Times New Roman"/>
                            <w:sz w:val="24"/>
                            <w:szCs w:val="24"/>
                            <w:lang w:val="kk-KZ"/>
                          </w:rPr>
                          <w:t>Средние предприятия</w:t>
                        </w:r>
                      </w:p>
                    </w:txbxContent>
                  </v:textbox>
                </v:shape>
                <v:shape id="Надпись 143" o:spid="_x0000_s1199" type="#_x0000_t202" style="position:absolute;left:39200;top:6858;width:16760;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79LwgAAANwAAAAPAAAAZHJzL2Rvd25yZXYueG1sRE9NawIx&#10;EL0X+h/CFHqrWa1oWY2iUrHiqWvb87AZd4ObyZqkuv77RhB6m8f7nOm8s404kw/GsYJ+LwNBXDpt&#10;uFLwtV+/vIEIEVlj45gUXCnAfPb4MMVcuwt/0rmIlUghHHJUUMfY5lKGsiaLoeda4sQdnLcYE/SV&#10;1B4vKdw2cpBlI2nRcGqosaVVTeWx+LUKTt9+P+yb9591sy3MaXzcLTc4Vur5qVtMQETq4r/47v7Q&#10;af7wFW7PpAvk7A8AAP//AwBQSwECLQAUAAYACAAAACEA2+H2y+4AAACFAQAAEwAAAAAAAAAAAAAA&#10;AAAAAAAAW0NvbnRlbnRfVHlwZXNdLnhtbFBLAQItABQABgAIAAAAIQBa9CxbvwAAABUBAAALAAAA&#10;AAAAAAAAAAAAAB8BAABfcmVscy8ucmVsc1BLAQItABQABgAIAAAAIQBUF79LwgAAANwAAAAPAAAA&#10;AAAAAAAAAAAAAAcCAABkcnMvZG93bnJldi54bWxQSwUGAAAAAAMAAwC3AAAA9gIAAAAA&#10;" fillcolor="white [3201]" strokeweight=".5pt">
                  <v:textbox>
                    <w:txbxContent>
                      <w:p w14:paraId="34DF0673" w14:textId="77777777" w:rsidR="001D4931" w:rsidRPr="0052009A" w:rsidRDefault="001D4931" w:rsidP="0052009A">
                        <w:pPr>
                          <w:spacing w:after="0" w:line="240" w:lineRule="auto"/>
                          <w:jc w:val="center"/>
                          <w:rPr>
                            <w:rFonts w:ascii="Times New Roman" w:hAnsi="Times New Roman" w:cs="Times New Roman"/>
                            <w:sz w:val="24"/>
                            <w:szCs w:val="24"/>
                            <w:lang w:val="kk-KZ"/>
                          </w:rPr>
                        </w:pPr>
                        <w:r w:rsidRPr="0052009A">
                          <w:rPr>
                            <w:rFonts w:ascii="Times New Roman" w:hAnsi="Times New Roman" w:cs="Times New Roman"/>
                            <w:sz w:val="24"/>
                            <w:szCs w:val="24"/>
                            <w:lang w:val="kk-KZ"/>
                          </w:rPr>
                          <w:t>Крупные предприятия</w:t>
                        </w:r>
                      </w:p>
                    </w:txbxContent>
                  </v:textbox>
                </v:shape>
                <v:shape id="Надпись 144" o:spid="_x0000_s1200" type="#_x0000_t202" style="position:absolute;top:10075;width:16167;height:13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c/wgAAANwAAAAPAAAAZHJzL2Rvd25yZXYueG1sRE9NawIx&#10;EL0X/A9hBG81a1m0bI1SpdJKT12152Ez3Q1uJmsSdf33plDobR7vc+bL3rbiQj4Yxwom4wwEceW0&#10;4VrBfrd5fAYRIrLG1jEpuFGA5WLwMMdCuyt/0aWMtUghHApU0MTYFVKGqiGLYew64sT9OG8xJuhr&#10;qT1eU7ht5VOWTaVFw6mhwY7WDVXH8mwVnA5+l0/M2/em3ZbmNDt+rt5xptRo2L++gIjUx3/xn/tD&#10;p/l5Dr/PpAvk4g4AAP//AwBQSwECLQAUAAYACAAAACEA2+H2y+4AAACFAQAAEwAAAAAAAAAAAAAA&#10;AAAAAAAAW0NvbnRlbnRfVHlwZXNdLnhtbFBLAQItABQABgAIAAAAIQBa9CxbvwAAABUBAAALAAAA&#10;AAAAAAAAAAAAAB8BAABfcmVscy8ucmVsc1BLAQItABQABgAIAAAAIQDb/ic/wgAAANwAAAAPAAAA&#10;AAAAAAAAAAAAAAcCAABkcnMvZG93bnJldi54bWxQSwUGAAAAAAMAAwC3AAAA9gIAAAAA&#10;" fillcolor="white [3201]" strokeweight=".5pt">
                  <v:textbox>
                    <w:txbxContent>
                      <w:p w14:paraId="6B07298A" w14:textId="77777777" w:rsidR="001D4931" w:rsidRPr="0052009A" w:rsidRDefault="001D4931" w:rsidP="0052009A">
                        <w:pPr>
                          <w:spacing w:after="0" w:line="240" w:lineRule="auto"/>
                          <w:jc w:val="center"/>
                          <w:rPr>
                            <w:rFonts w:ascii="Times New Roman" w:hAnsi="Times New Roman" w:cs="Times New Roman"/>
                            <w:sz w:val="24"/>
                            <w:szCs w:val="24"/>
                            <w:lang w:val="kk-KZ"/>
                          </w:rPr>
                        </w:pPr>
                        <w:r w:rsidRPr="0052009A">
                          <w:rPr>
                            <w:rFonts w:ascii="Times New Roman" w:hAnsi="Times New Roman" w:cs="Times New Roman"/>
                            <w:sz w:val="24"/>
                            <w:szCs w:val="24"/>
                            <w:lang w:val="kk-KZ"/>
                          </w:rPr>
                          <w:t xml:space="preserve">Облачные сервисы, </w:t>
                        </w:r>
                        <w:r w:rsidRPr="0052009A">
                          <w:rPr>
                            <w:rFonts w:ascii="Times New Roman" w:hAnsi="Times New Roman" w:cs="Times New Roman"/>
                            <w:sz w:val="24"/>
                            <w:szCs w:val="24"/>
                            <w:lang w:val="en-US"/>
                          </w:rPr>
                          <w:t>CRM</w:t>
                        </w:r>
                        <w:r w:rsidRPr="0052009A">
                          <w:rPr>
                            <w:rFonts w:ascii="Times New Roman" w:hAnsi="Times New Roman" w:cs="Times New Roman"/>
                            <w:sz w:val="24"/>
                            <w:szCs w:val="24"/>
                          </w:rPr>
                          <w:t>/</w:t>
                        </w:r>
                        <w:r w:rsidRPr="0052009A">
                          <w:rPr>
                            <w:rFonts w:ascii="Times New Roman" w:hAnsi="Times New Roman" w:cs="Times New Roman"/>
                            <w:sz w:val="24"/>
                            <w:szCs w:val="24"/>
                            <w:lang w:val="en-US"/>
                          </w:rPr>
                          <w:t>ERP</w:t>
                        </w:r>
                        <w:r w:rsidRPr="0052009A">
                          <w:rPr>
                            <w:rFonts w:ascii="Times New Roman" w:hAnsi="Times New Roman" w:cs="Times New Roman"/>
                            <w:sz w:val="24"/>
                            <w:szCs w:val="24"/>
                            <w:lang w:val="kk-KZ"/>
                          </w:rPr>
                          <w:t>,</w:t>
                        </w:r>
                        <w:r w:rsidRPr="0052009A">
                          <w:rPr>
                            <w:rFonts w:ascii="Times New Roman" w:hAnsi="Times New Roman" w:cs="Times New Roman"/>
                            <w:sz w:val="24"/>
                            <w:szCs w:val="24"/>
                          </w:rPr>
                          <w:t xml:space="preserve"> </w:t>
                        </w:r>
                        <w:r w:rsidRPr="0052009A">
                          <w:rPr>
                            <w:rFonts w:ascii="Times New Roman" w:hAnsi="Times New Roman" w:cs="Times New Roman"/>
                            <w:sz w:val="24"/>
                            <w:szCs w:val="24"/>
                            <w:lang w:val="kk-KZ"/>
                          </w:rPr>
                          <w:t>электронная отчетность, кибербезопасность, цифровые навыки и др.</w:t>
                        </w:r>
                      </w:p>
                    </w:txbxContent>
                  </v:textbox>
                </v:shape>
                <v:shape id="Надпись 145" o:spid="_x0000_s1201" type="#_x0000_t202" style="position:absolute;left:19981;top:10160;width:16167;height:13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oKkwgAAANwAAAAPAAAAZHJzL2Rvd25yZXYueG1sRE9NawIx&#10;EL0L/ocwgjfNKraW1SgqSls8dW17HjbjbnAzWZNUt/++KRR6m8f7nOW6s424kQ/GsYLJOANBXDpt&#10;uFLwfjqMnkCEiKyxcUwKvinAetXvLTHX7s5vdCtiJVIIhxwV1DG2uZShrMliGLuWOHFn5y3GBH0l&#10;tcd7CreNnGbZo7RoODXU2NKupvJSfFkF1w9/mk3M/vPQvBbmOr8ct884V2o46DYLEJG6+C/+c7/o&#10;NH/2AL/PpAvk6gcAAP//AwBQSwECLQAUAAYACAAAACEA2+H2y+4AAACFAQAAEwAAAAAAAAAAAAAA&#10;AAAAAAAAW0NvbnRlbnRfVHlwZXNdLnhtbFBLAQItABQABgAIAAAAIQBa9CxbvwAAABUBAAALAAAA&#10;AAAAAAAAAAAAAB8BAABfcmVscy8ucmVsc1BLAQItABQABgAIAAAAIQC0soKkwgAAANwAAAAPAAAA&#10;AAAAAAAAAAAAAAcCAABkcnMvZG93bnJldi54bWxQSwUGAAAAAAMAAwC3AAAA9gIAAAAA&#10;" fillcolor="white [3201]" strokeweight=".5pt">
                  <v:textbox>
                    <w:txbxContent>
                      <w:p w14:paraId="0CD18314" w14:textId="77777777" w:rsidR="001D4931" w:rsidRPr="0052009A" w:rsidRDefault="001D4931" w:rsidP="0052009A">
                        <w:pPr>
                          <w:spacing w:after="0" w:line="240" w:lineRule="auto"/>
                          <w:jc w:val="center"/>
                          <w:rPr>
                            <w:rFonts w:ascii="Times New Roman" w:hAnsi="Times New Roman" w:cs="Times New Roman"/>
                            <w:sz w:val="24"/>
                            <w:szCs w:val="24"/>
                            <w:lang w:val="kk-KZ"/>
                          </w:rPr>
                        </w:pPr>
                        <w:r w:rsidRPr="0052009A">
                          <w:rPr>
                            <w:rFonts w:ascii="Times New Roman" w:hAnsi="Times New Roman" w:cs="Times New Roman"/>
                            <w:sz w:val="24"/>
                            <w:szCs w:val="24"/>
                            <w:lang w:val="en-US"/>
                          </w:rPr>
                          <w:t>Big</w:t>
                        </w:r>
                        <w:r w:rsidRPr="0052009A">
                          <w:rPr>
                            <w:rFonts w:ascii="Times New Roman" w:hAnsi="Times New Roman" w:cs="Times New Roman"/>
                            <w:sz w:val="24"/>
                            <w:szCs w:val="24"/>
                          </w:rPr>
                          <w:t xml:space="preserve"> </w:t>
                        </w:r>
                        <w:r w:rsidRPr="0052009A">
                          <w:rPr>
                            <w:rFonts w:ascii="Times New Roman" w:hAnsi="Times New Roman" w:cs="Times New Roman"/>
                            <w:sz w:val="24"/>
                            <w:szCs w:val="24"/>
                            <w:lang w:val="en-US"/>
                          </w:rPr>
                          <w:t>Data</w:t>
                        </w:r>
                        <w:r w:rsidRPr="0052009A">
                          <w:rPr>
                            <w:rFonts w:ascii="Times New Roman" w:hAnsi="Times New Roman" w:cs="Times New Roman"/>
                            <w:sz w:val="24"/>
                            <w:szCs w:val="24"/>
                          </w:rPr>
                          <w:t xml:space="preserve">, </w:t>
                        </w:r>
                        <w:r w:rsidRPr="0052009A">
                          <w:rPr>
                            <w:rFonts w:ascii="Times New Roman" w:hAnsi="Times New Roman" w:cs="Times New Roman"/>
                            <w:sz w:val="24"/>
                            <w:szCs w:val="24"/>
                            <w:lang w:val="kk-KZ"/>
                          </w:rPr>
                          <w:t>автоматизация, обучение, цифровая зрелость, участие в цифровых кластерах и др.</w:t>
                        </w:r>
                      </w:p>
                    </w:txbxContent>
                  </v:textbox>
                </v:shape>
                <v:shape id="Надпись 146" o:spid="_x0000_s1202" type="#_x0000_t202" style="position:absolute;left:39200;top:10160;width:16758;height:13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BzTwgAAANwAAAAPAAAAZHJzL2Rvd25yZXYueG1sRE9NawIx&#10;EL0L/Q9hCr1pVhGVrVFaqbTiydX2PGymu8HNZE1S3f57Iwje5vE+Z77sbCPO5INxrGA4yEAQl04b&#10;rhQc9uv+DESIyBobx6TgnwIsF0+9OebaXXhH5yJWIoVwyFFBHWObSxnKmiyGgWuJE/frvMWYoK+k&#10;9nhJ4baRoyybSIuGU0ONLa1qKo/Fn1Vw+vb78dB8/KybTWFO0+P2/ROnSr08d2+vICJ18SG+u790&#10;mj+ewO2ZdIFcXAEAAP//AwBQSwECLQAUAAYACAAAACEA2+H2y+4AAACFAQAAEwAAAAAAAAAAAAAA&#10;AAAAAAAAW0NvbnRlbnRfVHlwZXNdLnhtbFBLAQItABQABgAIAAAAIQBa9CxbvwAAABUBAAALAAAA&#10;AAAAAAAAAAAAAB8BAABfcmVscy8ucmVsc1BLAQItABQABgAIAAAAIQBEYBzTwgAAANwAAAAPAAAA&#10;AAAAAAAAAAAAAAcCAABkcnMvZG93bnJldi54bWxQSwUGAAAAAAMAAwC3AAAA9gIAAAAA&#10;" fillcolor="white [3201]" strokeweight=".5pt">
                  <v:textbox>
                    <w:txbxContent>
                      <w:p w14:paraId="5C9E5820" w14:textId="77777777" w:rsidR="001D4931" w:rsidRPr="0052009A" w:rsidRDefault="001D4931" w:rsidP="0052009A">
                        <w:pPr>
                          <w:spacing w:after="0" w:line="240" w:lineRule="auto"/>
                          <w:jc w:val="center"/>
                          <w:rPr>
                            <w:rFonts w:ascii="Times New Roman" w:hAnsi="Times New Roman" w:cs="Times New Roman"/>
                            <w:sz w:val="24"/>
                            <w:szCs w:val="24"/>
                            <w:lang w:val="kk-KZ"/>
                          </w:rPr>
                        </w:pPr>
                        <w:r w:rsidRPr="0052009A">
                          <w:rPr>
                            <w:rFonts w:ascii="Times New Roman" w:hAnsi="Times New Roman" w:cs="Times New Roman"/>
                            <w:sz w:val="24"/>
                            <w:szCs w:val="24"/>
                            <w:lang w:val="kk-KZ"/>
                          </w:rPr>
                          <w:t xml:space="preserve">ИИ, роботизация, </w:t>
                        </w:r>
                        <w:r w:rsidRPr="0052009A">
                          <w:rPr>
                            <w:rFonts w:ascii="Times New Roman" w:hAnsi="Times New Roman" w:cs="Times New Roman"/>
                            <w:sz w:val="24"/>
                            <w:szCs w:val="24"/>
                            <w:lang w:val="en-US"/>
                          </w:rPr>
                          <w:t>RPA</w:t>
                        </w:r>
                        <w:r w:rsidRPr="0052009A">
                          <w:rPr>
                            <w:rFonts w:ascii="Times New Roman" w:hAnsi="Times New Roman" w:cs="Times New Roman"/>
                            <w:sz w:val="24"/>
                            <w:szCs w:val="24"/>
                          </w:rPr>
                          <w:t xml:space="preserve">, </w:t>
                        </w:r>
                        <w:r w:rsidRPr="0052009A">
                          <w:rPr>
                            <w:rFonts w:ascii="Times New Roman" w:hAnsi="Times New Roman" w:cs="Times New Roman"/>
                            <w:sz w:val="24"/>
                            <w:szCs w:val="24"/>
                            <w:lang w:val="kk-KZ"/>
                          </w:rPr>
                          <w:t>кибербезопасность, цифровые экосистемы</w:t>
                        </w:r>
                      </w:p>
                    </w:txbxContent>
                  </v:textbox>
                </v:shape>
                <v:shape id="Надпись 147" o:spid="_x0000_s1203" type="#_x0000_t202" style="position:absolute;left:13292;top:25400;width:30226;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PuwgAAANwAAAAPAAAAZHJzL2Rvd25yZXYueG1sRE9LasMw&#10;EN0HegcxhWxCI7eUJLhWQikYjGkX+Rxgak0sY2tkLNV2bl8VCtnN430nO8y2EyMNvnGs4HmdgCCu&#10;nG64VnA55087ED4ga+wck4IbeTjsHxYZptpNfKTxFGoRQ9inqMCE0KdS+sqQRb92PXHkrm6wGCIc&#10;aqkHnGK47eRLkmykxYZjg8GePgxV7enHKliZPvn6vBbfud5Upi09bu1YKrV8nN/fQASaw1387y50&#10;nP+6hb9n4gVy/wsAAP//AwBQSwECLQAUAAYACAAAACEA2+H2y+4AAACFAQAAEwAAAAAAAAAAAAAA&#10;AAAAAAAAW0NvbnRlbnRfVHlwZXNdLnhtbFBLAQItABQABgAIAAAAIQBa9CxbvwAAABUBAAALAAAA&#10;AAAAAAAAAAAAAB8BAABfcmVscy8ucmVsc1BLAQItABQABgAIAAAAIQBEnTPuwgAAANwAAAAPAAAA&#10;AAAAAAAAAAAAAAcCAABkcnMvZG93bnJldi54bWxQSwUGAAAAAAMAAwC3AAAA9gIAAAAA&#10;" filled="f" stroked="f">
                  <v:textbox>
                    <w:txbxContent>
                      <w:p w14:paraId="41A7B6DD" w14:textId="77777777" w:rsidR="001D4931" w:rsidRPr="0052009A" w:rsidRDefault="001D4931" w:rsidP="0052009A">
                        <w:pPr>
                          <w:spacing w:after="0" w:line="240" w:lineRule="auto"/>
                          <w:jc w:val="center"/>
                          <w:rPr>
                            <w:rFonts w:ascii="Times New Roman" w:hAnsi="Times New Roman" w:cs="Times New Roman"/>
                            <w:sz w:val="24"/>
                            <w:szCs w:val="24"/>
                            <w:lang w:val="kk-KZ"/>
                          </w:rPr>
                        </w:pPr>
                        <w:r w:rsidRPr="0052009A">
                          <w:rPr>
                            <w:rFonts w:ascii="Times New Roman" w:hAnsi="Times New Roman" w:cs="Times New Roman"/>
                            <w:sz w:val="24"/>
                            <w:szCs w:val="24"/>
                            <w:lang w:val="kk-KZ"/>
                          </w:rPr>
                          <w:t>Усиление инновационной активности</w:t>
                        </w:r>
                      </w:p>
                    </w:txbxContent>
                  </v:textbox>
                </v:shape>
                <v:shape id="Прямая со стрелкой 148" o:spid="_x0000_s1204" type="#_x0000_t32" style="position:absolute;left:11938;top:4741;width:5503;height:20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x+exAAAANwAAAAPAAAAZHJzL2Rvd25yZXYueG1sRI9Ba8JA&#10;EIXvQv/DMoXedNPQiETXUFpKe1EwtvcxOybB7GzIbmP67zsHwdsM781732yKyXVqpCG0ng08LxJQ&#10;xJW3LdcGvo8f8xWoEJEtdp7JwB8FKLYPsw3m1l/5QGMZayUhHHI00MTY51qHqiGHYeF7YtHOfnAY&#10;ZR1qbQe8SrjrdJokS+2wZWlosKe3hqpL+esMHEvHu9PPe5aln3Fv0zbrkj4z5ulxel2DijTFu/l2&#10;/WUF/0Vo5RmZQG//AQAA//8DAFBLAQItABQABgAIAAAAIQDb4fbL7gAAAIUBAAATAAAAAAAAAAAA&#10;AAAAAAAAAABbQ29udGVudF9UeXBlc10ueG1sUEsBAi0AFAAGAAgAAAAhAFr0LFu/AAAAFQEAAAsA&#10;AAAAAAAAAAAAAAAAHwEAAF9yZWxzLy5yZWxzUEsBAi0AFAAGAAgAAAAhAN53H57EAAAA3AAAAA8A&#10;AAAAAAAAAAAAAAAABwIAAGRycy9kb3ducmV2LnhtbFBLBQYAAAAAAwADALcAAAD4AgAAAAA=&#10;" strokecolor="black [3200]" strokeweight="1pt">
                  <v:stroke endarrow="block" joinstyle="miter"/>
                </v:shape>
                <v:shape id="Прямая со стрелкой 149" o:spid="_x0000_s1205" type="#_x0000_t32" style="position:absolute;left:27601;top:4741;width:0;height:21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mlxAAAANwAAAAPAAAAZHJzL2Rvd25yZXYueG1sRE9LawIx&#10;EL4X/A9hhF5KzVpat65GKYVCPYmPUo/DZtwsbibbJK7bf98IBW/z8T1nvuxtIzryoXasYDzKQBCX&#10;TtdcKdjvPh5fQYSIrLFxTAp+KcByMbibY6HdhTfUbWMlUgiHAhWYGNtCylAashhGriVO3NF5izFB&#10;X0nt8ZLCbSOfsmwiLdacGgy29G6oPG3PVoHMV+7c/cSX/Gu9P0wejLffq1yp+2H/NgMRqY838b/7&#10;U6f5z1O4PpMukIs/AAAA//8DAFBLAQItABQABgAIAAAAIQDb4fbL7gAAAIUBAAATAAAAAAAAAAAA&#10;AAAAAAAAAABbQ29udGVudF9UeXBlc10ueG1sUEsBAi0AFAAGAAgAAAAhAFr0LFu/AAAAFQEAAAsA&#10;AAAAAAAAAAAAAAAAHwEAAF9yZWxzLy5yZWxzUEsBAi0AFAAGAAgAAAAhAKHTqaXEAAAA3AAAAA8A&#10;AAAAAAAAAAAAAAAABwIAAGRycy9kb3ducmV2LnhtbFBLBQYAAAAAAwADALcAAAD4AgAAAAA=&#10;" strokecolor="black [3200]" strokeweight="1pt">
                  <v:stroke endarrow="block" joinstyle="miter"/>
                </v:shape>
                <v:shape id="Прямая со стрелкой 150" o:spid="_x0000_s1206" type="#_x0000_t32" style="position:absolute;left:37084;top:4741;width:6434;height:20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JblxgAAANwAAAAPAAAAZHJzL2Rvd25yZXYueG1sRI9BSwMx&#10;EIXvQv9DmIIXabMK7Za1aSmCYE9iW9HjsBk3i5vJNkm36793DoK3Gd6b975Zb0ffqYFiagMbuJ8X&#10;oIjrYFtuDJyOz7MVqJSRLXaBycAPJdhuJjdrrGy48hsNh9woCeFUoQGXc19pnWpHHtM89MSifYXo&#10;McsaG20jXiXcd/qhKJbaY8vS4LCnJ0f19+HiDehyHy7DOS/K99fT5/LORf+xL425nY67R1CZxvxv&#10;/rt+sYK/EHx5RibQm18AAAD//wMAUEsBAi0AFAAGAAgAAAAhANvh9svuAAAAhQEAABMAAAAAAAAA&#10;AAAAAAAAAAAAAFtDb250ZW50X1R5cGVzXS54bWxQSwECLQAUAAYACAAAACEAWvQsW78AAAAVAQAA&#10;CwAAAAAAAAAAAAAAAAAfAQAAX3JlbHMvLnJlbHNQSwECLQAUAAYACAAAACEAtTCW5cYAAADcAAAA&#10;DwAAAAAAAAAAAAAAAAAHAgAAZHJzL2Rvd25yZXYueG1sUEsFBgAAAAADAAMAtwAAAPoCAAAAAA==&#10;" strokecolor="black [3200]" strokeweight="1pt">
                  <v:stroke endarrow="block" joinstyle="miter"/>
                </v:shape>
                <v:shape id="Дуга 153" o:spid="_x0000_s1207" style="position:absolute;left:8212;top:20574;width:38519;height:5753;rotation:180;visibility:visible;mso-wrap-style:square;v-text-anchor:middle" coordsize="3851910,57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ADYwAAAANwAAAAPAAAAZHJzL2Rvd25yZXYueG1sRE/NisIw&#10;EL4v+A5hBC+Lpq5YpBpFhMp60+oDDM3YVptJabK1vv1GELzNx/c7q01vatFR6yrLCqaTCARxbnXF&#10;hYLLOR0vQDiPrLG2TAqe5GCzHnytMNH2wSfqMl+IEMIuQQWl900ipctLMugmtiEO3NW2Bn2AbSF1&#10;i48Qbmr5E0WxNFhxaCixoV1J+T37Mwq6/VF38T49NJfsFt+rtObvaarUaNhvlyA89f4jfrt/dZg/&#10;n8HrmXCBXP8DAAD//wMAUEsBAi0AFAAGAAgAAAAhANvh9svuAAAAhQEAABMAAAAAAAAAAAAAAAAA&#10;AAAAAFtDb250ZW50X1R5cGVzXS54bWxQSwECLQAUAAYACAAAACEAWvQsW78AAAAVAQAACwAAAAAA&#10;AAAAAAAAAAAfAQAAX3JlbHMvLnJlbHNQSwECLQAUAAYACAAAACEAhzAA2MAAAADcAAAADwAAAAAA&#10;AAAAAAAAAAAHAgAAZHJzL2Rvd25yZXYueG1sUEsFBgAAAAADAAMAtwAAAPQCAAAAAA==&#10;" path="m5437,266056nsc81082,116013,918151,29,1925587,v995127,-28,1826542,113178,1918146,261176l1925955,287655,5437,266056xem5437,266056nfc81082,116013,918151,29,1925587,v995127,-28,1826542,113178,1918146,261176e" filled="f" strokecolor="black [3200]" strokeweight="1pt">
                  <v:stroke joinstyle="miter"/>
                  <v:path arrowok="t" o:connecttype="custom" o:connectlocs="5437,266056;1925587,0;3843733,261176" o:connectangles="0,0,0"/>
                </v:shape>
                <v:line id="Прямая соединительная линия 155" o:spid="_x0000_s1208" style="position:absolute;visibility:visible;mso-wrap-style:square" from="27178,23706" to="27178,2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DGowQAAANwAAAAPAAAAZHJzL2Rvd25yZXYueG1sRE9Li8Iw&#10;EL4L+x/CLHjT1AWLrUaRBWEvCz6XPY7N2BabSUmi1n9vBMHbfHzPmS0604grOV9bVjAaJiCIC6tr&#10;LhXsd6vBBIQPyBoby6TgTh4W84/eDHNtb7yh6zaUIoawz1FBFUKbS+mLigz6oW2JI3eyzmCI0JVS&#10;O7zFcNPIryRJpcGaY0OFLX1XVJy3F6PgQH9nl2aZXB3/L+uT2Weplr9K9T+75RREoC68xS/3j47z&#10;x2N4PhMvkPMHAAAA//8DAFBLAQItABQABgAIAAAAIQDb4fbL7gAAAIUBAAATAAAAAAAAAAAAAAAA&#10;AAAAAABbQ29udGVudF9UeXBlc10ueG1sUEsBAi0AFAAGAAgAAAAhAFr0LFu/AAAAFQEAAAsAAAAA&#10;AAAAAAAAAAAAHwEAAF9yZWxzLy5yZWxzUEsBAi0AFAAGAAgAAAAhANI0MajBAAAA3AAAAA8AAAAA&#10;AAAAAAAAAAAABwIAAGRycy9kb3ducmV2LnhtbFBLBQYAAAAAAwADALcAAAD1AgAAAAA=&#10;" strokecolor="black [3200]" strokeweight="1pt">
                  <v:stroke joinstyle="miter"/>
                </v:line>
                <w10:wrap type="topAndBottom"/>
              </v:group>
            </w:pict>
          </mc:Fallback>
        </mc:AlternateContent>
      </w:r>
    </w:p>
    <w:p w14:paraId="5D8167E6" w14:textId="77777777" w:rsidR="00F65A99" w:rsidRPr="00F65A99" w:rsidRDefault="00F65A99" w:rsidP="0052009A">
      <w:pPr>
        <w:tabs>
          <w:tab w:val="left" w:pos="851"/>
        </w:tabs>
        <w:spacing w:after="0" w:line="240" w:lineRule="auto"/>
        <w:jc w:val="center"/>
        <w:rPr>
          <w:rFonts w:ascii="Times New Roman" w:hAnsi="Times New Roman" w:cs="Times New Roman"/>
          <w:sz w:val="12"/>
          <w:szCs w:val="28"/>
        </w:rPr>
      </w:pPr>
    </w:p>
    <w:p w14:paraId="0193ED07" w14:textId="4DF1C51F" w:rsidR="002F33D0" w:rsidRPr="002F33D0" w:rsidRDefault="003D0751" w:rsidP="0052009A">
      <w:pPr>
        <w:tabs>
          <w:tab w:val="left" w:pos="85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Pr>
          <w:rFonts w:ascii="Times New Roman" w:hAnsi="Times New Roman" w:cs="Times New Roman"/>
          <w:sz w:val="28"/>
          <w:szCs w:val="28"/>
          <w:lang w:val="kk-KZ"/>
        </w:rPr>
        <w:t>1</w:t>
      </w:r>
      <w:r w:rsidR="005129E8">
        <w:rPr>
          <w:rFonts w:ascii="Times New Roman" w:hAnsi="Times New Roman" w:cs="Times New Roman"/>
          <w:sz w:val="28"/>
          <w:szCs w:val="28"/>
          <w:lang w:val="kk-KZ"/>
        </w:rPr>
        <w:t>4</w:t>
      </w:r>
      <w:r w:rsidR="002F33D0" w:rsidRPr="002F33D0">
        <w:rPr>
          <w:rFonts w:ascii="Times New Roman" w:hAnsi="Times New Roman" w:cs="Times New Roman"/>
          <w:sz w:val="28"/>
          <w:szCs w:val="28"/>
        </w:rPr>
        <w:t xml:space="preserve"> – Приоритеты цифровой адаптации предпринимательских структур по размерным категориям</w:t>
      </w:r>
    </w:p>
    <w:p w14:paraId="7D8770AE" w14:textId="77777777" w:rsidR="003D0751" w:rsidRDefault="003D0751" w:rsidP="002F33D0">
      <w:pPr>
        <w:tabs>
          <w:tab w:val="left" w:pos="851"/>
        </w:tabs>
        <w:spacing w:after="0" w:line="240" w:lineRule="auto"/>
        <w:jc w:val="both"/>
        <w:rPr>
          <w:rFonts w:ascii="Times New Roman" w:hAnsi="Times New Roman" w:cs="Times New Roman"/>
          <w:sz w:val="28"/>
          <w:szCs w:val="28"/>
          <w:lang w:val="kk-KZ"/>
        </w:rPr>
      </w:pPr>
    </w:p>
    <w:p w14:paraId="22F8CA09" w14:textId="3C1C4429" w:rsidR="002F33D0" w:rsidRPr="003D0751" w:rsidRDefault="003D0751" w:rsidP="005129E8">
      <w:pPr>
        <w:tabs>
          <w:tab w:val="left" w:pos="851"/>
        </w:tabs>
        <w:spacing w:after="0" w:line="240" w:lineRule="auto"/>
        <w:ind w:firstLine="567"/>
        <w:jc w:val="both"/>
        <w:rPr>
          <w:rFonts w:ascii="Times New Roman" w:hAnsi="Times New Roman" w:cs="Times New Roman"/>
          <w:sz w:val="24"/>
          <w:szCs w:val="28"/>
          <w:lang w:val="kk-KZ"/>
        </w:rPr>
      </w:pPr>
      <w:r w:rsidRPr="003D0751">
        <w:rPr>
          <w:rFonts w:ascii="Times New Roman" w:hAnsi="Times New Roman" w:cs="Times New Roman"/>
          <w:sz w:val="24"/>
          <w:szCs w:val="28"/>
          <w:lang w:val="kk-KZ"/>
        </w:rPr>
        <w:t xml:space="preserve">Примечание – </w:t>
      </w:r>
      <w:r w:rsidR="000F3C80">
        <w:rPr>
          <w:rFonts w:ascii="Times New Roman" w:hAnsi="Times New Roman" w:cs="Times New Roman"/>
          <w:sz w:val="24"/>
          <w:szCs w:val="28"/>
          <w:lang w:val="kk-KZ"/>
        </w:rPr>
        <w:t>С</w:t>
      </w:r>
      <w:r w:rsidRPr="003D0751">
        <w:rPr>
          <w:rFonts w:ascii="Times New Roman" w:hAnsi="Times New Roman" w:cs="Times New Roman"/>
          <w:sz w:val="24"/>
          <w:szCs w:val="28"/>
          <w:lang w:val="kk-KZ"/>
        </w:rPr>
        <w:t xml:space="preserve">оставлено автором </w:t>
      </w:r>
    </w:p>
    <w:p w14:paraId="15647226" w14:textId="77777777" w:rsidR="003D0751" w:rsidRPr="003D0751" w:rsidRDefault="003D0751" w:rsidP="002F33D0">
      <w:pPr>
        <w:tabs>
          <w:tab w:val="left" w:pos="851"/>
        </w:tabs>
        <w:spacing w:after="0" w:line="240" w:lineRule="auto"/>
        <w:jc w:val="both"/>
        <w:rPr>
          <w:rFonts w:ascii="Times New Roman" w:hAnsi="Times New Roman" w:cs="Times New Roman"/>
          <w:sz w:val="28"/>
          <w:szCs w:val="28"/>
          <w:lang w:val="kk-KZ"/>
        </w:rPr>
      </w:pPr>
    </w:p>
    <w:p w14:paraId="3D6B805B" w14:textId="77777777"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lang w:val="kk-KZ"/>
        </w:rPr>
        <w:t>Для м</w:t>
      </w:r>
      <w:r w:rsidRPr="002F33D0">
        <w:rPr>
          <w:rFonts w:ascii="Times New Roman" w:hAnsi="Times New Roman" w:cs="Times New Roman"/>
          <w:sz w:val="28"/>
          <w:szCs w:val="28"/>
        </w:rPr>
        <w:t>алы</w:t>
      </w:r>
      <w:r w:rsidRPr="002F33D0">
        <w:rPr>
          <w:rFonts w:ascii="Times New Roman" w:hAnsi="Times New Roman" w:cs="Times New Roman"/>
          <w:sz w:val="28"/>
          <w:szCs w:val="28"/>
          <w:lang w:val="kk-KZ"/>
        </w:rPr>
        <w:t>х</w:t>
      </w:r>
      <w:r w:rsidRPr="002F33D0">
        <w:rPr>
          <w:rFonts w:ascii="Times New Roman" w:hAnsi="Times New Roman" w:cs="Times New Roman"/>
          <w:sz w:val="28"/>
          <w:szCs w:val="28"/>
        </w:rPr>
        <w:t xml:space="preserve"> предприяти</w:t>
      </w:r>
      <w:r w:rsidRPr="002F33D0">
        <w:rPr>
          <w:rFonts w:ascii="Times New Roman" w:hAnsi="Times New Roman" w:cs="Times New Roman"/>
          <w:sz w:val="28"/>
          <w:szCs w:val="28"/>
          <w:lang w:val="kk-KZ"/>
        </w:rPr>
        <w:t>й ц</w:t>
      </w:r>
      <w:r w:rsidRPr="002F33D0">
        <w:rPr>
          <w:rFonts w:ascii="Times New Roman" w:hAnsi="Times New Roman" w:cs="Times New Roman"/>
          <w:sz w:val="28"/>
          <w:szCs w:val="28"/>
        </w:rPr>
        <w:t>ифровизация выступает в качестве компенсатора ограниченности ресурсов. Основой развития становятся доступные облачные решения, модульные цифровые сервисы, автоматизация операций и ускоренная цифровая готовность персонала. Для МСП высокую значимость представляет использование «легковесных» инструментов (ERP Lite, Data Lite), не требующих значительных инвестиций.</w:t>
      </w:r>
    </w:p>
    <w:p w14:paraId="6027F42B" w14:textId="77777777"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lang w:val="kk-KZ"/>
        </w:rPr>
        <w:t>Для с</w:t>
      </w:r>
      <w:r w:rsidRPr="002F33D0">
        <w:rPr>
          <w:rFonts w:ascii="Times New Roman" w:hAnsi="Times New Roman" w:cs="Times New Roman"/>
          <w:sz w:val="28"/>
          <w:szCs w:val="28"/>
        </w:rPr>
        <w:t>редни</w:t>
      </w:r>
      <w:r w:rsidRPr="002F33D0">
        <w:rPr>
          <w:rFonts w:ascii="Times New Roman" w:hAnsi="Times New Roman" w:cs="Times New Roman"/>
          <w:sz w:val="28"/>
          <w:szCs w:val="28"/>
          <w:lang w:val="kk-KZ"/>
        </w:rPr>
        <w:t>х</w:t>
      </w:r>
      <w:r w:rsidRPr="002F33D0">
        <w:rPr>
          <w:rFonts w:ascii="Times New Roman" w:hAnsi="Times New Roman" w:cs="Times New Roman"/>
          <w:sz w:val="28"/>
          <w:szCs w:val="28"/>
        </w:rPr>
        <w:t xml:space="preserve"> предприят</w:t>
      </w:r>
      <w:r w:rsidRPr="002F33D0">
        <w:rPr>
          <w:rFonts w:ascii="Times New Roman" w:hAnsi="Times New Roman" w:cs="Times New Roman"/>
          <w:sz w:val="28"/>
          <w:szCs w:val="28"/>
          <w:lang w:val="kk-KZ"/>
        </w:rPr>
        <w:t xml:space="preserve">ий </w:t>
      </w:r>
      <w:r w:rsidRPr="002F33D0">
        <w:rPr>
          <w:rFonts w:ascii="Times New Roman" w:hAnsi="Times New Roman" w:cs="Times New Roman"/>
          <w:sz w:val="28"/>
          <w:szCs w:val="28"/>
        </w:rPr>
        <w:t>характерен переход к сложным цифровым архитектурам. Приоритетом становится интеграция бизнес-процессов через единые ERP/CRM-платформы, внедрение Big Data и аналитики процессов, повышение уровня киберустойчивости. Эти решения обеспечивают масштабируемость и управляемость технологических и организационных процессов.</w:t>
      </w:r>
    </w:p>
    <w:p w14:paraId="77CEF454" w14:textId="77777777"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lang w:val="kk-KZ"/>
        </w:rPr>
        <w:t>У к</w:t>
      </w:r>
      <w:r w:rsidRPr="002F33D0">
        <w:rPr>
          <w:rFonts w:ascii="Times New Roman" w:hAnsi="Times New Roman" w:cs="Times New Roman"/>
          <w:sz w:val="28"/>
          <w:szCs w:val="28"/>
        </w:rPr>
        <w:t>рупны</w:t>
      </w:r>
      <w:r w:rsidRPr="002F33D0">
        <w:rPr>
          <w:rFonts w:ascii="Times New Roman" w:hAnsi="Times New Roman" w:cs="Times New Roman"/>
          <w:sz w:val="28"/>
          <w:szCs w:val="28"/>
          <w:lang w:val="kk-KZ"/>
        </w:rPr>
        <w:t>х</w:t>
      </w:r>
      <w:r w:rsidRPr="002F33D0">
        <w:rPr>
          <w:rFonts w:ascii="Times New Roman" w:hAnsi="Times New Roman" w:cs="Times New Roman"/>
          <w:sz w:val="28"/>
          <w:szCs w:val="28"/>
        </w:rPr>
        <w:t xml:space="preserve"> предприяти</w:t>
      </w:r>
      <w:r w:rsidRPr="002F33D0">
        <w:rPr>
          <w:rFonts w:ascii="Times New Roman" w:hAnsi="Times New Roman" w:cs="Times New Roman"/>
          <w:sz w:val="28"/>
          <w:szCs w:val="28"/>
          <w:lang w:val="kk-KZ"/>
        </w:rPr>
        <w:t xml:space="preserve">й </w:t>
      </w:r>
      <w:r w:rsidRPr="002F33D0">
        <w:rPr>
          <w:rFonts w:ascii="Times New Roman" w:hAnsi="Times New Roman" w:cs="Times New Roman"/>
          <w:sz w:val="28"/>
          <w:szCs w:val="28"/>
        </w:rPr>
        <w:t>цифровизация принимает трансформационный характер. Она связана с переходом к интеллектуальным производственно-управленческим моделям на основе искусственного интеллекта, цифровых двойников, роботизации и платформенного взаимодействия. Данный уровень обеспечивает отраслевое лидерство и возможность формирования экосистем вокруг предприятия.</w:t>
      </w:r>
    </w:p>
    <w:p w14:paraId="59802B22" w14:textId="2B19BA2D"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Внедрение типологии цифрового развития позволяет формировать адресные проектные решения, согласованные с резу</w:t>
      </w:r>
      <w:r w:rsidR="00F65A99">
        <w:rPr>
          <w:rFonts w:ascii="Times New Roman" w:hAnsi="Times New Roman" w:cs="Times New Roman"/>
          <w:sz w:val="28"/>
          <w:szCs w:val="28"/>
        </w:rPr>
        <w:t>льтатами диагностического блока</w:t>
      </w:r>
      <w:r w:rsidRPr="002F33D0">
        <w:rPr>
          <w:rFonts w:ascii="Times New Roman" w:hAnsi="Times New Roman" w:cs="Times New Roman"/>
          <w:sz w:val="28"/>
          <w:szCs w:val="28"/>
        </w:rPr>
        <w:t xml:space="preserve">. Цифровая адаптация, являясь медиатором в </w:t>
      </w:r>
      <w:r w:rsidRPr="002F33D0">
        <w:rPr>
          <w:rFonts w:ascii="Times New Roman" w:hAnsi="Times New Roman" w:cs="Times New Roman"/>
          <w:sz w:val="28"/>
          <w:szCs w:val="28"/>
        </w:rPr>
        <w:lastRenderedPageBreak/>
        <w:t>формировании инновационного потенциала, приобретает программирующую функцию: она определяет, насколько эффективно внутренние ресурсы могут трансформироваться в инновационные результаты.</w:t>
      </w:r>
    </w:p>
    <w:p w14:paraId="2503917E" w14:textId="77777777" w:rsidR="002F33D0" w:rsidRPr="002F33D0" w:rsidRDefault="002F33D0" w:rsidP="0052009A">
      <w:pPr>
        <w:tabs>
          <w:tab w:val="left" w:pos="851"/>
        </w:tabs>
        <w:spacing w:after="0" w:line="240" w:lineRule="auto"/>
        <w:ind w:firstLine="567"/>
        <w:jc w:val="both"/>
        <w:rPr>
          <w:rFonts w:ascii="Times New Roman" w:hAnsi="Times New Roman" w:cs="Times New Roman"/>
          <w:b/>
          <w:sz w:val="28"/>
          <w:szCs w:val="28"/>
        </w:rPr>
      </w:pPr>
      <w:r w:rsidRPr="002F33D0">
        <w:rPr>
          <w:rFonts w:ascii="Times New Roman" w:hAnsi="Times New Roman" w:cs="Times New Roman"/>
          <w:b/>
          <w:sz w:val="28"/>
          <w:szCs w:val="28"/>
        </w:rPr>
        <w:t>3.3.4 Механизм внедрения диагностического инструмента и цифровой платформы</w:t>
      </w:r>
    </w:p>
    <w:p w14:paraId="14F155F5" w14:textId="443F7744"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rPr>
        <w:t>Практическая реализация разработанной методики оценки и проектирования инновационного потенциала требует институционального и технологического оформления в виде единой цифровой платформы. Такая платформа становится ядром предлагаемого механизма управления инновационным развитием предпринимательских структур, обеспечивая интеграцию диагностических процедур, визуализации результатов и формирования адресных рекомендаций. В отличие от существующих фрагментарных решений, ориентированных преимущественно на отчётность или участие в государственных программах, предлагаемая платформа выполняет стратегическую функцию – формирование индивидуальных траекторий развития предприятий на основе количественных данных и п</w:t>
      </w:r>
      <w:r w:rsidR="00F65A99">
        <w:rPr>
          <w:rFonts w:ascii="Times New Roman" w:hAnsi="Times New Roman" w:cs="Times New Roman"/>
          <w:sz w:val="28"/>
          <w:szCs w:val="28"/>
        </w:rPr>
        <w:t>яти приоритетов проектирования</w:t>
      </w:r>
      <w:r w:rsidRPr="002F33D0">
        <w:rPr>
          <w:rFonts w:ascii="Times New Roman" w:hAnsi="Times New Roman" w:cs="Times New Roman"/>
          <w:sz w:val="28"/>
          <w:szCs w:val="28"/>
          <w:lang w:val="kk-KZ"/>
        </w:rPr>
        <w:t xml:space="preserve">. </w:t>
      </w:r>
    </w:p>
    <w:p w14:paraId="5D419A5E" w14:textId="3B163DFB"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Архитектура платформы включает несколько функциональных модулей: модуль ввода данных, модуль нормализации и расчёта индекса, аналитический модуль визуализации, модуль рекомендаций и модуль интеграции с внешней инфраструктурой. Эти модули напрямую соотносятся с ключев</w:t>
      </w:r>
      <w:r w:rsidR="00F65A99">
        <w:rPr>
          <w:rFonts w:ascii="Times New Roman" w:hAnsi="Times New Roman" w:cs="Times New Roman"/>
          <w:sz w:val="28"/>
          <w:szCs w:val="28"/>
          <w:lang w:val="kk-KZ"/>
        </w:rPr>
        <w:t>ыми приоритетами проектирования</w:t>
      </w:r>
      <w:r w:rsidRPr="002F33D0">
        <w:rPr>
          <w:rFonts w:ascii="Times New Roman" w:hAnsi="Times New Roman" w:cs="Times New Roman"/>
          <w:sz w:val="28"/>
          <w:szCs w:val="28"/>
          <w:lang w:val="kk-KZ"/>
        </w:rPr>
        <w:t>, что позволяет перейти от диагностики к управленческому воздействию.</w:t>
      </w:r>
      <w:r w:rsidR="00F65A99" w:rsidRPr="00F65A99">
        <w:rPr>
          <w:rFonts w:ascii="Times New Roman" w:hAnsi="Times New Roman" w:cs="Times New Roman"/>
          <w:sz w:val="28"/>
          <w:szCs w:val="28"/>
        </w:rPr>
        <w:t xml:space="preserve"> </w:t>
      </w:r>
      <w:r w:rsidRPr="002F33D0">
        <w:rPr>
          <w:rFonts w:ascii="Times New Roman" w:hAnsi="Times New Roman" w:cs="Times New Roman"/>
          <w:sz w:val="28"/>
          <w:szCs w:val="28"/>
          <w:lang w:val="kk-KZ"/>
        </w:rPr>
        <w:t>Для отражения логики соответствия модулей платформы приоритетам проектиро</w:t>
      </w:r>
      <w:r w:rsidR="0012594C">
        <w:rPr>
          <w:rFonts w:ascii="Times New Roman" w:hAnsi="Times New Roman" w:cs="Times New Roman"/>
          <w:sz w:val="28"/>
          <w:szCs w:val="28"/>
          <w:lang w:val="kk-KZ"/>
        </w:rPr>
        <w:t>вания представлена таблица 37.</w:t>
      </w:r>
    </w:p>
    <w:p w14:paraId="38CBEC2E" w14:textId="77777777" w:rsidR="002F33D0" w:rsidRPr="002F33D0" w:rsidRDefault="002F33D0" w:rsidP="002F33D0">
      <w:pPr>
        <w:tabs>
          <w:tab w:val="left" w:pos="851"/>
        </w:tabs>
        <w:spacing w:after="0" w:line="240" w:lineRule="auto"/>
        <w:jc w:val="both"/>
        <w:rPr>
          <w:rFonts w:ascii="Times New Roman" w:hAnsi="Times New Roman" w:cs="Times New Roman"/>
          <w:sz w:val="28"/>
          <w:szCs w:val="28"/>
          <w:lang w:val="kk-KZ"/>
        </w:rPr>
      </w:pPr>
    </w:p>
    <w:p w14:paraId="023066FF" w14:textId="019DF19A" w:rsidR="002F33D0" w:rsidRPr="002F33D0" w:rsidRDefault="002F33D0" w:rsidP="002F33D0">
      <w:pPr>
        <w:tabs>
          <w:tab w:val="left" w:pos="851"/>
        </w:tabs>
        <w:spacing w:after="0" w:line="240" w:lineRule="auto"/>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Таблица 3</w:t>
      </w:r>
      <w:r w:rsidR="0012594C">
        <w:rPr>
          <w:rFonts w:ascii="Times New Roman" w:hAnsi="Times New Roman" w:cs="Times New Roman"/>
          <w:sz w:val="28"/>
          <w:szCs w:val="28"/>
          <w:lang w:val="kk-KZ"/>
        </w:rPr>
        <w:t>7</w:t>
      </w:r>
      <w:r w:rsidRPr="002F33D0">
        <w:rPr>
          <w:rFonts w:ascii="Times New Roman" w:hAnsi="Times New Roman" w:cs="Times New Roman"/>
          <w:sz w:val="28"/>
          <w:szCs w:val="28"/>
          <w:lang w:val="kk-KZ"/>
        </w:rPr>
        <w:t xml:space="preserve"> – Соотношение функциональных модулей цифровой платформы с приоритетами проектирования инновационного потенциала</w:t>
      </w:r>
    </w:p>
    <w:p w14:paraId="15EC06A7" w14:textId="77777777" w:rsidR="002F33D0" w:rsidRPr="0012594C" w:rsidRDefault="002F33D0" w:rsidP="002F33D0">
      <w:pPr>
        <w:tabs>
          <w:tab w:val="left" w:pos="851"/>
        </w:tabs>
        <w:spacing w:after="0" w:line="240" w:lineRule="auto"/>
        <w:jc w:val="both"/>
        <w:rPr>
          <w:rFonts w:ascii="Times New Roman" w:hAnsi="Times New Roman" w:cs="Times New Roman"/>
          <w:sz w:val="20"/>
          <w:szCs w:val="20"/>
          <w:lang w:val="kk-KZ"/>
        </w:rPr>
      </w:pPr>
    </w:p>
    <w:tbl>
      <w:tblPr>
        <w:tblStyle w:val="a5"/>
        <w:tblW w:w="0" w:type="auto"/>
        <w:tblLayout w:type="fixed"/>
        <w:tblLook w:val="04A0" w:firstRow="1" w:lastRow="0" w:firstColumn="1" w:lastColumn="0" w:noHBand="0" w:noVBand="1"/>
      </w:tblPr>
      <w:tblGrid>
        <w:gridCol w:w="3218"/>
        <w:gridCol w:w="3228"/>
        <w:gridCol w:w="2899"/>
      </w:tblGrid>
      <w:tr w:rsidR="002F33D0" w:rsidRPr="0052009A" w14:paraId="0541BB66" w14:textId="77777777" w:rsidTr="005129E8">
        <w:tc>
          <w:tcPr>
            <w:tcW w:w="3218" w:type="dxa"/>
            <w:hideMark/>
          </w:tcPr>
          <w:p w14:paraId="1AC7E91F" w14:textId="62172F5E" w:rsidR="002F33D0" w:rsidRPr="0052009A" w:rsidRDefault="002F33D0" w:rsidP="00F65A99">
            <w:pPr>
              <w:ind w:firstLine="0"/>
              <w:jc w:val="center"/>
              <w:rPr>
                <w:rFonts w:eastAsia="Times New Roman"/>
                <w:bCs/>
                <w:szCs w:val="24"/>
                <w:lang w:eastAsia="ru-RU"/>
              </w:rPr>
            </w:pPr>
            <w:r w:rsidRPr="0052009A">
              <w:rPr>
                <w:rFonts w:eastAsia="Times New Roman"/>
                <w:bCs/>
                <w:szCs w:val="24"/>
                <w:lang w:eastAsia="ru-RU"/>
              </w:rPr>
              <w:t>Приоритет проектирования</w:t>
            </w:r>
          </w:p>
        </w:tc>
        <w:tc>
          <w:tcPr>
            <w:tcW w:w="3228" w:type="dxa"/>
            <w:hideMark/>
          </w:tcPr>
          <w:p w14:paraId="02471A70" w14:textId="77777777" w:rsidR="002F33D0" w:rsidRPr="0052009A" w:rsidRDefault="002F33D0" w:rsidP="00F65A99">
            <w:pPr>
              <w:ind w:firstLine="0"/>
              <w:jc w:val="center"/>
              <w:rPr>
                <w:rFonts w:eastAsia="Times New Roman"/>
                <w:bCs/>
                <w:szCs w:val="24"/>
                <w:lang w:eastAsia="ru-RU"/>
              </w:rPr>
            </w:pPr>
            <w:r w:rsidRPr="0052009A">
              <w:rPr>
                <w:rFonts w:eastAsia="Times New Roman"/>
                <w:bCs/>
                <w:szCs w:val="24"/>
                <w:lang w:eastAsia="ru-RU"/>
              </w:rPr>
              <w:t>Реализация в цифровой платформе</w:t>
            </w:r>
          </w:p>
        </w:tc>
        <w:tc>
          <w:tcPr>
            <w:tcW w:w="2899" w:type="dxa"/>
            <w:hideMark/>
          </w:tcPr>
          <w:p w14:paraId="7CCDFBCC" w14:textId="77777777" w:rsidR="002F33D0" w:rsidRPr="0052009A" w:rsidRDefault="002F33D0" w:rsidP="00F65A99">
            <w:pPr>
              <w:ind w:firstLine="0"/>
              <w:jc w:val="center"/>
              <w:rPr>
                <w:rFonts w:eastAsia="Times New Roman"/>
                <w:bCs/>
                <w:szCs w:val="24"/>
                <w:lang w:eastAsia="ru-RU"/>
              </w:rPr>
            </w:pPr>
            <w:r w:rsidRPr="0052009A">
              <w:rPr>
                <w:rFonts w:eastAsia="Times New Roman"/>
                <w:bCs/>
                <w:szCs w:val="24"/>
                <w:lang w:eastAsia="ru-RU"/>
              </w:rPr>
              <w:t>Ключевой модуль / функция</w:t>
            </w:r>
          </w:p>
        </w:tc>
      </w:tr>
      <w:tr w:rsidR="005129E8" w:rsidRPr="0052009A" w14:paraId="143EAB40" w14:textId="77777777" w:rsidTr="005129E8">
        <w:tc>
          <w:tcPr>
            <w:tcW w:w="3218" w:type="dxa"/>
          </w:tcPr>
          <w:p w14:paraId="5065B25B" w14:textId="5A804329" w:rsidR="005129E8" w:rsidRPr="005129E8" w:rsidRDefault="005129E8" w:rsidP="00F65A99">
            <w:pPr>
              <w:jc w:val="center"/>
              <w:rPr>
                <w:rFonts w:eastAsia="Times New Roman"/>
                <w:bCs/>
                <w:szCs w:val="24"/>
                <w:lang w:val="kk-KZ" w:eastAsia="ru-RU"/>
              </w:rPr>
            </w:pPr>
            <w:r>
              <w:rPr>
                <w:rFonts w:eastAsia="Times New Roman"/>
                <w:bCs/>
                <w:szCs w:val="24"/>
                <w:lang w:val="kk-KZ" w:eastAsia="ru-RU"/>
              </w:rPr>
              <w:t>1</w:t>
            </w:r>
          </w:p>
        </w:tc>
        <w:tc>
          <w:tcPr>
            <w:tcW w:w="3228" w:type="dxa"/>
          </w:tcPr>
          <w:p w14:paraId="687830A3" w14:textId="040DFE70" w:rsidR="005129E8" w:rsidRPr="005129E8" w:rsidRDefault="005129E8" w:rsidP="00F65A99">
            <w:pPr>
              <w:jc w:val="center"/>
              <w:rPr>
                <w:rFonts w:eastAsia="Times New Roman"/>
                <w:bCs/>
                <w:szCs w:val="24"/>
                <w:lang w:val="kk-KZ" w:eastAsia="ru-RU"/>
              </w:rPr>
            </w:pPr>
            <w:r>
              <w:rPr>
                <w:rFonts w:eastAsia="Times New Roman"/>
                <w:bCs/>
                <w:szCs w:val="24"/>
                <w:lang w:val="kk-KZ" w:eastAsia="ru-RU"/>
              </w:rPr>
              <w:t>2</w:t>
            </w:r>
          </w:p>
        </w:tc>
        <w:tc>
          <w:tcPr>
            <w:tcW w:w="2899" w:type="dxa"/>
          </w:tcPr>
          <w:p w14:paraId="65EEC66A" w14:textId="5069D8FF" w:rsidR="005129E8" w:rsidRPr="005129E8" w:rsidRDefault="005129E8" w:rsidP="00F65A99">
            <w:pPr>
              <w:jc w:val="center"/>
              <w:rPr>
                <w:rFonts w:eastAsia="Times New Roman"/>
                <w:bCs/>
                <w:szCs w:val="24"/>
                <w:lang w:val="kk-KZ" w:eastAsia="ru-RU"/>
              </w:rPr>
            </w:pPr>
            <w:r>
              <w:rPr>
                <w:rFonts w:eastAsia="Times New Roman"/>
                <w:bCs/>
                <w:szCs w:val="24"/>
                <w:lang w:val="kk-KZ" w:eastAsia="ru-RU"/>
              </w:rPr>
              <w:t>3</w:t>
            </w:r>
          </w:p>
        </w:tc>
      </w:tr>
      <w:tr w:rsidR="002F33D0" w:rsidRPr="0052009A" w14:paraId="1DF85950" w14:textId="77777777" w:rsidTr="005129E8">
        <w:tc>
          <w:tcPr>
            <w:tcW w:w="3218" w:type="dxa"/>
            <w:hideMark/>
          </w:tcPr>
          <w:p w14:paraId="45BEED07" w14:textId="77777777" w:rsidR="002F33D0" w:rsidRPr="0052009A" w:rsidRDefault="002F33D0" w:rsidP="00F65A99">
            <w:pPr>
              <w:ind w:firstLine="0"/>
              <w:rPr>
                <w:rFonts w:eastAsia="Times New Roman"/>
                <w:szCs w:val="24"/>
                <w:lang w:eastAsia="ru-RU"/>
              </w:rPr>
            </w:pPr>
            <w:r w:rsidRPr="0052009A">
              <w:rPr>
                <w:rFonts w:eastAsia="Times New Roman"/>
                <w:bCs/>
                <w:szCs w:val="24"/>
                <w:lang w:eastAsia="ru-RU"/>
              </w:rPr>
              <w:t>I. Развитие управленческо-инновационных и технологических ресурсов</w:t>
            </w:r>
          </w:p>
        </w:tc>
        <w:tc>
          <w:tcPr>
            <w:tcW w:w="3228" w:type="dxa"/>
            <w:hideMark/>
          </w:tcPr>
          <w:p w14:paraId="48980F7E" w14:textId="77777777" w:rsidR="002F33D0" w:rsidRPr="0052009A" w:rsidRDefault="002F33D0" w:rsidP="00F65A99">
            <w:pPr>
              <w:ind w:firstLine="0"/>
              <w:rPr>
                <w:rFonts w:eastAsia="Times New Roman"/>
                <w:szCs w:val="24"/>
                <w:lang w:eastAsia="ru-RU"/>
              </w:rPr>
            </w:pPr>
            <w:r w:rsidRPr="0052009A">
              <w:rPr>
                <w:rFonts w:eastAsia="Times New Roman"/>
                <w:szCs w:val="24"/>
                <w:lang w:eastAsia="ru-RU"/>
              </w:rPr>
              <w:t>Автоматическая оценка ресурсных показателей, построение тепловых карт и сравнительных профилей предприятий</w:t>
            </w:r>
          </w:p>
        </w:tc>
        <w:tc>
          <w:tcPr>
            <w:tcW w:w="2899" w:type="dxa"/>
            <w:hideMark/>
          </w:tcPr>
          <w:p w14:paraId="0C972879" w14:textId="77777777" w:rsidR="002F33D0" w:rsidRPr="0052009A" w:rsidRDefault="002F33D0" w:rsidP="00F65A99">
            <w:pPr>
              <w:ind w:firstLine="0"/>
              <w:rPr>
                <w:rFonts w:eastAsia="Times New Roman"/>
                <w:szCs w:val="24"/>
                <w:lang w:eastAsia="ru-RU"/>
              </w:rPr>
            </w:pPr>
            <w:r w:rsidRPr="0052009A">
              <w:rPr>
                <w:rFonts w:eastAsia="Times New Roman"/>
                <w:szCs w:val="24"/>
                <w:lang w:eastAsia="ru-RU"/>
              </w:rPr>
              <w:t>Модуль диагностики и визуализации</w:t>
            </w:r>
          </w:p>
        </w:tc>
      </w:tr>
      <w:tr w:rsidR="002F33D0" w:rsidRPr="0052009A" w14:paraId="6681FA06" w14:textId="77777777" w:rsidTr="005129E8">
        <w:tc>
          <w:tcPr>
            <w:tcW w:w="3218" w:type="dxa"/>
            <w:hideMark/>
          </w:tcPr>
          <w:p w14:paraId="5B87241C" w14:textId="77777777" w:rsidR="002F33D0" w:rsidRPr="0052009A" w:rsidRDefault="002F33D0" w:rsidP="00F65A99">
            <w:pPr>
              <w:ind w:firstLine="0"/>
              <w:rPr>
                <w:rFonts w:eastAsia="Times New Roman"/>
                <w:szCs w:val="24"/>
                <w:lang w:eastAsia="ru-RU"/>
              </w:rPr>
            </w:pPr>
            <w:r w:rsidRPr="0052009A">
              <w:rPr>
                <w:rFonts w:eastAsia="Times New Roman"/>
                <w:bCs/>
                <w:szCs w:val="24"/>
                <w:lang w:eastAsia="ru-RU"/>
              </w:rPr>
              <w:t>II. Цифровая адаптация как медиатор инновационного потенциала</w:t>
            </w:r>
          </w:p>
        </w:tc>
        <w:tc>
          <w:tcPr>
            <w:tcW w:w="3228" w:type="dxa"/>
            <w:hideMark/>
          </w:tcPr>
          <w:p w14:paraId="6A811C0A" w14:textId="48ECFF2E" w:rsidR="002F33D0" w:rsidRPr="0052009A" w:rsidRDefault="002F33D0" w:rsidP="0018767C">
            <w:pPr>
              <w:ind w:firstLine="0"/>
              <w:rPr>
                <w:rFonts w:eastAsia="Times New Roman"/>
                <w:szCs w:val="24"/>
                <w:lang w:eastAsia="ru-RU"/>
              </w:rPr>
            </w:pPr>
            <w:r w:rsidRPr="0052009A">
              <w:rPr>
                <w:rFonts w:eastAsia="Times New Roman"/>
                <w:szCs w:val="24"/>
                <w:lang w:eastAsia="ru-RU"/>
              </w:rPr>
              <w:t>Расчёт цифрового индекса и отображение его влияния на общий ИП-индекс; рекомендации по цифровым мерам</w:t>
            </w:r>
          </w:p>
        </w:tc>
        <w:tc>
          <w:tcPr>
            <w:tcW w:w="2899" w:type="dxa"/>
            <w:hideMark/>
          </w:tcPr>
          <w:p w14:paraId="761D8B9D" w14:textId="77777777" w:rsidR="002F33D0" w:rsidRPr="0052009A" w:rsidRDefault="002F33D0" w:rsidP="00F65A99">
            <w:pPr>
              <w:ind w:firstLine="0"/>
              <w:rPr>
                <w:rFonts w:eastAsia="Times New Roman"/>
                <w:szCs w:val="24"/>
                <w:lang w:eastAsia="ru-RU"/>
              </w:rPr>
            </w:pPr>
            <w:r w:rsidRPr="0052009A">
              <w:rPr>
                <w:rFonts w:eastAsia="Times New Roman"/>
                <w:szCs w:val="24"/>
                <w:lang w:eastAsia="ru-RU"/>
              </w:rPr>
              <w:t>Модуль аналитики и цифрового мониторинга</w:t>
            </w:r>
          </w:p>
        </w:tc>
      </w:tr>
      <w:tr w:rsidR="002F33D0" w:rsidRPr="0052009A" w14:paraId="06B4D06E" w14:textId="77777777" w:rsidTr="005129E8">
        <w:tc>
          <w:tcPr>
            <w:tcW w:w="3218" w:type="dxa"/>
            <w:hideMark/>
          </w:tcPr>
          <w:p w14:paraId="236198EA" w14:textId="77777777" w:rsidR="002F33D0" w:rsidRPr="0052009A" w:rsidRDefault="002F33D0" w:rsidP="00F65A99">
            <w:pPr>
              <w:ind w:firstLine="0"/>
              <w:rPr>
                <w:rFonts w:eastAsia="Times New Roman"/>
                <w:szCs w:val="24"/>
                <w:lang w:eastAsia="ru-RU"/>
              </w:rPr>
            </w:pPr>
            <w:r w:rsidRPr="0052009A">
              <w:rPr>
                <w:rFonts w:eastAsia="Times New Roman"/>
                <w:bCs/>
                <w:szCs w:val="24"/>
                <w:lang w:eastAsia="ru-RU"/>
              </w:rPr>
              <w:t>III. Институционализация человеческого капитала и компетенций</w:t>
            </w:r>
          </w:p>
        </w:tc>
        <w:tc>
          <w:tcPr>
            <w:tcW w:w="3228" w:type="dxa"/>
            <w:hideMark/>
          </w:tcPr>
          <w:p w14:paraId="72340F96" w14:textId="77777777" w:rsidR="002F33D0" w:rsidRPr="0052009A" w:rsidRDefault="002F33D0" w:rsidP="00F65A99">
            <w:pPr>
              <w:ind w:firstLine="0"/>
              <w:rPr>
                <w:rFonts w:eastAsia="Times New Roman"/>
                <w:szCs w:val="24"/>
                <w:lang w:eastAsia="ru-RU"/>
              </w:rPr>
            </w:pPr>
            <w:r w:rsidRPr="0052009A">
              <w:rPr>
                <w:rFonts w:eastAsia="Times New Roman"/>
                <w:szCs w:val="24"/>
                <w:lang w:eastAsia="ru-RU"/>
              </w:rPr>
              <w:t>Включение блока оценки компетенций и кадровых практик; формирование HR-рекомендаций по β-коэффициентам</w:t>
            </w:r>
          </w:p>
        </w:tc>
        <w:tc>
          <w:tcPr>
            <w:tcW w:w="2899" w:type="dxa"/>
            <w:hideMark/>
          </w:tcPr>
          <w:p w14:paraId="5246F1BD" w14:textId="77777777" w:rsidR="002F33D0" w:rsidRPr="0052009A" w:rsidRDefault="002F33D0" w:rsidP="00F65A99">
            <w:pPr>
              <w:ind w:firstLine="0"/>
              <w:rPr>
                <w:rFonts w:eastAsia="Times New Roman"/>
                <w:szCs w:val="24"/>
                <w:lang w:eastAsia="ru-RU"/>
              </w:rPr>
            </w:pPr>
            <w:r w:rsidRPr="0052009A">
              <w:rPr>
                <w:rFonts w:eastAsia="Times New Roman"/>
                <w:szCs w:val="24"/>
                <w:lang w:eastAsia="ru-RU"/>
              </w:rPr>
              <w:t>Модуль генерации рекомендаций</w:t>
            </w:r>
          </w:p>
        </w:tc>
      </w:tr>
    </w:tbl>
    <w:p w14:paraId="78E891E8" w14:textId="16EDB3CE" w:rsidR="005129E8" w:rsidRDefault="005129E8"/>
    <w:p w14:paraId="38179F62" w14:textId="294FD036" w:rsidR="005129E8" w:rsidRDefault="005129E8">
      <w:pPr>
        <w:rPr>
          <w:rFonts w:ascii="Times New Roman" w:hAnsi="Times New Roman" w:cs="Times New Roman"/>
          <w:sz w:val="28"/>
          <w:szCs w:val="28"/>
          <w:lang w:val="kk-KZ"/>
        </w:rPr>
      </w:pPr>
      <w:r w:rsidRPr="005129E8">
        <w:rPr>
          <w:rFonts w:ascii="Times New Roman" w:hAnsi="Times New Roman" w:cs="Times New Roman"/>
          <w:sz w:val="28"/>
          <w:szCs w:val="28"/>
          <w:lang w:val="kk-KZ"/>
        </w:rPr>
        <w:lastRenderedPageBreak/>
        <w:t>Продолжение таблицы 37</w:t>
      </w:r>
    </w:p>
    <w:tbl>
      <w:tblPr>
        <w:tblStyle w:val="a5"/>
        <w:tblW w:w="0" w:type="auto"/>
        <w:tblLayout w:type="fixed"/>
        <w:tblLook w:val="04A0" w:firstRow="1" w:lastRow="0" w:firstColumn="1" w:lastColumn="0" w:noHBand="0" w:noVBand="1"/>
      </w:tblPr>
      <w:tblGrid>
        <w:gridCol w:w="3218"/>
        <w:gridCol w:w="3228"/>
        <w:gridCol w:w="2899"/>
      </w:tblGrid>
      <w:tr w:rsidR="005129E8" w:rsidRPr="005129E8" w14:paraId="15DE5551" w14:textId="77777777" w:rsidTr="005129E8">
        <w:tc>
          <w:tcPr>
            <w:tcW w:w="3218" w:type="dxa"/>
          </w:tcPr>
          <w:p w14:paraId="7E2B0DAA" w14:textId="77777777" w:rsidR="005129E8" w:rsidRPr="005129E8" w:rsidRDefault="005129E8" w:rsidP="00604E89">
            <w:pPr>
              <w:jc w:val="center"/>
              <w:rPr>
                <w:rFonts w:eastAsia="Times New Roman"/>
                <w:bCs/>
                <w:szCs w:val="24"/>
                <w:lang w:val="kk-KZ" w:eastAsia="ru-RU"/>
              </w:rPr>
            </w:pPr>
            <w:r>
              <w:rPr>
                <w:rFonts w:eastAsia="Times New Roman"/>
                <w:bCs/>
                <w:szCs w:val="24"/>
                <w:lang w:val="kk-KZ" w:eastAsia="ru-RU"/>
              </w:rPr>
              <w:t>1</w:t>
            </w:r>
          </w:p>
        </w:tc>
        <w:tc>
          <w:tcPr>
            <w:tcW w:w="3228" w:type="dxa"/>
          </w:tcPr>
          <w:p w14:paraId="54B83761" w14:textId="77777777" w:rsidR="005129E8" w:rsidRPr="005129E8" w:rsidRDefault="005129E8" w:rsidP="00604E89">
            <w:pPr>
              <w:jc w:val="center"/>
              <w:rPr>
                <w:rFonts w:eastAsia="Times New Roman"/>
                <w:bCs/>
                <w:szCs w:val="24"/>
                <w:lang w:val="kk-KZ" w:eastAsia="ru-RU"/>
              </w:rPr>
            </w:pPr>
            <w:r>
              <w:rPr>
                <w:rFonts w:eastAsia="Times New Roman"/>
                <w:bCs/>
                <w:szCs w:val="24"/>
                <w:lang w:val="kk-KZ" w:eastAsia="ru-RU"/>
              </w:rPr>
              <w:t>2</w:t>
            </w:r>
          </w:p>
        </w:tc>
        <w:tc>
          <w:tcPr>
            <w:tcW w:w="2899" w:type="dxa"/>
          </w:tcPr>
          <w:p w14:paraId="3A31718F" w14:textId="77777777" w:rsidR="005129E8" w:rsidRPr="005129E8" w:rsidRDefault="005129E8" w:rsidP="00604E89">
            <w:pPr>
              <w:jc w:val="center"/>
              <w:rPr>
                <w:rFonts w:eastAsia="Times New Roman"/>
                <w:bCs/>
                <w:szCs w:val="24"/>
                <w:lang w:val="kk-KZ" w:eastAsia="ru-RU"/>
              </w:rPr>
            </w:pPr>
            <w:r>
              <w:rPr>
                <w:rFonts w:eastAsia="Times New Roman"/>
                <w:bCs/>
                <w:szCs w:val="24"/>
                <w:lang w:val="kk-KZ" w:eastAsia="ru-RU"/>
              </w:rPr>
              <w:t>3</w:t>
            </w:r>
          </w:p>
        </w:tc>
      </w:tr>
      <w:tr w:rsidR="002F33D0" w:rsidRPr="0052009A" w14:paraId="2CC3AF1D" w14:textId="77777777" w:rsidTr="005129E8">
        <w:tc>
          <w:tcPr>
            <w:tcW w:w="3218" w:type="dxa"/>
            <w:hideMark/>
          </w:tcPr>
          <w:p w14:paraId="61ACCD99" w14:textId="77777777" w:rsidR="002F33D0" w:rsidRPr="0052009A" w:rsidRDefault="002F33D0" w:rsidP="00F65A99">
            <w:pPr>
              <w:ind w:firstLine="0"/>
              <w:rPr>
                <w:rFonts w:eastAsia="Times New Roman"/>
                <w:szCs w:val="24"/>
                <w:lang w:eastAsia="ru-RU"/>
              </w:rPr>
            </w:pPr>
            <w:r w:rsidRPr="0052009A">
              <w:rPr>
                <w:rFonts w:eastAsia="Times New Roman"/>
                <w:bCs/>
                <w:szCs w:val="24"/>
                <w:lang w:eastAsia="ru-RU"/>
              </w:rPr>
              <w:t>IV. Снижение институционального неравенства и трансакционных издержек</w:t>
            </w:r>
          </w:p>
        </w:tc>
        <w:tc>
          <w:tcPr>
            <w:tcW w:w="3228" w:type="dxa"/>
            <w:hideMark/>
          </w:tcPr>
          <w:p w14:paraId="3D5844EB" w14:textId="77777777" w:rsidR="002F33D0" w:rsidRPr="0052009A" w:rsidRDefault="002F33D0" w:rsidP="00F65A99">
            <w:pPr>
              <w:ind w:firstLine="0"/>
              <w:rPr>
                <w:rFonts w:eastAsia="Times New Roman"/>
                <w:szCs w:val="24"/>
                <w:lang w:eastAsia="ru-RU"/>
              </w:rPr>
            </w:pPr>
            <w:r w:rsidRPr="0052009A">
              <w:rPr>
                <w:rFonts w:eastAsia="Times New Roman"/>
                <w:szCs w:val="24"/>
                <w:lang w:eastAsia="ru-RU"/>
              </w:rPr>
              <w:t>Упрощённый интерфейс для МСП, автоматическая отчётность, доступ через «единое окно» инновационной поддержки</w:t>
            </w:r>
          </w:p>
        </w:tc>
        <w:tc>
          <w:tcPr>
            <w:tcW w:w="2899" w:type="dxa"/>
            <w:hideMark/>
          </w:tcPr>
          <w:p w14:paraId="7E58B925" w14:textId="77777777" w:rsidR="002F33D0" w:rsidRPr="0052009A" w:rsidRDefault="002F33D0" w:rsidP="00F65A99">
            <w:pPr>
              <w:ind w:firstLine="0"/>
              <w:rPr>
                <w:rFonts w:eastAsia="Times New Roman"/>
                <w:szCs w:val="24"/>
                <w:lang w:eastAsia="ru-RU"/>
              </w:rPr>
            </w:pPr>
            <w:r w:rsidRPr="0052009A">
              <w:rPr>
                <w:rFonts w:eastAsia="Times New Roman"/>
                <w:szCs w:val="24"/>
                <w:lang w:eastAsia="ru-RU"/>
              </w:rPr>
              <w:t>Институциональная интеграция платформы</w:t>
            </w:r>
          </w:p>
        </w:tc>
      </w:tr>
      <w:tr w:rsidR="002F33D0" w:rsidRPr="0052009A" w14:paraId="420E6C43" w14:textId="77777777" w:rsidTr="005129E8">
        <w:tc>
          <w:tcPr>
            <w:tcW w:w="3218" w:type="dxa"/>
            <w:hideMark/>
          </w:tcPr>
          <w:p w14:paraId="6A21A9F3" w14:textId="77777777" w:rsidR="002F33D0" w:rsidRPr="0052009A" w:rsidRDefault="002F33D0" w:rsidP="00F65A99">
            <w:pPr>
              <w:ind w:firstLine="0"/>
              <w:rPr>
                <w:rFonts w:eastAsia="Times New Roman"/>
                <w:szCs w:val="24"/>
                <w:lang w:eastAsia="ru-RU"/>
              </w:rPr>
            </w:pPr>
            <w:r w:rsidRPr="0052009A">
              <w:rPr>
                <w:rFonts w:eastAsia="Times New Roman"/>
                <w:bCs/>
                <w:szCs w:val="24"/>
                <w:lang w:eastAsia="ru-RU"/>
              </w:rPr>
              <w:t>V. Усиление адресности государственной и региональной поддержки</w:t>
            </w:r>
          </w:p>
        </w:tc>
        <w:tc>
          <w:tcPr>
            <w:tcW w:w="3228" w:type="dxa"/>
            <w:hideMark/>
          </w:tcPr>
          <w:p w14:paraId="2881B4E2" w14:textId="77777777" w:rsidR="002F33D0" w:rsidRPr="0052009A" w:rsidRDefault="002F33D0" w:rsidP="00F65A99">
            <w:pPr>
              <w:ind w:firstLine="0"/>
              <w:rPr>
                <w:rFonts w:eastAsia="Times New Roman"/>
                <w:szCs w:val="24"/>
                <w:lang w:eastAsia="ru-RU"/>
              </w:rPr>
            </w:pPr>
            <w:r w:rsidRPr="0052009A">
              <w:rPr>
                <w:rFonts w:eastAsia="Times New Roman"/>
                <w:szCs w:val="24"/>
                <w:lang w:eastAsia="ru-RU"/>
              </w:rPr>
              <w:t>Передача агрегированных данных о результатах диагностики в госпрограммы (QazInnovations, DAMU, Astana Hub)</w:t>
            </w:r>
          </w:p>
        </w:tc>
        <w:tc>
          <w:tcPr>
            <w:tcW w:w="2899" w:type="dxa"/>
            <w:hideMark/>
          </w:tcPr>
          <w:p w14:paraId="13050145" w14:textId="0C3CEB8A" w:rsidR="002F33D0" w:rsidRPr="0052009A" w:rsidRDefault="002F33D0" w:rsidP="00F65A99">
            <w:pPr>
              <w:ind w:firstLine="0"/>
              <w:rPr>
                <w:rFonts w:eastAsia="Times New Roman"/>
                <w:szCs w:val="24"/>
                <w:lang w:eastAsia="ru-RU"/>
              </w:rPr>
            </w:pPr>
            <w:r w:rsidRPr="0052009A">
              <w:rPr>
                <w:rFonts w:eastAsia="Times New Roman"/>
                <w:szCs w:val="24"/>
                <w:lang w:eastAsia="ru-RU"/>
              </w:rPr>
              <w:t xml:space="preserve">Модуль передачи данных и </w:t>
            </w:r>
            <w:r w:rsidR="00F65A99" w:rsidRPr="00F65A99">
              <w:rPr>
                <w:rFonts w:eastAsia="Times New Roman"/>
                <w:szCs w:val="24"/>
                <w:lang w:eastAsia="ru-RU"/>
              </w:rPr>
              <w:t>интеграции с внешней инфраструктурой</w:t>
            </w:r>
          </w:p>
        </w:tc>
      </w:tr>
      <w:tr w:rsidR="0012594C" w:rsidRPr="0052009A" w14:paraId="3BBC764C" w14:textId="77777777" w:rsidTr="005129E8">
        <w:tc>
          <w:tcPr>
            <w:tcW w:w="9345" w:type="dxa"/>
            <w:gridSpan w:val="3"/>
          </w:tcPr>
          <w:p w14:paraId="3638CA7A" w14:textId="638982D2" w:rsidR="0012594C" w:rsidRPr="0012594C" w:rsidRDefault="0012594C" w:rsidP="000F3C80">
            <w:pPr>
              <w:ind w:firstLine="455"/>
              <w:rPr>
                <w:rFonts w:eastAsia="Times New Roman"/>
                <w:szCs w:val="24"/>
                <w:lang w:val="kk-KZ" w:eastAsia="ru-RU"/>
              </w:rPr>
            </w:pPr>
            <w:r>
              <w:rPr>
                <w:rFonts w:eastAsia="Times New Roman"/>
                <w:szCs w:val="24"/>
                <w:lang w:val="kk-KZ" w:eastAsia="ru-RU"/>
              </w:rPr>
              <w:t xml:space="preserve">Примечание – </w:t>
            </w:r>
            <w:r w:rsidR="000F3C80">
              <w:rPr>
                <w:rFonts w:eastAsia="Times New Roman"/>
                <w:szCs w:val="24"/>
                <w:lang w:val="kk-KZ" w:eastAsia="ru-RU"/>
              </w:rPr>
              <w:t>С</w:t>
            </w:r>
            <w:r>
              <w:rPr>
                <w:rFonts w:eastAsia="Times New Roman"/>
                <w:szCs w:val="24"/>
                <w:lang w:val="kk-KZ" w:eastAsia="ru-RU"/>
              </w:rPr>
              <w:t>оставлено автором</w:t>
            </w:r>
          </w:p>
        </w:tc>
      </w:tr>
    </w:tbl>
    <w:p w14:paraId="3E5C2905" w14:textId="77777777" w:rsidR="002F33D0" w:rsidRPr="002F33D0" w:rsidRDefault="002F33D0" w:rsidP="002F33D0">
      <w:pPr>
        <w:tabs>
          <w:tab w:val="left" w:pos="851"/>
        </w:tabs>
        <w:spacing w:after="0" w:line="240" w:lineRule="auto"/>
        <w:jc w:val="both"/>
        <w:rPr>
          <w:rFonts w:ascii="Times New Roman" w:hAnsi="Times New Roman" w:cs="Times New Roman"/>
          <w:sz w:val="28"/>
          <w:szCs w:val="28"/>
        </w:rPr>
      </w:pPr>
    </w:p>
    <w:p w14:paraId="660DF9CF" w14:textId="1C878091" w:rsidR="0012594C" w:rsidRDefault="002F33D0" w:rsidP="0012594C">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Визуальное представление архитектуры платформы отражено на рисунке</w:t>
      </w:r>
      <w:r w:rsidR="0012594C">
        <w:rPr>
          <w:rFonts w:ascii="Times New Roman" w:hAnsi="Times New Roman" w:cs="Times New Roman"/>
          <w:sz w:val="28"/>
          <w:szCs w:val="28"/>
          <w:lang w:val="kk-KZ"/>
        </w:rPr>
        <w:t xml:space="preserve"> 1</w:t>
      </w:r>
      <w:r w:rsidR="005129E8">
        <w:rPr>
          <w:rFonts w:ascii="Times New Roman" w:hAnsi="Times New Roman" w:cs="Times New Roman"/>
          <w:sz w:val="28"/>
          <w:szCs w:val="28"/>
          <w:lang w:val="kk-KZ"/>
        </w:rPr>
        <w:t>5</w:t>
      </w:r>
      <w:r w:rsidRPr="002F33D0">
        <w:rPr>
          <w:rFonts w:ascii="Times New Roman" w:hAnsi="Times New Roman" w:cs="Times New Roman"/>
          <w:sz w:val="28"/>
          <w:szCs w:val="28"/>
        </w:rPr>
        <w:t>, где каждый из модулей связан с другими через систему двусторонних связей, демонстрируя принцип обратной связи и н</w:t>
      </w:r>
      <w:r w:rsidR="0012594C">
        <w:rPr>
          <w:rFonts w:ascii="Times New Roman" w:hAnsi="Times New Roman" w:cs="Times New Roman"/>
          <w:sz w:val="28"/>
          <w:szCs w:val="28"/>
        </w:rPr>
        <w:t xml:space="preserve">епрерывного обновления данных. </w:t>
      </w:r>
    </w:p>
    <w:p w14:paraId="0597BC37" w14:textId="7AE11CB3" w:rsidR="0012594C" w:rsidRPr="002F33D0" w:rsidRDefault="0012594C" w:rsidP="0012594C">
      <w:pPr>
        <w:tabs>
          <w:tab w:val="left" w:pos="851"/>
        </w:tabs>
        <w:spacing w:after="0" w:line="240" w:lineRule="auto"/>
        <w:ind w:firstLine="567"/>
        <w:jc w:val="both"/>
        <w:rPr>
          <w:rFonts w:ascii="Times New Roman" w:hAnsi="Times New Roman" w:cs="Times New Roman"/>
          <w:sz w:val="28"/>
          <w:szCs w:val="28"/>
        </w:rPr>
      </w:pPr>
    </w:p>
    <w:p w14:paraId="3A34C480" w14:textId="77777777" w:rsidR="002F33D0" w:rsidRPr="002F33D0" w:rsidRDefault="002F33D0" w:rsidP="002F33D0">
      <w:pPr>
        <w:tabs>
          <w:tab w:val="left" w:pos="851"/>
        </w:tabs>
        <w:spacing w:after="0" w:line="240" w:lineRule="auto"/>
        <w:jc w:val="both"/>
        <w:rPr>
          <w:rFonts w:ascii="Times New Roman" w:hAnsi="Times New Roman" w:cs="Times New Roman"/>
          <w:sz w:val="28"/>
          <w:szCs w:val="28"/>
        </w:rPr>
      </w:pPr>
      <w:r w:rsidRPr="002F33D0">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3E5629A2" wp14:editId="7534C2DC">
                <wp:simplePos x="0" y="0"/>
                <wp:positionH relativeFrom="column">
                  <wp:posOffset>2940262</wp:posOffset>
                </wp:positionH>
                <wp:positionV relativeFrom="paragraph">
                  <wp:posOffset>3067685</wp:posOffset>
                </wp:positionV>
                <wp:extent cx="101600" cy="270933"/>
                <wp:effectExtent l="19050" t="19050" r="12700" b="34290"/>
                <wp:wrapNone/>
                <wp:docPr id="161" name="Двойная стрелка вверх/вниз 161"/>
                <wp:cNvGraphicFramePr/>
                <a:graphic xmlns:a="http://schemas.openxmlformats.org/drawingml/2006/main">
                  <a:graphicData uri="http://schemas.microsoft.com/office/word/2010/wordprocessingShape">
                    <wps:wsp>
                      <wps:cNvSpPr/>
                      <wps:spPr>
                        <a:xfrm>
                          <a:off x="0" y="0"/>
                          <a:ext cx="101600" cy="270933"/>
                        </a:xfrm>
                        <a:prstGeom prst="up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2A6D3D" id="Двойная стрелка вверх/вниз 161" o:spid="_x0000_s1026" type="#_x0000_t70" style="position:absolute;margin-left:231.5pt;margin-top:241.55pt;width:8pt;height:21.3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IhL0gIAAOAFAAAOAAAAZHJzL2Uyb0RvYy54bWysVM1u2zAMvg/YOwi6r3bSvzWoUwQtMgwo&#10;2mLt0LMiy4kBWdQkJU526gbsvMsepChQ7A/dMzhvNEp23KwrdiiWg0KZ5EfyE8n9g3khyUwYm4NK&#10;aGcjpkQoDmmuxgl9ezF88ZIS65hKmQQlEroQlh70nz/bL3VPdGECMhWGIIiyvVIndOKc7kWR5RNR&#10;MLsBWihUZmAK5vBqxlFqWInohYy6cbwTlWBSbYALa/HrUa2k/YCfZYK70yyzwhGZUMzNhdOEc+TP&#10;qL/PemPD9CTnTRrsCVkULFcYtIU6Yo6Rqcn/gipybsBC5jY4FBFkWc5FqAGr6cQPqjmfMC1CLUiO&#10;1S1N9v/B8pPZmSF5im+306FEsQIfqfpS3VS/qu/VXXW9/EyWH5Yfl1fVbfWz+lFdE9TdVLfLq+Wn&#10;CIW76lv1lXhnpLLUtoeI5/rMNDeLoudlnpnC/2PFZB7oX7T0i7kjHD924s5OjI/EUdXdjfc2Nz1m&#10;dO+sjXWvBBTECwmd6iMo1cAYKAP3bHZsXe2xsvQhLcg8HeZShosZjw6lITOGDTEcxvhrgvxhJtXT&#10;PDFZ7xp5IurSg+QWUnhAqd6IDNnGYrsh5dDnok2IcS6U69SqCUtFnef2epp+MrxHYCYAeuQM62ux&#10;G4CVZQ2ywq4Jauy9qwhj0jrH/0qsdm49QmRQrnUucgXmMQCJVTWRa/sVSTU1nqURpAvsRQP1kFrN&#10;hzm+8zGz7owZnEpsDdw07hSPTEKZUGgkSiZg3j/23dvjsKCWkhKnPKH23ZQZQYl8rXCM9jpbW34t&#10;hMvW9m4XL2ZdM1rXqGlxCNg3OCiYXRC9vZMrMTNQXOJCGvioqGKKY+yEcmdWl0NXbx9caVwMBsEM&#10;V4Fm7lida+7BPau+gS/ml8zoptkdTskJrDYC6z1o9trWeyoYTB1keZiEe14bvnGNhMZpVp7fU+v3&#10;YHW/mPu/AQAA//8DAFBLAwQUAAYACAAAACEAC9pTQuAAAAALAQAADwAAAGRycy9kb3ducmV2Lnht&#10;bEyPzU7DMBCE70i8g7VI3KiT/oQ0xKkQUg89AYUDx21skoh4ndhOG96e5QS33Z3R7Dflbra9OBsf&#10;OkcK0kUCwlDtdEeNgve3/V0OIkQkjb0jo+DbBNhV11clFtpd6NWcj7ERHEKhQAVtjEMhZahbYzEs&#10;3GCItU/nLUZefSO1xwuH214ukySTFjviDy0O5qk19ddxsgoOH/E54DDuxxdMt/IQMz9Mo1K3N/Pj&#10;A4ho5vhnhl98RoeKmU5uIh1Er2CdrbhL5CFfpSDYsb7f8uWkYLPc5CCrUv7vUP0AAAD//wMAUEsB&#10;Ai0AFAAGAAgAAAAhALaDOJL+AAAA4QEAABMAAAAAAAAAAAAAAAAAAAAAAFtDb250ZW50X1R5cGVz&#10;XS54bWxQSwECLQAUAAYACAAAACEAOP0h/9YAAACUAQAACwAAAAAAAAAAAAAAAAAvAQAAX3JlbHMv&#10;LnJlbHNQSwECLQAUAAYACAAAACEAu1yIS9ICAADgBQAADgAAAAAAAAAAAAAAAAAuAgAAZHJzL2Uy&#10;b0RvYy54bWxQSwECLQAUAAYACAAAACEAC9pTQuAAAAALAQAADwAAAAAAAAAAAAAAAAAsBQAAZHJz&#10;L2Rvd25yZXYueG1sUEsFBgAAAAAEAAQA8wAAADkGAAAAAA==&#10;" adj=",4050" fillcolor="red" strokecolor="red" strokeweight="1pt"/>
            </w:pict>
          </mc:Fallback>
        </mc:AlternateContent>
      </w:r>
      <w:r w:rsidRPr="002F33D0">
        <w:rPr>
          <w:rFonts w:ascii="Times New Roman" w:hAnsi="Times New Roman" w:cs="Times New Roman"/>
          <w:noProof/>
          <w:sz w:val="28"/>
          <w:szCs w:val="28"/>
          <w:lang w:eastAsia="ru-RU"/>
        </w:rPr>
        <w:drawing>
          <wp:inline distT="0" distB="0" distL="0" distR="0" wp14:anchorId="212C5382" wp14:editId="04246B03">
            <wp:extent cx="5943600" cy="3200400"/>
            <wp:effectExtent l="19050" t="0" r="19050" b="19050"/>
            <wp:docPr id="157" name="Схема 1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15633BAB" w14:textId="77777777" w:rsidR="002F33D0" w:rsidRPr="002F33D0" w:rsidRDefault="002F33D0" w:rsidP="002F33D0">
      <w:pPr>
        <w:tabs>
          <w:tab w:val="left" w:pos="851"/>
        </w:tabs>
        <w:spacing w:after="0" w:line="240" w:lineRule="auto"/>
        <w:jc w:val="both"/>
        <w:rPr>
          <w:rFonts w:ascii="Times New Roman" w:hAnsi="Times New Roman" w:cs="Times New Roman"/>
          <w:sz w:val="28"/>
          <w:szCs w:val="28"/>
        </w:rPr>
      </w:pPr>
      <w:r w:rsidRPr="002F33D0">
        <w:rPr>
          <w:rFonts w:ascii="Times New Roman" w:hAnsi="Times New Roman" w:cs="Times New Roman"/>
          <w:noProof/>
          <w:sz w:val="28"/>
          <w:szCs w:val="28"/>
          <w:lang w:eastAsia="ru-RU"/>
        </w:rPr>
        <mc:AlternateContent>
          <mc:Choice Requires="wpg">
            <w:drawing>
              <wp:anchor distT="0" distB="0" distL="114300" distR="114300" simplePos="0" relativeHeight="251663360" behindDoc="0" locked="0" layoutInCell="1" allowOverlap="1" wp14:anchorId="6FA6A1B7" wp14:editId="0429F396">
                <wp:simplePos x="0" y="0"/>
                <wp:positionH relativeFrom="column">
                  <wp:posOffset>20532</wp:posOffset>
                </wp:positionH>
                <wp:positionV relativeFrom="paragraph">
                  <wp:posOffset>170180</wp:posOffset>
                </wp:positionV>
                <wp:extent cx="5943600" cy="592666"/>
                <wp:effectExtent l="0" t="0" r="19050" b="17145"/>
                <wp:wrapNone/>
                <wp:docPr id="160" name="Группа 160"/>
                <wp:cNvGraphicFramePr/>
                <a:graphic xmlns:a="http://schemas.openxmlformats.org/drawingml/2006/main">
                  <a:graphicData uri="http://schemas.microsoft.com/office/word/2010/wordprocessingGroup">
                    <wpg:wgp>
                      <wpg:cNvGrpSpPr/>
                      <wpg:grpSpPr>
                        <a:xfrm>
                          <a:off x="0" y="0"/>
                          <a:ext cx="5943600" cy="592666"/>
                          <a:chOff x="0" y="0"/>
                          <a:chExt cx="5943600" cy="592666"/>
                        </a:xfrm>
                      </wpg:grpSpPr>
                      <wps:wsp>
                        <wps:cNvPr id="158" name="Надпись 158"/>
                        <wps:cNvSpPr txBox="1"/>
                        <wps:spPr>
                          <a:xfrm>
                            <a:off x="0" y="0"/>
                            <a:ext cx="5943600" cy="296333"/>
                          </a:xfrm>
                          <a:prstGeom prst="roundRect">
                            <a:avLst/>
                          </a:prstGeom>
                          <a:solidFill>
                            <a:srgbClr val="FF0000">
                              <a:alpha val="64000"/>
                            </a:srgbClr>
                          </a:solidFill>
                          <a:ln w="6350">
                            <a:solidFill>
                              <a:prstClr val="black"/>
                            </a:solidFill>
                          </a:ln>
                        </wps:spPr>
                        <wps:txbx>
                          <w:txbxContent>
                            <w:p w14:paraId="5A1F240F" w14:textId="77777777" w:rsidR="001D4931" w:rsidRPr="0052009A" w:rsidRDefault="001D4931" w:rsidP="0052009A">
                              <w:pPr>
                                <w:spacing w:after="0" w:line="240" w:lineRule="auto"/>
                                <w:ind w:left="720"/>
                                <w:jc w:val="center"/>
                                <w:rPr>
                                  <w:rFonts w:ascii="Times New Roman" w:hAnsi="Times New Roman" w:cs="Times New Roman"/>
                                </w:rPr>
                              </w:pPr>
                              <w:r w:rsidRPr="0052009A">
                                <w:rPr>
                                  <w:rFonts w:ascii="Times New Roman" w:hAnsi="Times New Roman" w:cs="Times New Roman"/>
                                  <w:lang w:val="kk-KZ"/>
                                </w:rPr>
                                <w:t>Институциональная интеграция</w:t>
                              </w:r>
                            </w:p>
                            <w:p w14:paraId="77B7433D" w14:textId="77777777" w:rsidR="001D4931" w:rsidRPr="0052009A" w:rsidRDefault="001D4931" w:rsidP="0052009A">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9" name="Надпись 159"/>
                        <wps:cNvSpPr txBox="1"/>
                        <wps:spPr>
                          <a:xfrm>
                            <a:off x="0" y="296333"/>
                            <a:ext cx="5943600" cy="296333"/>
                          </a:xfrm>
                          <a:prstGeom prst="roundRect">
                            <a:avLst/>
                          </a:prstGeom>
                          <a:solidFill>
                            <a:schemeClr val="bg1">
                              <a:alpha val="17000"/>
                            </a:schemeClr>
                          </a:solidFill>
                          <a:ln w="12700">
                            <a:solidFill>
                              <a:srgbClr val="FF0000"/>
                            </a:solidFill>
                          </a:ln>
                        </wps:spPr>
                        <wps:txbx>
                          <w:txbxContent>
                            <w:p w14:paraId="4C9B7BA9" w14:textId="77777777" w:rsidR="001D4931" w:rsidRPr="0052009A" w:rsidRDefault="001D4931" w:rsidP="0052009A">
                              <w:pPr>
                                <w:spacing w:after="0" w:line="240" w:lineRule="auto"/>
                                <w:ind w:left="720"/>
                                <w:jc w:val="center"/>
                                <w:rPr>
                                  <w:rFonts w:ascii="Times New Roman" w:hAnsi="Times New Roman" w:cs="Times New Roman"/>
                                  <w:lang w:val="kk-KZ"/>
                                </w:rPr>
                              </w:pPr>
                              <w:r w:rsidRPr="0052009A">
                                <w:rPr>
                                  <w:rFonts w:ascii="Times New Roman" w:hAnsi="Times New Roman" w:cs="Times New Roman"/>
                                  <w:lang w:val="kk-KZ"/>
                                </w:rPr>
                                <w:t xml:space="preserve">НПП «Атамекен», </w:t>
                              </w:r>
                              <w:r w:rsidRPr="0052009A">
                                <w:rPr>
                                  <w:rFonts w:ascii="Times New Roman" w:hAnsi="Times New Roman" w:cs="Times New Roman"/>
                                  <w:lang w:val="en-US"/>
                                </w:rPr>
                                <w:t xml:space="preserve">QazInnovations, DAMU, Astana Hub, </w:t>
                              </w:r>
                              <w:r w:rsidRPr="0052009A">
                                <w:rPr>
                                  <w:rFonts w:ascii="Times New Roman" w:hAnsi="Times New Roman" w:cs="Times New Roman"/>
                                  <w:lang w:val="kk-KZ"/>
                                </w:rPr>
                                <w:t xml:space="preserve">университеты, НИИ. </w:t>
                              </w:r>
                            </w:p>
                            <w:p w14:paraId="03E3F005" w14:textId="77777777" w:rsidR="001D4931" w:rsidRPr="0052009A" w:rsidRDefault="001D4931" w:rsidP="0052009A">
                              <w:pPr>
                                <w:spacing w:after="0" w:line="240" w:lineRule="auto"/>
                                <w:rPr>
                                  <w:rFonts w:ascii="Times New Roman" w:hAnsi="Times New Roman" w:cs="Times New Roman"/>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FA6A1B7" id="Группа 160" o:spid="_x0000_s1209" style="position:absolute;left:0;text-align:left;margin-left:1.6pt;margin-top:13.4pt;width:468pt;height:46.65pt;z-index:251663360;mso-position-horizontal-relative:text;mso-position-vertical-relative:text" coordsize="59436,5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wRKwMAAGUJAAAOAAAAZHJzL2Uyb0RvYy54bWzsVs1u1DAQviPxDlbuNJv9SbtRs9VS2Aqp&#10;aita1LPXcX5EYhvbu9lyAnHlxpl36IEDN15h940YO8lmtz8ICuqJVsraM+MZzzfzTbJ/sChyNKdS&#10;ZZyFjrfTcRBlhEcZS0LnzcXk2Z6DlMYswjlnNHSuqHIORk+f7JcioF2e8jyiEoETpoJShE6qtQhc&#10;V5GUFljtcEEZKGMuC6xhKxM3krgE70Xudjsd3y25jITkhCoF0heV0hlZ/3FMiT6NY0U1ykMH7qbt&#10;U9rn1Dzd0T4OEolFmpH6GvgBtyhwxiDo2tULrDGayeyWqyIjkise6x3CC5fHcUaozQGy8To3sjmS&#10;fCZsLklQJmINE0B7A6cHuyUn8zOJsghq5wM+DBdQpOWX1YfVp+UP+L9GRg4olSIJwPhIinNxJmtB&#10;Uu1M4otYFuYXUkILi+/VGl+60IiAcDDs9/wOhCGgGwy7vu9XBSApVOnWMZK+/PVBtwnrmtutL1MK&#10;6CXVwqX+Dq7zFAtqq6AMAg1cA+jsGq6vy+vlNwDr++rj6jPyQGPxseYGLaQXzznk7zVyBcIHgdYd&#10;+r1ez7hZ544DIZU+orxAZhE60DQseg2dbxsSz4+VruwbOxNZ8TyLJlme241Mpoe5RHMMLJlMOvBX&#10;nc1Fiiup3zfCyo+qzO0dtvzkDJWh4/cG1fEtnQm+jjHNMXnbeGtvAjnlDNyaAlYQmZVeTBe2Q/ds&#10;txjRlEdXAKvkFZ+VIJMM/B9jpc+wBAJDj8FQ0qfwiHMOl+L1ykEpl+/vkht7aBTQOqiEgRA66t0M&#10;S+qg/BWDFhp6/b6ZIHbTH+x2YSM3NdNNDZsVhxzQ9GD8CWKXxl7nzTKWvLiE2TU2UUGFGYHYoaOb&#10;5aGuxhTMPkLHY2sEM0NgfczOBTGuTe0MrheLSyxFXX4NbDvhTdPi4EYDVLbmJOPjmeZxZrujRbXG&#10;HwhkSP8oTBrey6Rhwxgg3p8zqWULDu6cQa3BP6WTeXnRttmTqlK4ZZO3u8Gmxvo+PnldsLa13iJU&#10;zcIt0tb8/H1G7Tb4/mfU4zDKvqngXW6LXX93mI+Fzb1lYPt1NPoJAAD//wMAUEsDBBQABgAIAAAA&#10;IQAPT+fJ3gAAAAgBAAAPAAAAZHJzL2Rvd25yZXYueG1sTI9PS8NAEMXvgt9hGcGb3fzBYmM2pRT1&#10;VARbQbxNk2kSmp0N2W2SfnvHkx7nvR9v3svXs+3USINvHRuIFxEo4tJVLdcGPg+vD0+gfECusHNM&#10;Bq7kYV3c3uSYVW7iDxr3oVYSwj5DA00Ifaa1Lxuy6BeuJxbv5AaLQc6h1tWAk4TbTidRtNQWW5YP&#10;Dfa0bag87y/WwNuE0yaNX8bd+bS9fh8e3792MRlzfzdvnkEFmsMfDL/1pToU0unoLlx51RlIEwEN&#10;JEsZIPYqXYlwFC6JYtBFrv8PKH4AAAD//wMAUEsBAi0AFAAGAAgAAAAhALaDOJL+AAAA4QEAABMA&#10;AAAAAAAAAAAAAAAAAAAAAFtDb250ZW50X1R5cGVzXS54bWxQSwECLQAUAAYACAAAACEAOP0h/9YA&#10;AACUAQAACwAAAAAAAAAAAAAAAAAvAQAAX3JlbHMvLnJlbHNQSwECLQAUAAYACAAAACEAbiZ8ESsD&#10;AABlCQAADgAAAAAAAAAAAAAAAAAuAgAAZHJzL2Uyb0RvYy54bWxQSwECLQAUAAYACAAAACEAD0/n&#10;yd4AAAAIAQAADwAAAAAAAAAAAAAAAACFBQAAZHJzL2Rvd25yZXYueG1sUEsFBgAAAAAEAAQA8wAA&#10;AJAGAAAAAA==&#10;">
                <v:roundrect id="Надпись 158" o:spid="_x0000_s1210" style="position:absolute;width:59436;height:296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aexgAAANwAAAAPAAAAZHJzL2Rvd25yZXYueG1sRI9PT8JA&#10;EMXvJn6HzZhwMbAtf01lIQoavBEK8Tx2x7axO9t0F6jf3jmQeJvJe/Peb5br3jXqQl2oPRtIRwko&#10;4sLbmksDp+P78AlUiMgWG89k4JcCrFf3d0vMrL/ygS55LJWEcMjQQBVjm2kdioochpFviUX79p3D&#10;KGtXatvhVcJdo8dJMtcOa5aGClvaVFT85GdnYHee1vnX/jBNP1/Hs8njgt+26c6YwUP/8gwqUh//&#10;zbfrDyv4M6GVZ2QCvfoDAAD//wMAUEsBAi0AFAAGAAgAAAAhANvh9svuAAAAhQEAABMAAAAAAAAA&#10;AAAAAAAAAAAAAFtDb250ZW50X1R5cGVzXS54bWxQSwECLQAUAAYACAAAACEAWvQsW78AAAAVAQAA&#10;CwAAAAAAAAAAAAAAAAAfAQAAX3JlbHMvLnJlbHNQSwECLQAUAAYACAAAACEAvwZWnsYAAADcAAAA&#10;DwAAAAAAAAAAAAAAAAAHAgAAZHJzL2Rvd25yZXYueG1sUEsFBgAAAAADAAMAtwAAAPoCAAAAAA==&#10;" fillcolor="red" strokeweight=".5pt">
                  <v:fill opacity="41891f"/>
                  <v:textbox>
                    <w:txbxContent>
                      <w:p w14:paraId="5A1F240F" w14:textId="77777777" w:rsidR="001D4931" w:rsidRPr="0052009A" w:rsidRDefault="001D4931" w:rsidP="0052009A">
                        <w:pPr>
                          <w:spacing w:after="0" w:line="240" w:lineRule="auto"/>
                          <w:ind w:left="720"/>
                          <w:jc w:val="center"/>
                          <w:rPr>
                            <w:rFonts w:ascii="Times New Roman" w:hAnsi="Times New Roman" w:cs="Times New Roman"/>
                          </w:rPr>
                        </w:pPr>
                        <w:r w:rsidRPr="0052009A">
                          <w:rPr>
                            <w:rFonts w:ascii="Times New Roman" w:hAnsi="Times New Roman" w:cs="Times New Roman"/>
                            <w:lang w:val="kk-KZ"/>
                          </w:rPr>
                          <w:t>Институциональная интеграция</w:t>
                        </w:r>
                      </w:p>
                      <w:p w14:paraId="77B7433D" w14:textId="77777777" w:rsidR="001D4931" w:rsidRPr="0052009A" w:rsidRDefault="001D4931" w:rsidP="0052009A">
                        <w:pPr>
                          <w:spacing w:after="0" w:line="240" w:lineRule="auto"/>
                          <w:rPr>
                            <w:rFonts w:ascii="Times New Roman" w:hAnsi="Times New Roman" w:cs="Times New Roman"/>
                          </w:rPr>
                        </w:pPr>
                      </w:p>
                    </w:txbxContent>
                  </v:textbox>
                </v:roundrect>
                <v:roundrect id="Надпись 159" o:spid="_x0000_s1211" style="position:absolute;top:2963;width:59436;height:296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krCwQAAANwAAAAPAAAAZHJzL2Rvd25yZXYueG1sRE/fa8Iw&#10;EH4X9j+EG+zNpnM6tDOWIgi+iXVjr0dzS8uaS5dkWv97Mxj4dh/fz1uXo+3FmXzoHCt4znIQxI3T&#10;HRsF76fddAkiRGSNvWNScKUA5eZhssZCuwsf6VxHI1IIhwIVtDEOhZShacliyNxAnLgv5y3GBL2R&#10;2uMlhdtezvL8VVrsODW0ONC2pea7/rUKjrvqYz57wa02P7XB6B0fPudKPT2O1RuISGO8i//de53m&#10;L1bw90y6QG5uAAAA//8DAFBLAQItABQABgAIAAAAIQDb4fbL7gAAAIUBAAATAAAAAAAAAAAAAAAA&#10;AAAAAABbQ29udGVudF9UeXBlc10ueG1sUEsBAi0AFAAGAAgAAAAhAFr0LFu/AAAAFQEAAAsAAAAA&#10;AAAAAAAAAAAAHwEAAF9yZWxzLy5yZWxzUEsBAi0AFAAGAAgAAAAhAD1OSsLBAAAA3AAAAA8AAAAA&#10;AAAAAAAAAAAABwIAAGRycy9kb3ducmV2LnhtbFBLBQYAAAAAAwADALcAAAD1AgAAAAA=&#10;" fillcolor="white [3212]" strokecolor="red" strokeweight="1pt">
                  <v:fill opacity="11051f"/>
                  <v:textbox>
                    <w:txbxContent>
                      <w:p w14:paraId="4C9B7BA9" w14:textId="77777777" w:rsidR="001D4931" w:rsidRPr="0052009A" w:rsidRDefault="001D4931" w:rsidP="0052009A">
                        <w:pPr>
                          <w:spacing w:after="0" w:line="240" w:lineRule="auto"/>
                          <w:ind w:left="720"/>
                          <w:jc w:val="center"/>
                          <w:rPr>
                            <w:rFonts w:ascii="Times New Roman" w:hAnsi="Times New Roman" w:cs="Times New Roman"/>
                            <w:lang w:val="kk-KZ"/>
                          </w:rPr>
                        </w:pPr>
                        <w:r w:rsidRPr="0052009A">
                          <w:rPr>
                            <w:rFonts w:ascii="Times New Roman" w:hAnsi="Times New Roman" w:cs="Times New Roman"/>
                            <w:lang w:val="kk-KZ"/>
                          </w:rPr>
                          <w:t xml:space="preserve">НПП «Атамекен», </w:t>
                        </w:r>
                        <w:r w:rsidRPr="0052009A">
                          <w:rPr>
                            <w:rFonts w:ascii="Times New Roman" w:hAnsi="Times New Roman" w:cs="Times New Roman"/>
                            <w:lang w:val="en-US"/>
                          </w:rPr>
                          <w:t xml:space="preserve">QazInnovations, DAMU, Astana Hub, </w:t>
                        </w:r>
                        <w:r w:rsidRPr="0052009A">
                          <w:rPr>
                            <w:rFonts w:ascii="Times New Roman" w:hAnsi="Times New Roman" w:cs="Times New Roman"/>
                            <w:lang w:val="kk-KZ"/>
                          </w:rPr>
                          <w:t xml:space="preserve">университеты, НИИ. </w:t>
                        </w:r>
                      </w:p>
                      <w:p w14:paraId="03E3F005" w14:textId="77777777" w:rsidR="001D4931" w:rsidRPr="0052009A" w:rsidRDefault="001D4931" w:rsidP="0052009A">
                        <w:pPr>
                          <w:spacing w:after="0" w:line="240" w:lineRule="auto"/>
                          <w:rPr>
                            <w:rFonts w:ascii="Times New Roman" w:hAnsi="Times New Roman" w:cs="Times New Roman"/>
                            <w:lang w:val="en-US"/>
                          </w:rPr>
                        </w:pPr>
                      </w:p>
                    </w:txbxContent>
                  </v:textbox>
                </v:roundrect>
              </v:group>
            </w:pict>
          </mc:Fallback>
        </mc:AlternateContent>
      </w:r>
    </w:p>
    <w:p w14:paraId="1AF4C872" w14:textId="77777777" w:rsidR="002F33D0" w:rsidRPr="002F33D0" w:rsidRDefault="002F33D0" w:rsidP="002F33D0">
      <w:pPr>
        <w:tabs>
          <w:tab w:val="left" w:pos="851"/>
        </w:tabs>
        <w:spacing w:after="0" w:line="240" w:lineRule="auto"/>
        <w:jc w:val="both"/>
        <w:rPr>
          <w:rFonts w:ascii="Times New Roman" w:hAnsi="Times New Roman" w:cs="Times New Roman"/>
          <w:sz w:val="28"/>
          <w:szCs w:val="28"/>
        </w:rPr>
      </w:pPr>
    </w:p>
    <w:p w14:paraId="3BBA6F2B" w14:textId="77777777" w:rsidR="002F33D0" w:rsidRPr="002F33D0" w:rsidRDefault="002F33D0" w:rsidP="002F33D0">
      <w:pPr>
        <w:tabs>
          <w:tab w:val="left" w:pos="851"/>
        </w:tabs>
        <w:spacing w:after="0" w:line="240" w:lineRule="auto"/>
        <w:jc w:val="both"/>
        <w:rPr>
          <w:rFonts w:ascii="Times New Roman" w:hAnsi="Times New Roman" w:cs="Times New Roman"/>
          <w:sz w:val="28"/>
          <w:szCs w:val="28"/>
        </w:rPr>
      </w:pPr>
    </w:p>
    <w:p w14:paraId="7A478F79" w14:textId="77777777" w:rsidR="002F33D0" w:rsidRPr="002F33D0" w:rsidRDefault="002F33D0" w:rsidP="002F33D0">
      <w:pPr>
        <w:tabs>
          <w:tab w:val="left" w:pos="851"/>
        </w:tabs>
        <w:spacing w:after="0" w:line="240" w:lineRule="auto"/>
        <w:jc w:val="both"/>
        <w:rPr>
          <w:rFonts w:ascii="Times New Roman" w:hAnsi="Times New Roman" w:cs="Times New Roman"/>
          <w:sz w:val="28"/>
          <w:szCs w:val="28"/>
        </w:rPr>
      </w:pPr>
    </w:p>
    <w:p w14:paraId="26580068" w14:textId="77777777" w:rsidR="002F33D0" w:rsidRPr="002F33D0" w:rsidRDefault="002F33D0" w:rsidP="002F33D0">
      <w:pPr>
        <w:tabs>
          <w:tab w:val="left" w:pos="851"/>
        </w:tabs>
        <w:spacing w:after="0" w:line="240" w:lineRule="auto"/>
        <w:jc w:val="both"/>
        <w:rPr>
          <w:rFonts w:ascii="Times New Roman" w:hAnsi="Times New Roman" w:cs="Times New Roman"/>
          <w:sz w:val="28"/>
          <w:szCs w:val="28"/>
        </w:rPr>
      </w:pPr>
    </w:p>
    <w:p w14:paraId="19145B8B" w14:textId="0A030776" w:rsidR="002F33D0" w:rsidRPr="002F33D0" w:rsidRDefault="002F33D0" w:rsidP="0052009A">
      <w:pPr>
        <w:tabs>
          <w:tab w:val="left" w:pos="851"/>
        </w:tabs>
        <w:spacing w:after="0" w:line="240" w:lineRule="auto"/>
        <w:jc w:val="center"/>
        <w:rPr>
          <w:rFonts w:ascii="Times New Roman" w:hAnsi="Times New Roman" w:cs="Times New Roman"/>
          <w:sz w:val="28"/>
          <w:szCs w:val="28"/>
        </w:rPr>
      </w:pPr>
      <w:r w:rsidRPr="002F33D0">
        <w:rPr>
          <w:rFonts w:ascii="Times New Roman" w:hAnsi="Times New Roman" w:cs="Times New Roman"/>
          <w:sz w:val="28"/>
          <w:szCs w:val="28"/>
        </w:rPr>
        <w:t>Рис</w:t>
      </w:r>
      <w:r w:rsidRPr="002F33D0">
        <w:rPr>
          <w:rFonts w:ascii="Times New Roman" w:hAnsi="Times New Roman" w:cs="Times New Roman"/>
          <w:sz w:val="28"/>
          <w:szCs w:val="28"/>
          <w:lang w:val="kk-KZ"/>
        </w:rPr>
        <w:t>унок</w:t>
      </w:r>
      <w:r w:rsidR="0012594C">
        <w:rPr>
          <w:rFonts w:ascii="Times New Roman" w:hAnsi="Times New Roman" w:cs="Times New Roman"/>
          <w:sz w:val="28"/>
          <w:szCs w:val="28"/>
        </w:rPr>
        <w:t xml:space="preserve"> </w:t>
      </w:r>
      <w:r w:rsidR="0012594C">
        <w:rPr>
          <w:rFonts w:ascii="Times New Roman" w:hAnsi="Times New Roman" w:cs="Times New Roman"/>
          <w:sz w:val="28"/>
          <w:szCs w:val="28"/>
          <w:lang w:val="kk-KZ"/>
        </w:rPr>
        <w:t>1</w:t>
      </w:r>
      <w:r w:rsidR="005129E8">
        <w:rPr>
          <w:rFonts w:ascii="Times New Roman" w:hAnsi="Times New Roman" w:cs="Times New Roman"/>
          <w:sz w:val="28"/>
          <w:szCs w:val="28"/>
          <w:lang w:val="kk-KZ"/>
        </w:rPr>
        <w:t xml:space="preserve">5 </w:t>
      </w:r>
      <w:r w:rsidRPr="002F33D0">
        <w:rPr>
          <w:rFonts w:ascii="Times New Roman" w:hAnsi="Times New Roman" w:cs="Times New Roman"/>
          <w:sz w:val="28"/>
          <w:szCs w:val="28"/>
        </w:rPr>
        <w:t>– Функциональная архитектура цифровой платформы диагностики инновационного потенциала</w:t>
      </w:r>
    </w:p>
    <w:p w14:paraId="4717B459" w14:textId="77777777" w:rsidR="0012594C" w:rsidRDefault="0012594C" w:rsidP="002F33D0">
      <w:pPr>
        <w:tabs>
          <w:tab w:val="left" w:pos="851"/>
        </w:tabs>
        <w:spacing w:after="0" w:line="240" w:lineRule="auto"/>
        <w:jc w:val="both"/>
        <w:rPr>
          <w:rFonts w:ascii="Times New Roman" w:hAnsi="Times New Roman" w:cs="Times New Roman"/>
          <w:sz w:val="28"/>
          <w:szCs w:val="28"/>
          <w:lang w:val="kk-KZ"/>
        </w:rPr>
      </w:pPr>
    </w:p>
    <w:p w14:paraId="3D089B18" w14:textId="2948F7B8" w:rsidR="002F33D0" w:rsidRPr="0012594C" w:rsidRDefault="0012594C" w:rsidP="005129E8">
      <w:pPr>
        <w:tabs>
          <w:tab w:val="left" w:pos="851"/>
        </w:tabs>
        <w:spacing w:after="0" w:line="240" w:lineRule="auto"/>
        <w:ind w:firstLine="567"/>
        <w:jc w:val="both"/>
        <w:rPr>
          <w:rFonts w:ascii="Times New Roman" w:hAnsi="Times New Roman" w:cs="Times New Roman"/>
          <w:sz w:val="24"/>
          <w:szCs w:val="28"/>
          <w:lang w:val="kk-KZ"/>
        </w:rPr>
      </w:pPr>
      <w:r w:rsidRPr="0012594C">
        <w:rPr>
          <w:rFonts w:ascii="Times New Roman" w:hAnsi="Times New Roman" w:cs="Times New Roman"/>
          <w:sz w:val="24"/>
          <w:szCs w:val="28"/>
          <w:lang w:val="kk-KZ"/>
        </w:rPr>
        <w:t xml:space="preserve">Примечание – </w:t>
      </w:r>
      <w:r w:rsidR="000F3C80">
        <w:rPr>
          <w:rFonts w:ascii="Times New Roman" w:hAnsi="Times New Roman" w:cs="Times New Roman"/>
          <w:sz w:val="24"/>
          <w:szCs w:val="28"/>
          <w:lang w:val="kk-KZ"/>
        </w:rPr>
        <w:t>С</w:t>
      </w:r>
      <w:r w:rsidRPr="0012594C">
        <w:rPr>
          <w:rFonts w:ascii="Times New Roman" w:hAnsi="Times New Roman" w:cs="Times New Roman"/>
          <w:sz w:val="24"/>
          <w:szCs w:val="28"/>
          <w:lang w:val="kk-KZ"/>
        </w:rPr>
        <w:t>оставлено автором</w:t>
      </w:r>
    </w:p>
    <w:p w14:paraId="547DC1A1" w14:textId="77777777" w:rsidR="0012594C" w:rsidRPr="0012594C" w:rsidRDefault="0012594C" w:rsidP="002F33D0">
      <w:pPr>
        <w:tabs>
          <w:tab w:val="left" w:pos="851"/>
        </w:tabs>
        <w:spacing w:after="0" w:line="240" w:lineRule="auto"/>
        <w:jc w:val="both"/>
        <w:rPr>
          <w:rFonts w:ascii="Times New Roman" w:hAnsi="Times New Roman" w:cs="Times New Roman"/>
          <w:sz w:val="28"/>
          <w:szCs w:val="28"/>
          <w:lang w:val="kk-KZ"/>
        </w:rPr>
      </w:pPr>
    </w:p>
    <w:p w14:paraId="6D98F527" w14:textId="77777777" w:rsidR="005129E8" w:rsidRDefault="005129E8" w:rsidP="005129E8">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lastRenderedPageBreak/>
        <w:t>Такая структура позволяет адаптировать платформу к различным категориям предприятий и отраслям экономики, обеспечивая не только универсальность применения, но и гибкость масштабирования в рамках национальной инновационной системы.</w:t>
      </w:r>
    </w:p>
    <w:p w14:paraId="5258AA77" w14:textId="71448B17" w:rsidR="005129E8" w:rsidRDefault="005129E8" w:rsidP="005129E8">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Реализация цифровой платформы предполагает поэтапное внедрение, обеспечивающее управляемый переход от пилотного тестирования к национальному масштабу. Поэтапность необходима в силу институциональных различий, неоднородной цифровой зрелости предприятий и различного качества данных. </w:t>
      </w:r>
      <w:r>
        <w:rPr>
          <w:rFonts w:ascii="Times New Roman" w:hAnsi="Times New Roman" w:cs="Times New Roman"/>
          <w:sz w:val="28"/>
          <w:szCs w:val="28"/>
        </w:rPr>
        <w:t>В таблице 3</w:t>
      </w:r>
      <w:r>
        <w:rPr>
          <w:rFonts w:ascii="Times New Roman" w:hAnsi="Times New Roman" w:cs="Times New Roman"/>
          <w:sz w:val="28"/>
          <w:szCs w:val="28"/>
          <w:lang w:val="kk-KZ"/>
        </w:rPr>
        <w:t xml:space="preserve">8 </w:t>
      </w:r>
      <w:r w:rsidRPr="002F33D0">
        <w:rPr>
          <w:rFonts w:ascii="Times New Roman" w:hAnsi="Times New Roman" w:cs="Times New Roman"/>
          <w:sz w:val="28"/>
          <w:szCs w:val="28"/>
        </w:rPr>
        <w:t>представлена дорожная карта внедрения инструмента.</w:t>
      </w:r>
    </w:p>
    <w:p w14:paraId="4F291639" w14:textId="77777777" w:rsidR="005129E8" w:rsidRDefault="005129E8" w:rsidP="002F33D0">
      <w:pPr>
        <w:tabs>
          <w:tab w:val="left" w:pos="851"/>
        </w:tabs>
        <w:spacing w:after="0" w:line="240" w:lineRule="auto"/>
        <w:jc w:val="both"/>
        <w:rPr>
          <w:rFonts w:ascii="Times New Roman" w:hAnsi="Times New Roman" w:cs="Times New Roman"/>
          <w:sz w:val="28"/>
          <w:szCs w:val="28"/>
        </w:rPr>
      </w:pPr>
    </w:p>
    <w:p w14:paraId="0DEAF19E" w14:textId="1B8818B8" w:rsidR="002F33D0" w:rsidRPr="002F33D0" w:rsidRDefault="00DE0CA6" w:rsidP="002F33D0">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3</w:t>
      </w:r>
      <w:r>
        <w:rPr>
          <w:rFonts w:ascii="Times New Roman" w:hAnsi="Times New Roman" w:cs="Times New Roman"/>
          <w:sz w:val="28"/>
          <w:szCs w:val="28"/>
          <w:lang w:val="kk-KZ"/>
        </w:rPr>
        <w:t xml:space="preserve">8 </w:t>
      </w:r>
      <w:r w:rsidR="002F33D0" w:rsidRPr="002F33D0">
        <w:rPr>
          <w:rFonts w:ascii="Times New Roman" w:hAnsi="Times New Roman" w:cs="Times New Roman"/>
          <w:sz w:val="28"/>
          <w:szCs w:val="28"/>
        </w:rPr>
        <w:t>– Этапы внедрения цифровой платформы диагностики инновационного потенциала</w:t>
      </w:r>
    </w:p>
    <w:p w14:paraId="09440448" w14:textId="77777777" w:rsidR="002F33D0" w:rsidRPr="00DE0CA6" w:rsidRDefault="002F33D0" w:rsidP="002F33D0">
      <w:pPr>
        <w:tabs>
          <w:tab w:val="left" w:pos="851"/>
        </w:tabs>
        <w:spacing w:after="0" w:line="240" w:lineRule="auto"/>
        <w:jc w:val="both"/>
        <w:rPr>
          <w:rFonts w:ascii="Times New Roman" w:hAnsi="Times New Roman" w:cs="Times New Roman"/>
          <w:sz w:val="20"/>
          <w:szCs w:val="20"/>
        </w:rPr>
      </w:pPr>
    </w:p>
    <w:tbl>
      <w:tblPr>
        <w:tblStyle w:val="a5"/>
        <w:tblW w:w="9360" w:type="dxa"/>
        <w:tblLayout w:type="fixed"/>
        <w:tblLook w:val="04A0" w:firstRow="1" w:lastRow="0" w:firstColumn="1" w:lastColumn="0" w:noHBand="0" w:noVBand="1"/>
      </w:tblPr>
      <w:tblGrid>
        <w:gridCol w:w="1731"/>
        <w:gridCol w:w="2828"/>
        <w:gridCol w:w="2006"/>
        <w:gridCol w:w="2795"/>
      </w:tblGrid>
      <w:tr w:rsidR="002F33D0" w:rsidRPr="0052009A" w14:paraId="719FD267" w14:textId="77777777" w:rsidTr="00DE0CA6">
        <w:tc>
          <w:tcPr>
            <w:tcW w:w="1731" w:type="dxa"/>
            <w:hideMark/>
          </w:tcPr>
          <w:p w14:paraId="1164F562" w14:textId="77777777" w:rsidR="002F33D0" w:rsidRPr="0052009A" w:rsidRDefault="002F33D0" w:rsidP="00F65A99">
            <w:pPr>
              <w:ind w:firstLine="0"/>
              <w:jc w:val="center"/>
              <w:rPr>
                <w:rFonts w:eastAsia="Times New Roman"/>
                <w:bCs/>
                <w:szCs w:val="24"/>
                <w:lang w:eastAsia="ru-RU"/>
              </w:rPr>
            </w:pPr>
            <w:r w:rsidRPr="0052009A">
              <w:rPr>
                <w:rFonts w:eastAsia="Times New Roman"/>
                <w:bCs/>
                <w:szCs w:val="24"/>
                <w:lang w:eastAsia="ru-RU"/>
              </w:rPr>
              <w:t>Этап</w:t>
            </w:r>
          </w:p>
        </w:tc>
        <w:tc>
          <w:tcPr>
            <w:tcW w:w="2828" w:type="dxa"/>
            <w:hideMark/>
          </w:tcPr>
          <w:p w14:paraId="69265F0E" w14:textId="77777777" w:rsidR="002F33D0" w:rsidRPr="0052009A" w:rsidRDefault="002F33D0" w:rsidP="00F65A99">
            <w:pPr>
              <w:ind w:firstLine="0"/>
              <w:jc w:val="center"/>
              <w:rPr>
                <w:rFonts w:eastAsia="Times New Roman"/>
                <w:bCs/>
                <w:szCs w:val="24"/>
                <w:lang w:eastAsia="ru-RU"/>
              </w:rPr>
            </w:pPr>
            <w:r w:rsidRPr="0052009A">
              <w:rPr>
                <w:rFonts w:eastAsia="Times New Roman"/>
                <w:bCs/>
                <w:szCs w:val="24"/>
                <w:lang w:eastAsia="ru-RU"/>
              </w:rPr>
              <w:t>Содержание</w:t>
            </w:r>
          </w:p>
        </w:tc>
        <w:tc>
          <w:tcPr>
            <w:tcW w:w="2006" w:type="dxa"/>
            <w:hideMark/>
          </w:tcPr>
          <w:p w14:paraId="00198D9B" w14:textId="77777777" w:rsidR="002F33D0" w:rsidRPr="0052009A" w:rsidRDefault="002F33D0" w:rsidP="00F65A99">
            <w:pPr>
              <w:ind w:firstLine="0"/>
              <w:jc w:val="center"/>
              <w:rPr>
                <w:rFonts w:eastAsia="Times New Roman"/>
                <w:bCs/>
                <w:szCs w:val="24"/>
                <w:lang w:eastAsia="ru-RU"/>
              </w:rPr>
            </w:pPr>
            <w:r w:rsidRPr="0052009A">
              <w:rPr>
                <w:rFonts w:eastAsia="Times New Roman"/>
                <w:bCs/>
                <w:szCs w:val="24"/>
                <w:lang w:eastAsia="ru-RU"/>
              </w:rPr>
              <w:t>Партнёры</w:t>
            </w:r>
          </w:p>
        </w:tc>
        <w:tc>
          <w:tcPr>
            <w:tcW w:w="2795" w:type="dxa"/>
            <w:hideMark/>
          </w:tcPr>
          <w:p w14:paraId="6F5A2DE6" w14:textId="77777777" w:rsidR="002F33D0" w:rsidRPr="0052009A" w:rsidRDefault="002F33D0" w:rsidP="00F65A99">
            <w:pPr>
              <w:ind w:firstLine="0"/>
              <w:jc w:val="center"/>
              <w:rPr>
                <w:rFonts w:eastAsia="Times New Roman"/>
                <w:bCs/>
                <w:szCs w:val="24"/>
                <w:lang w:eastAsia="ru-RU"/>
              </w:rPr>
            </w:pPr>
            <w:r w:rsidRPr="0052009A">
              <w:rPr>
                <w:rFonts w:eastAsia="Times New Roman"/>
                <w:bCs/>
                <w:szCs w:val="24"/>
                <w:lang w:eastAsia="ru-RU"/>
              </w:rPr>
              <w:t>Ожидаемый результат</w:t>
            </w:r>
          </w:p>
        </w:tc>
      </w:tr>
      <w:tr w:rsidR="002F33D0" w:rsidRPr="0052009A" w14:paraId="0A8AB548" w14:textId="77777777" w:rsidTr="00DE0CA6">
        <w:tc>
          <w:tcPr>
            <w:tcW w:w="1731" w:type="dxa"/>
            <w:hideMark/>
          </w:tcPr>
          <w:p w14:paraId="1B57BF05" w14:textId="77777777" w:rsidR="002F33D0" w:rsidRPr="0052009A" w:rsidRDefault="002F33D0" w:rsidP="0052009A">
            <w:pPr>
              <w:ind w:firstLine="0"/>
              <w:rPr>
                <w:rFonts w:eastAsia="Times New Roman"/>
                <w:szCs w:val="24"/>
                <w:lang w:eastAsia="ru-RU"/>
              </w:rPr>
            </w:pPr>
            <w:r w:rsidRPr="0052009A">
              <w:rPr>
                <w:rFonts w:eastAsia="Times New Roman"/>
                <w:bCs/>
                <w:szCs w:val="24"/>
                <w:lang w:eastAsia="ru-RU"/>
              </w:rPr>
              <w:t>1. Пилотное внедрение</w:t>
            </w:r>
          </w:p>
        </w:tc>
        <w:tc>
          <w:tcPr>
            <w:tcW w:w="2828" w:type="dxa"/>
            <w:hideMark/>
          </w:tcPr>
          <w:p w14:paraId="1047D133" w14:textId="77777777" w:rsidR="002F33D0" w:rsidRPr="0052009A" w:rsidRDefault="002F33D0" w:rsidP="0052009A">
            <w:pPr>
              <w:ind w:firstLine="0"/>
              <w:rPr>
                <w:rFonts w:eastAsia="Times New Roman"/>
                <w:szCs w:val="24"/>
                <w:lang w:eastAsia="ru-RU"/>
              </w:rPr>
            </w:pPr>
            <w:r w:rsidRPr="0052009A">
              <w:rPr>
                <w:rFonts w:eastAsia="Times New Roman"/>
                <w:szCs w:val="24"/>
                <w:lang w:eastAsia="ru-RU"/>
              </w:rPr>
              <w:t>Тестирование платформы на ограниченной группе предприятий</w:t>
            </w:r>
          </w:p>
        </w:tc>
        <w:tc>
          <w:tcPr>
            <w:tcW w:w="2006" w:type="dxa"/>
            <w:hideMark/>
          </w:tcPr>
          <w:p w14:paraId="2E3155B7" w14:textId="77777777" w:rsidR="002F33D0" w:rsidRPr="0052009A" w:rsidRDefault="002F33D0" w:rsidP="0052009A">
            <w:pPr>
              <w:ind w:firstLine="0"/>
              <w:rPr>
                <w:rFonts w:eastAsia="Times New Roman"/>
                <w:szCs w:val="24"/>
                <w:lang w:val="kk-KZ" w:eastAsia="ru-RU"/>
              </w:rPr>
            </w:pPr>
            <w:r w:rsidRPr="0052009A">
              <w:rPr>
                <w:rFonts w:eastAsia="Times New Roman"/>
                <w:szCs w:val="24"/>
                <w:lang w:eastAsia="ru-RU"/>
              </w:rPr>
              <w:t>Astana Hub, региональные технопарки</w:t>
            </w:r>
            <w:r w:rsidRPr="0052009A">
              <w:rPr>
                <w:rFonts w:eastAsia="Times New Roman"/>
                <w:szCs w:val="24"/>
                <w:lang w:val="kk-KZ" w:eastAsia="ru-RU"/>
              </w:rPr>
              <w:t xml:space="preserve"> и университеты</w:t>
            </w:r>
          </w:p>
        </w:tc>
        <w:tc>
          <w:tcPr>
            <w:tcW w:w="2795" w:type="dxa"/>
            <w:hideMark/>
          </w:tcPr>
          <w:p w14:paraId="35B20C32" w14:textId="77777777" w:rsidR="002F33D0" w:rsidRPr="0052009A" w:rsidRDefault="002F33D0" w:rsidP="0052009A">
            <w:pPr>
              <w:ind w:firstLine="0"/>
              <w:rPr>
                <w:rFonts w:eastAsia="Times New Roman"/>
                <w:szCs w:val="24"/>
                <w:lang w:eastAsia="ru-RU"/>
              </w:rPr>
            </w:pPr>
            <w:r w:rsidRPr="0052009A">
              <w:rPr>
                <w:rFonts w:eastAsia="Times New Roman"/>
                <w:szCs w:val="24"/>
                <w:lang w:eastAsia="ru-RU"/>
              </w:rPr>
              <w:t>Проверка корректности расчётов, адаптация интерфейса</w:t>
            </w:r>
          </w:p>
        </w:tc>
      </w:tr>
      <w:tr w:rsidR="002F33D0" w:rsidRPr="0052009A" w14:paraId="646DC757" w14:textId="77777777" w:rsidTr="00DE0CA6">
        <w:tc>
          <w:tcPr>
            <w:tcW w:w="1731" w:type="dxa"/>
            <w:hideMark/>
          </w:tcPr>
          <w:p w14:paraId="065939D7" w14:textId="658A9655" w:rsidR="002F33D0" w:rsidRPr="0052009A" w:rsidRDefault="002F33D0" w:rsidP="0052009A">
            <w:pPr>
              <w:ind w:firstLine="0"/>
              <w:rPr>
                <w:rFonts w:eastAsia="Times New Roman"/>
                <w:szCs w:val="24"/>
                <w:lang w:eastAsia="ru-RU"/>
              </w:rPr>
            </w:pPr>
            <w:r w:rsidRPr="0052009A">
              <w:rPr>
                <w:rFonts w:eastAsia="Times New Roman"/>
                <w:bCs/>
                <w:szCs w:val="24"/>
                <w:lang w:eastAsia="ru-RU"/>
              </w:rPr>
              <w:t>2. Институ</w:t>
            </w:r>
            <w:r w:rsidR="00DE0CA6">
              <w:rPr>
                <w:rFonts w:eastAsia="Times New Roman"/>
                <w:bCs/>
                <w:szCs w:val="24"/>
                <w:lang w:val="kk-KZ" w:eastAsia="ru-RU"/>
              </w:rPr>
              <w:t>-</w:t>
            </w:r>
            <w:r w:rsidRPr="0052009A">
              <w:rPr>
                <w:rFonts w:eastAsia="Times New Roman"/>
                <w:bCs/>
                <w:szCs w:val="24"/>
                <w:lang w:eastAsia="ru-RU"/>
              </w:rPr>
              <w:t>циональная интеграция</w:t>
            </w:r>
          </w:p>
        </w:tc>
        <w:tc>
          <w:tcPr>
            <w:tcW w:w="2828" w:type="dxa"/>
            <w:hideMark/>
          </w:tcPr>
          <w:p w14:paraId="280CA6CD" w14:textId="77777777" w:rsidR="002F33D0" w:rsidRPr="0052009A" w:rsidRDefault="002F33D0" w:rsidP="0052009A">
            <w:pPr>
              <w:ind w:firstLine="0"/>
              <w:rPr>
                <w:rFonts w:eastAsia="Times New Roman"/>
                <w:szCs w:val="24"/>
                <w:lang w:eastAsia="ru-RU"/>
              </w:rPr>
            </w:pPr>
            <w:r w:rsidRPr="0052009A">
              <w:rPr>
                <w:rFonts w:eastAsia="Times New Roman"/>
                <w:szCs w:val="24"/>
                <w:lang w:eastAsia="ru-RU"/>
              </w:rPr>
              <w:t xml:space="preserve">Встраивание в сервисы «Единого </w:t>
            </w:r>
            <w:r w:rsidRPr="0052009A">
              <w:rPr>
                <w:rFonts w:eastAsia="Times New Roman"/>
                <w:szCs w:val="24"/>
                <w:lang w:val="kk-KZ" w:eastAsia="ru-RU"/>
              </w:rPr>
              <w:t>цифрового сервиса</w:t>
            </w:r>
            <w:r w:rsidRPr="0052009A">
              <w:rPr>
                <w:rFonts w:eastAsia="Times New Roman"/>
                <w:szCs w:val="24"/>
                <w:lang w:eastAsia="ru-RU"/>
              </w:rPr>
              <w:t>» НПП «Атамекен», DAMU, QazInnovations</w:t>
            </w:r>
          </w:p>
        </w:tc>
        <w:tc>
          <w:tcPr>
            <w:tcW w:w="2006" w:type="dxa"/>
            <w:hideMark/>
          </w:tcPr>
          <w:p w14:paraId="0867DB12" w14:textId="77777777" w:rsidR="002F33D0" w:rsidRPr="0052009A" w:rsidRDefault="002F33D0" w:rsidP="0052009A">
            <w:pPr>
              <w:ind w:firstLine="0"/>
              <w:rPr>
                <w:rFonts w:eastAsia="Times New Roman"/>
                <w:szCs w:val="24"/>
                <w:lang w:eastAsia="ru-RU"/>
              </w:rPr>
            </w:pPr>
            <w:r w:rsidRPr="0052009A">
              <w:rPr>
                <w:rFonts w:eastAsia="Times New Roman"/>
                <w:szCs w:val="24"/>
                <w:lang w:eastAsia="ru-RU"/>
              </w:rPr>
              <w:t>Государственные институты развития</w:t>
            </w:r>
          </w:p>
        </w:tc>
        <w:tc>
          <w:tcPr>
            <w:tcW w:w="2795" w:type="dxa"/>
            <w:hideMark/>
          </w:tcPr>
          <w:p w14:paraId="134BF7CA" w14:textId="77777777" w:rsidR="002F33D0" w:rsidRPr="0052009A" w:rsidRDefault="002F33D0" w:rsidP="0052009A">
            <w:pPr>
              <w:ind w:firstLine="0"/>
              <w:rPr>
                <w:rFonts w:eastAsia="Times New Roman"/>
                <w:szCs w:val="24"/>
                <w:lang w:eastAsia="ru-RU"/>
              </w:rPr>
            </w:pPr>
            <w:r w:rsidRPr="0052009A">
              <w:rPr>
                <w:rFonts w:eastAsia="Times New Roman"/>
                <w:szCs w:val="24"/>
                <w:lang w:eastAsia="ru-RU"/>
              </w:rPr>
              <w:t>Единая точка доступа для МСП, сокращение трансакционных издержек</w:t>
            </w:r>
          </w:p>
        </w:tc>
      </w:tr>
      <w:tr w:rsidR="002F33D0" w:rsidRPr="0052009A" w14:paraId="0A64FB5B" w14:textId="77777777" w:rsidTr="00DE0CA6">
        <w:tc>
          <w:tcPr>
            <w:tcW w:w="1731" w:type="dxa"/>
            <w:hideMark/>
          </w:tcPr>
          <w:p w14:paraId="62852EF8" w14:textId="5111D849" w:rsidR="002F33D0" w:rsidRPr="0052009A" w:rsidRDefault="002F33D0" w:rsidP="0052009A">
            <w:pPr>
              <w:ind w:firstLine="0"/>
              <w:rPr>
                <w:rFonts w:eastAsia="Times New Roman"/>
                <w:szCs w:val="24"/>
                <w:lang w:eastAsia="ru-RU"/>
              </w:rPr>
            </w:pPr>
            <w:r w:rsidRPr="0052009A">
              <w:rPr>
                <w:rFonts w:eastAsia="Times New Roman"/>
                <w:bCs/>
                <w:szCs w:val="24"/>
                <w:lang w:eastAsia="ru-RU"/>
              </w:rPr>
              <w:t>3. Националь</w:t>
            </w:r>
            <w:r w:rsidR="00DE0CA6">
              <w:rPr>
                <w:rFonts w:eastAsia="Times New Roman"/>
                <w:bCs/>
                <w:szCs w:val="24"/>
                <w:lang w:val="kk-KZ" w:eastAsia="ru-RU"/>
              </w:rPr>
              <w:t>-</w:t>
            </w:r>
            <w:r w:rsidRPr="0052009A">
              <w:rPr>
                <w:rFonts w:eastAsia="Times New Roman"/>
                <w:bCs/>
                <w:szCs w:val="24"/>
                <w:lang w:eastAsia="ru-RU"/>
              </w:rPr>
              <w:t>ное масштаби</w:t>
            </w:r>
            <w:r w:rsidR="00DE0CA6">
              <w:rPr>
                <w:rFonts w:eastAsia="Times New Roman"/>
                <w:bCs/>
                <w:szCs w:val="24"/>
                <w:lang w:val="kk-KZ" w:eastAsia="ru-RU"/>
              </w:rPr>
              <w:t>-</w:t>
            </w:r>
            <w:r w:rsidRPr="0052009A">
              <w:rPr>
                <w:rFonts w:eastAsia="Times New Roman"/>
                <w:bCs/>
                <w:szCs w:val="24"/>
                <w:lang w:eastAsia="ru-RU"/>
              </w:rPr>
              <w:t>рование</w:t>
            </w:r>
          </w:p>
        </w:tc>
        <w:tc>
          <w:tcPr>
            <w:tcW w:w="2828" w:type="dxa"/>
            <w:hideMark/>
          </w:tcPr>
          <w:p w14:paraId="2A67BC2F" w14:textId="77777777" w:rsidR="002F33D0" w:rsidRPr="0052009A" w:rsidRDefault="002F33D0" w:rsidP="0052009A">
            <w:pPr>
              <w:ind w:firstLine="0"/>
              <w:rPr>
                <w:rFonts w:eastAsia="Times New Roman"/>
                <w:szCs w:val="24"/>
                <w:lang w:eastAsia="ru-RU"/>
              </w:rPr>
            </w:pPr>
            <w:r w:rsidRPr="0052009A">
              <w:rPr>
                <w:rFonts w:eastAsia="Times New Roman"/>
                <w:szCs w:val="24"/>
                <w:lang w:eastAsia="ru-RU"/>
              </w:rPr>
              <w:t>Подключение всех категорий предприятий, отраслей и регионов</w:t>
            </w:r>
          </w:p>
        </w:tc>
        <w:tc>
          <w:tcPr>
            <w:tcW w:w="2006" w:type="dxa"/>
            <w:hideMark/>
          </w:tcPr>
          <w:p w14:paraId="68AB139D" w14:textId="77777777" w:rsidR="002F33D0" w:rsidRPr="0052009A" w:rsidRDefault="002F33D0" w:rsidP="0052009A">
            <w:pPr>
              <w:ind w:firstLine="0"/>
              <w:rPr>
                <w:rFonts w:eastAsia="Times New Roman"/>
                <w:szCs w:val="24"/>
                <w:lang w:eastAsia="ru-RU"/>
              </w:rPr>
            </w:pPr>
            <w:r w:rsidRPr="0052009A">
              <w:rPr>
                <w:rFonts w:eastAsia="Times New Roman"/>
                <w:szCs w:val="24"/>
                <w:lang w:eastAsia="ru-RU"/>
              </w:rPr>
              <w:t>МНВО РК, МЭР РК, БНС</w:t>
            </w:r>
            <w:r w:rsidRPr="0052009A">
              <w:rPr>
                <w:rFonts w:eastAsia="Times New Roman"/>
                <w:szCs w:val="24"/>
                <w:lang w:val="kk-KZ" w:eastAsia="ru-RU"/>
              </w:rPr>
              <w:t xml:space="preserve">, </w:t>
            </w:r>
            <w:r w:rsidRPr="0052009A">
              <w:rPr>
                <w:rFonts w:eastAsia="Times New Roman"/>
                <w:szCs w:val="24"/>
                <w:lang w:eastAsia="ru-RU"/>
              </w:rPr>
              <w:t>акиматы</w:t>
            </w:r>
          </w:p>
        </w:tc>
        <w:tc>
          <w:tcPr>
            <w:tcW w:w="2795" w:type="dxa"/>
            <w:hideMark/>
          </w:tcPr>
          <w:p w14:paraId="061C6540" w14:textId="77777777" w:rsidR="002F33D0" w:rsidRPr="0052009A" w:rsidRDefault="002F33D0" w:rsidP="0052009A">
            <w:pPr>
              <w:ind w:firstLine="0"/>
              <w:rPr>
                <w:rFonts w:eastAsia="Times New Roman"/>
                <w:szCs w:val="24"/>
                <w:lang w:eastAsia="ru-RU"/>
              </w:rPr>
            </w:pPr>
            <w:r w:rsidRPr="0052009A">
              <w:rPr>
                <w:rFonts w:eastAsia="Times New Roman"/>
                <w:szCs w:val="24"/>
                <w:lang w:eastAsia="ru-RU"/>
              </w:rPr>
              <w:t>Национальная база данных инновационного потенциала</w:t>
            </w:r>
          </w:p>
        </w:tc>
      </w:tr>
      <w:tr w:rsidR="002F33D0" w:rsidRPr="0052009A" w14:paraId="0E2249AC" w14:textId="77777777" w:rsidTr="00DE0CA6">
        <w:tc>
          <w:tcPr>
            <w:tcW w:w="1731" w:type="dxa"/>
            <w:hideMark/>
          </w:tcPr>
          <w:p w14:paraId="5F0B80E3" w14:textId="42DAB9BC" w:rsidR="002F33D0" w:rsidRPr="0052009A" w:rsidRDefault="002F33D0" w:rsidP="0052009A">
            <w:pPr>
              <w:ind w:firstLine="0"/>
              <w:rPr>
                <w:rFonts w:eastAsia="Times New Roman"/>
                <w:szCs w:val="24"/>
                <w:lang w:eastAsia="ru-RU"/>
              </w:rPr>
            </w:pPr>
            <w:r w:rsidRPr="0052009A">
              <w:rPr>
                <w:rFonts w:eastAsia="Times New Roman"/>
                <w:bCs/>
                <w:szCs w:val="24"/>
                <w:lang w:eastAsia="ru-RU"/>
              </w:rPr>
              <w:t>4. Междуна</w:t>
            </w:r>
            <w:r w:rsidR="00DE0CA6">
              <w:rPr>
                <w:rFonts w:eastAsia="Times New Roman"/>
                <w:bCs/>
                <w:szCs w:val="24"/>
                <w:lang w:val="kk-KZ" w:eastAsia="ru-RU"/>
              </w:rPr>
              <w:t>-</w:t>
            </w:r>
            <w:r w:rsidRPr="0052009A">
              <w:rPr>
                <w:rFonts w:eastAsia="Times New Roman"/>
                <w:bCs/>
                <w:szCs w:val="24"/>
                <w:lang w:eastAsia="ru-RU"/>
              </w:rPr>
              <w:t>родная интеграция</w:t>
            </w:r>
          </w:p>
        </w:tc>
        <w:tc>
          <w:tcPr>
            <w:tcW w:w="2828" w:type="dxa"/>
            <w:hideMark/>
          </w:tcPr>
          <w:p w14:paraId="575C7275" w14:textId="77777777" w:rsidR="002F33D0" w:rsidRPr="0052009A" w:rsidRDefault="002F33D0" w:rsidP="0052009A">
            <w:pPr>
              <w:ind w:firstLine="0"/>
              <w:rPr>
                <w:rFonts w:eastAsia="Times New Roman"/>
                <w:szCs w:val="24"/>
                <w:lang w:eastAsia="ru-RU"/>
              </w:rPr>
            </w:pPr>
            <w:r w:rsidRPr="0052009A">
              <w:rPr>
                <w:rFonts w:eastAsia="Times New Roman"/>
                <w:szCs w:val="24"/>
                <w:lang w:eastAsia="ru-RU"/>
              </w:rPr>
              <w:t>Сопоставимость с индексами EGDI, NRI, DESI; обмен лучшими практиками</w:t>
            </w:r>
          </w:p>
        </w:tc>
        <w:tc>
          <w:tcPr>
            <w:tcW w:w="2006" w:type="dxa"/>
            <w:hideMark/>
          </w:tcPr>
          <w:p w14:paraId="109FE539" w14:textId="15CA5A9A" w:rsidR="002F33D0" w:rsidRPr="0018767C" w:rsidRDefault="00691939" w:rsidP="0018767C">
            <w:pPr>
              <w:ind w:firstLine="0"/>
              <w:rPr>
                <w:rFonts w:eastAsia="Times New Roman"/>
                <w:szCs w:val="24"/>
                <w:lang w:val="kk-KZ" w:eastAsia="ru-RU"/>
              </w:rPr>
            </w:pPr>
            <w:r>
              <w:t>МЦРИ</w:t>
            </w:r>
            <w:r w:rsidR="002F33D0" w:rsidRPr="0052009A">
              <w:rPr>
                <w:rFonts w:eastAsia="Times New Roman"/>
                <w:szCs w:val="24"/>
                <w:lang w:eastAsia="ru-RU"/>
              </w:rPr>
              <w:t xml:space="preserve">, </w:t>
            </w:r>
            <w:r w:rsidR="0018767C" w:rsidRPr="0052009A">
              <w:rPr>
                <w:rFonts w:eastAsia="Times New Roman"/>
                <w:szCs w:val="24"/>
                <w:lang w:eastAsia="ru-RU"/>
              </w:rPr>
              <w:t xml:space="preserve">МНВО </w:t>
            </w:r>
            <w:r w:rsidR="002F33D0" w:rsidRPr="0052009A">
              <w:rPr>
                <w:rFonts w:eastAsia="Times New Roman"/>
                <w:szCs w:val="24"/>
                <w:lang w:eastAsia="ru-RU"/>
              </w:rPr>
              <w:t>РК</w:t>
            </w:r>
          </w:p>
        </w:tc>
        <w:tc>
          <w:tcPr>
            <w:tcW w:w="2795" w:type="dxa"/>
            <w:hideMark/>
          </w:tcPr>
          <w:p w14:paraId="612972B4" w14:textId="77777777" w:rsidR="002F33D0" w:rsidRPr="0052009A" w:rsidRDefault="002F33D0" w:rsidP="0052009A">
            <w:pPr>
              <w:ind w:firstLine="0"/>
              <w:rPr>
                <w:rFonts w:eastAsia="Times New Roman"/>
                <w:szCs w:val="24"/>
                <w:lang w:eastAsia="ru-RU"/>
              </w:rPr>
            </w:pPr>
            <w:r w:rsidRPr="0052009A">
              <w:rPr>
                <w:rFonts w:eastAsia="Times New Roman"/>
                <w:szCs w:val="24"/>
                <w:lang w:eastAsia="ru-RU"/>
              </w:rPr>
              <w:t>Формирование международной траектории развития цифровых инноваций</w:t>
            </w:r>
          </w:p>
        </w:tc>
      </w:tr>
      <w:tr w:rsidR="00DE0CA6" w:rsidRPr="0052009A" w14:paraId="3F37DCEA" w14:textId="77777777" w:rsidTr="00043020">
        <w:tc>
          <w:tcPr>
            <w:tcW w:w="9360" w:type="dxa"/>
            <w:gridSpan w:val="4"/>
          </w:tcPr>
          <w:p w14:paraId="0530E117" w14:textId="757F385B" w:rsidR="00DE0CA6" w:rsidRPr="00DE0CA6" w:rsidRDefault="00DE0CA6" w:rsidP="000F3C80">
            <w:pPr>
              <w:ind w:firstLine="455"/>
              <w:rPr>
                <w:rFonts w:eastAsia="Times New Roman"/>
                <w:szCs w:val="24"/>
                <w:lang w:val="kk-KZ" w:eastAsia="ru-RU"/>
              </w:rPr>
            </w:pPr>
            <w:r w:rsidRPr="00EE311D">
              <w:rPr>
                <w:rFonts w:eastAsia="Times New Roman"/>
                <w:szCs w:val="24"/>
                <w:lang w:val="kk-KZ" w:eastAsia="ru-RU"/>
              </w:rPr>
              <w:t xml:space="preserve">Примечание – </w:t>
            </w:r>
            <w:r w:rsidR="000F3C80" w:rsidRPr="00EE311D">
              <w:rPr>
                <w:rFonts w:eastAsia="Times New Roman"/>
                <w:szCs w:val="24"/>
                <w:lang w:val="kk-KZ" w:eastAsia="ru-RU"/>
              </w:rPr>
              <w:t>С</w:t>
            </w:r>
            <w:r w:rsidRPr="00EE311D">
              <w:rPr>
                <w:rFonts w:eastAsia="Times New Roman"/>
                <w:szCs w:val="24"/>
                <w:lang w:val="kk-KZ" w:eastAsia="ru-RU"/>
              </w:rPr>
              <w:t>оставлено автором</w:t>
            </w:r>
          </w:p>
        </w:tc>
      </w:tr>
    </w:tbl>
    <w:p w14:paraId="708440DE" w14:textId="77777777" w:rsidR="005129E8" w:rsidRDefault="005129E8" w:rsidP="0052009A">
      <w:pPr>
        <w:tabs>
          <w:tab w:val="left" w:pos="851"/>
        </w:tabs>
        <w:spacing w:after="0" w:line="240" w:lineRule="auto"/>
        <w:ind w:firstLine="567"/>
        <w:jc w:val="both"/>
        <w:rPr>
          <w:rFonts w:ascii="Times New Roman" w:hAnsi="Times New Roman" w:cs="Times New Roman"/>
          <w:sz w:val="28"/>
          <w:szCs w:val="28"/>
        </w:rPr>
      </w:pPr>
    </w:p>
    <w:p w14:paraId="0D98D90D" w14:textId="38D791CC"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 xml:space="preserve">Такой поэтапный подход обеспечивает поступательное развитие цифровой платформы </w:t>
      </w:r>
      <w:r w:rsidR="009D20AE">
        <w:rPr>
          <w:rFonts w:ascii="Times New Roman" w:hAnsi="Times New Roman" w:cs="Times New Roman"/>
          <w:sz w:val="28"/>
          <w:szCs w:val="28"/>
        </w:rPr>
        <w:t>–</w:t>
      </w:r>
      <w:r w:rsidRPr="002F33D0">
        <w:rPr>
          <w:rFonts w:ascii="Times New Roman" w:hAnsi="Times New Roman" w:cs="Times New Roman"/>
          <w:sz w:val="28"/>
          <w:szCs w:val="28"/>
        </w:rPr>
        <w:t xml:space="preserve"> от локального инструмента диагностики до национального аналитического ядра системы инновационного управления. Институциональная интеграция и участие ключевых акторов инновационной экосистемы позволяют не только повысить эффективность использования собранных данных, но и придать процессу управления инновационным потенциалом устойчивый, самовоспроизводящийся характер</w:t>
      </w:r>
      <w:r w:rsidR="00E77B79" w:rsidRPr="00E77B79">
        <w:rPr>
          <w:rFonts w:ascii="Times New Roman" w:hAnsi="Times New Roman" w:cs="Times New Roman"/>
          <w:sz w:val="28"/>
          <w:szCs w:val="28"/>
        </w:rPr>
        <w:t xml:space="preserve"> </w:t>
      </w:r>
      <w:r w:rsidR="00E77B79">
        <w:rPr>
          <w:rFonts w:ascii="Times New Roman" w:hAnsi="Times New Roman" w:cs="Times New Roman"/>
          <w:sz w:val="28"/>
          <w:szCs w:val="28"/>
          <w:lang w:val="en-US"/>
        </w:rPr>
        <w:fldChar w:fldCharType="begin"/>
      </w:r>
      <w:r w:rsidR="00AE44BA">
        <w:rPr>
          <w:rFonts w:ascii="Times New Roman" w:hAnsi="Times New Roman" w:cs="Times New Roman"/>
          <w:sz w:val="28"/>
          <w:szCs w:val="28"/>
        </w:rPr>
        <w:instrText xml:space="preserve"> ADDIN ZOTERO_ITEM CSL_CITATION {"citationID":"afvdf0vkh2","properties":{"formattedCitation":"[276,277]","plainCitation":"[276,277]","noteIndex":0},"citationItems":[{"id":"jo0Cjpe8/WVJ0TK7d","uris":["http://zotero.org/users/16887523/items/K5TAZKAL"],"itemData":{"id":362,"type":"article-journal","abstract":"This article proposes a multi-actor connectivity model for organizations involved in knowledge creation, management, and transfer (including research and development, technology transfer, intellectual property, and innovation organizations) within Vietnam’s innovation startup ecosystem. The model is grounded in open ecosystem theory and built upon surveys at over 20 organizations, three national workshops organized by the research team (2023-2024), and international experience. Structured across three levels-institutions, connection platforms, and implementation tools, it aims to address fragmentation and foster an integrated, sustainable, and globally connected ecosystem.","container-title":"VNU Journal of Science: Policy and Management Studies","DOI":"10.25073/2588-1116/vnupam.4571","ISSN":"2588-1116, 2615-9295","issue":"3","journalAbbreviation":"PaM","source":"DOI.org (Crossref)","title":"Connecting Knowledge Creation, Management, and Transfer Organizations into the Innovation Startup Ecosystem: Models and Policies","title-short":"Connecting Knowledge Creation, Management, and Transfer Organizations into the Innovation Startup Ecosystem","URL":"https://js.vnu.edu.vn/PaM/article/view/4571","volume":"41","author":[{"family":"Huy Nhuong","given":"Bui"},{"family":"Minh Ngoc","given":"Nguyen"}],"accessed":{"date-parts":[["2025",11,30]]},"issued":{"date-parts":[["2025",9,27]]}}},{"id":363,"uris":["http://zotero.org/users/16887523/items/GESXMNS6"],"itemData":{"id":363,"type":"article-journal","abstract":"This study examines smart tourism governance in Spanish destinations using grounded analysis of key stakeholder perspectives, with a focus on sustainability, innovation, and resilience. The analysis reveals an institutional logic that positions smart tourism as a predominantly technology-driven strategy aimed at enhancing efficiency and competitiveness. Three interrelated themes emerge as follows: the Technocratic Imperative (emphasis on data-driven decision-making and technological infrastructure), the Sustainability Paradox (tensions between economic growth objectives and social equity commitments), and the Collaborative Ideal ((reflecting institutional aspirations for network-based governance). The findings highlight persistent power asymmetries and operational challenges, underscoring gaps between policy rhetoric and on-the-ground implementation. By situating these dynamics within a critical institutional framework, the study offers empirically informed recommendations for fostering more effective, resilient, and sustainable smart tourism ecosystems.","container-title":"Journal of Smart Tourism","DOI":"10.1177/27652157251380629","ISSN":"2765-2157, 2765-7272","issue":"4","journalAbbreviation":"Journal of Smart Tourism","language":"en","page":"185-202","source":"DOI.org (Crossref)","title":"Smart Tourism Governance: An Institutional Perspective on Sustainability, Innovation, and Resilience","title-short":"Smart Tourism Governance","URL":"https://journals.sagepub.com/doi/10.1177/27652157251380629","volume":"5","author":[{"family":"Abdelmalak","given":"Fathy"}],"accessed":{"date-parts":[["2025",11,30]]},"issued":{"date-parts":[["2025",12]]}}}],"schema":"https://github.com/citation-style-language/schema/raw/master/csl-citation.json"} </w:instrText>
      </w:r>
      <w:r w:rsidR="00E77B79">
        <w:rPr>
          <w:rFonts w:ascii="Times New Roman" w:hAnsi="Times New Roman" w:cs="Times New Roman"/>
          <w:sz w:val="28"/>
          <w:szCs w:val="28"/>
          <w:lang w:val="en-US"/>
        </w:rPr>
        <w:fldChar w:fldCharType="separate"/>
      </w:r>
      <w:r w:rsidR="00AE44BA" w:rsidRPr="00AE44BA">
        <w:rPr>
          <w:rFonts w:ascii="Times New Roman" w:hAnsi="Times New Roman" w:cs="Times New Roman"/>
          <w:sz w:val="28"/>
        </w:rPr>
        <w:t>[276,277]</w:t>
      </w:r>
      <w:r w:rsidR="00E77B79">
        <w:rPr>
          <w:rFonts w:ascii="Times New Roman" w:hAnsi="Times New Roman" w:cs="Times New Roman"/>
          <w:sz w:val="28"/>
          <w:szCs w:val="28"/>
          <w:lang w:val="en-US"/>
        </w:rPr>
        <w:fldChar w:fldCharType="end"/>
      </w:r>
      <w:r w:rsidRPr="002F33D0">
        <w:rPr>
          <w:rFonts w:ascii="Times New Roman" w:hAnsi="Times New Roman" w:cs="Times New Roman"/>
          <w:sz w:val="28"/>
          <w:szCs w:val="28"/>
        </w:rPr>
        <w:t>.</w:t>
      </w:r>
    </w:p>
    <w:p w14:paraId="3BCB876A" w14:textId="77777777"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Реализация цифровой платформы требует учёта рисков. К ключевым из них относятся:</w:t>
      </w:r>
    </w:p>
    <w:p w14:paraId="0A16B01F" w14:textId="3611813B" w:rsidR="002F33D0" w:rsidRPr="002F33D0" w:rsidRDefault="002F33D0" w:rsidP="007F5E68">
      <w:pPr>
        <w:pStyle w:val="a3"/>
        <w:numPr>
          <w:ilvl w:val="0"/>
          <w:numId w:val="34"/>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качество данных (ошибки заполнения, ограниченная цифровая грамотность сотрудников МСП)</w:t>
      </w:r>
      <w:r w:rsidR="00E77B79" w:rsidRPr="00E77B79">
        <w:rPr>
          <w:rFonts w:ascii="Times New Roman" w:hAnsi="Times New Roman" w:cs="Times New Roman"/>
          <w:sz w:val="28"/>
          <w:szCs w:val="28"/>
        </w:rPr>
        <w:t xml:space="preserve"> </w:t>
      </w:r>
      <w:r w:rsidR="00E77B79">
        <w:rPr>
          <w:rFonts w:ascii="Times New Roman" w:hAnsi="Times New Roman" w:cs="Times New Roman"/>
          <w:sz w:val="28"/>
          <w:szCs w:val="28"/>
          <w:lang w:val="en-US"/>
        </w:rPr>
        <w:fldChar w:fldCharType="begin"/>
      </w:r>
      <w:r w:rsidR="00AE44BA">
        <w:rPr>
          <w:rFonts w:ascii="Times New Roman" w:hAnsi="Times New Roman" w:cs="Times New Roman"/>
          <w:sz w:val="28"/>
          <w:szCs w:val="28"/>
        </w:rPr>
        <w:instrText xml:space="preserve"> ADDIN ZOTERO_ITEM CSL_CITATION {"citationID":"a22digocqec","properties":{"formattedCitation":"[278]","plainCitation":"[278]","noteIndex":0},"citationItems":[{"id":364,"uris":["http://zotero.org/users/16887523/items/M4FZ9XL9"],"itemData":{"id":364,"type":"article-journal","abstract":"Transparency in business practices is essential for sustainability, ensuring that resources are used responsibly and that environmental and social impacts are properly measured and monitored, allowing the end consumer to make informed purchasing decisions without feeling cheated. The Digital Product Passport (DPP) promotes transparency by providing detailed information about a product’s origin, composition, and life-cycle activities, enabling more sustainable and responsible choices. The implementation of the DPP for textile and clothing items faces many challenges due to the large number and diversity of companies involved in the value chain of these products, combined with the large amount and variability of information that needs to be collected. Therefore, the integration and standardization of data from these companies is one of the largest present challenges. In this article, we study the use of Machine Learning (ML) algorithms for validating, in a homogeneous way, the quality of the data submitted by each company for the implementation of the DPP. We have studied four solutions that, using datasets organized in different ways and using different ML algorithms, enable selecting the solution that best suits each particular situation.","container-title":"Applied Sciences","DOI":"10.3390/app151810259","ISSN":"2076-3417","issue":"18","journalAbbreviation":"Applied Sciences","language":"en","page":"10259","source":"DOI.org (Crossref)","title":"Machine Learning-Based Data Quality Assessment for the Textile and Clothing Digital Product Passport","URL":"https://www.mdpi.com/2076-3417/15/18/10259","volume":"15","author":[{"family":"Cruz","given":"Estrela Ferreira"},{"family":"Silva","given":"Pedro"},{"family":"Serra","given":"Sérgio"},{"family":"Rodrigues","given":"Rodrigo"},{"family":"Alves","given":"Marcelo"},{"family":"Oliveira","given":"João"},{"family":"Rosado Da Cruz","given":"António M."}],"accessed":{"date-parts":[["2025",11,30]]},"issued":{"date-parts":[["2025",9,20]]}}}],"schema":"https://github.com/citation-style-language/schema/raw/master/csl-citation.json"} </w:instrText>
      </w:r>
      <w:r w:rsidR="00E77B79">
        <w:rPr>
          <w:rFonts w:ascii="Times New Roman" w:hAnsi="Times New Roman" w:cs="Times New Roman"/>
          <w:sz w:val="28"/>
          <w:szCs w:val="28"/>
          <w:lang w:val="en-US"/>
        </w:rPr>
        <w:fldChar w:fldCharType="separate"/>
      </w:r>
      <w:r w:rsidR="00AE44BA" w:rsidRPr="00AE44BA">
        <w:rPr>
          <w:rFonts w:ascii="Times New Roman" w:hAnsi="Times New Roman" w:cs="Times New Roman"/>
          <w:sz w:val="28"/>
        </w:rPr>
        <w:t>[278]</w:t>
      </w:r>
      <w:r w:rsidR="00E77B79">
        <w:rPr>
          <w:rFonts w:ascii="Times New Roman" w:hAnsi="Times New Roman" w:cs="Times New Roman"/>
          <w:sz w:val="28"/>
          <w:szCs w:val="28"/>
          <w:lang w:val="en-US"/>
        </w:rPr>
        <w:fldChar w:fldCharType="end"/>
      </w:r>
      <w:r w:rsidRPr="002F33D0">
        <w:rPr>
          <w:rFonts w:ascii="Times New Roman" w:hAnsi="Times New Roman" w:cs="Times New Roman"/>
          <w:sz w:val="28"/>
          <w:szCs w:val="28"/>
        </w:rPr>
        <w:t>;</w:t>
      </w:r>
    </w:p>
    <w:p w14:paraId="236F5B19" w14:textId="77EB5E6B" w:rsidR="002F33D0" w:rsidRPr="002F33D0" w:rsidRDefault="002F33D0" w:rsidP="007F5E68">
      <w:pPr>
        <w:pStyle w:val="a3"/>
        <w:numPr>
          <w:ilvl w:val="0"/>
          <w:numId w:val="34"/>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недостаточная согласованность интеграций между ведомствами</w:t>
      </w:r>
      <w:r w:rsidR="00E77B79" w:rsidRPr="00E77B79">
        <w:rPr>
          <w:rFonts w:ascii="Times New Roman" w:hAnsi="Times New Roman" w:cs="Times New Roman"/>
          <w:sz w:val="28"/>
          <w:szCs w:val="28"/>
        </w:rPr>
        <w:t xml:space="preserve"> </w:t>
      </w:r>
      <w:r w:rsidR="00E77B79">
        <w:rPr>
          <w:rFonts w:ascii="Times New Roman" w:hAnsi="Times New Roman" w:cs="Times New Roman"/>
          <w:sz w:val="28"/>
          <w:szCs w:val="28"/>
          <w:lang w:val="en-US"/>
        </w:rPr>
        <w:fldChar w:fldCharType="begin"/>
      </w:r>
      <w:r w:rsidR="00AE44BA">
        <w:rPr>
          <w:rFonts w:ascii="Times New Roman" w:hAnsi="Times New Roman" w:cs="Times New Roman"/>
          <w:sz w:val="28"/>
          <w:szCs w:val="28"/>
        </w:rPr>
        <w:instrText xml:space="preserve"> ADDIN ZOTERO_ITEM CSL_CITATION {"citationID":"a1mu3m49ggp","properties":{"formattedCitation":"[279]","plainCitation":"[279]","noteIndex":0},"citationItems":[{"id":365,"uris":["http://zotero.org/users/16887523/items/6FX59543"],"itemData":{"id":365,"type":"article-journal","abstract":"In the strategic context of developing new quality productive forces, the integration of digital economy and real economy has become the core path to promote high-quality development. As a pioneer area in the construction of “Digital China”, the integration practice of Fujian Province is of typical significance. The purpose of this paper is to reveal the non-equilibrium evolution mechanism of digital integration between leading enterprises and small and medium-sized enterprises (SMEs), and to solve the problem of industrial digital divide. Comprehensively applying case study method, comparative analysis method and policy text analysis, this paper selects leading enterprises such as Contemporary Amperex Technology Co.,Ltd., Anta and traditional manufacturing SMEs as research objects, and systematically analyzes the micro-paths and macro-barriers of digital integration by combining the policy documents of Fujian Province and field data. The study proposes a three-in-one integration support framework of “chain leader - small, fast, light and accurate - transformation coupon”, emphasizing that the role of the government should be shifted from a resource provider to an ecological enabler; introduces the perspective of “new type of production relationship”, highlighting the systemic and institutional barriers to the integration. It also introduces the perspective of “new type of production relationship”, highlighting the key role of institutional innovation and cross-strait collaboration in fostering new productive forces. Fujian Province is characterized by a “dual structure”: leading enterprises have achieved productivity leap through extreme manufacturing and green transformation, while SMEs generally face the dilemma of “not daring to switch, not wanting to switch, and not knowing how to switch”. The solution lies in the construction of a dynamic ecosystem with chain master as the traction, service platform as the carrier, and institutional innovation as the guarantee, so as to promote the development of integration in the direction of wider, deeper and greener.","container-title":"Financial Economics Research","DOI":"10.70267/fer.250203.1836","ISSN":"3006-3663, 3006-3655","issue":"3","journalAbbreviation":"FER","license":"https://creativecommons.org/licenses/by/4.0","page":"18-36","source":"DOI.org (Crossref)","title":"Research on the Integration and Development of Digital Economy and Real Economy under the Perspective of New Quality Productive Forces—Taking Fujian Province as an Example","URL":"https://journals.zeuspress.org/index.php/FER/article/view/317","volume":"2","author":[{"family":"Zou","given":"Xinran"}],"accessed":{"date-parts":[["2025",11,30]]},"issued":{"date-parts":[["2025",9,15]]}}}],"schema":"https://github.com/citation-style-language/schema/raw/master/csl-citation.json"} </w:instrText>
      </w:r>
      <w:r w:rsidR="00E77B79">
        <w:rPr>
          <w:rFonts w:ascii="Times New Roman" w:hAnsi="Times New Roman" w:cs="Times New Roman"/>
          <w:sz w:val="28"/>
          <w:szCs w:val="28"/>
          <w:lang w:val="en-US"/>
        </w:rPr>
        <w:fldChar w:fldCharType="separate"/>
      </w:r>
      <w:r w:rsidR="00AE44BA" w:rsidRPr="00AE44BA">
        <w:rPr>
          <w:rFonts w:ascii="Times New Roman" w:hAnsi="Times New Roman" w:cs="Times New Roman"/>
          <w:sz w:val="28"/>
        </w:rPr>
        <w:t>[279]</w:t>
      </w:r>
      <w:r w:rsidR="00E77B79">
        <w:rPr>
          <w:rFonts w:ascii="Times New Roman" w:hAnsi="Times New Roman" w:cs="Times New Roman"/>
          <w:sz w:val="28"/>
          <w:szCs w:val="28"/>
          <w:lang w:val="en-US"/>
        </w:rPr>
        <w:fldChar w:fldCharType="end"/>
      </w:r>
      <w:r w:rsidRPr="002F33D0">
        <w:rPr>
          <w:rFonts w:ascii="Times New Roman" w:hAnsi="Times New Roman" w:cs="Times New Roman"/>
          <w:sz w:val="28"/>
          <w:szCs w:val="28"/>
        </w:rPr>
        <w:t>;</w:t>
      </w:r>
    </w:p>
    <w:p w14:paraId="02068CA7" w14:textId="79961755" w:rsidR="002F33D0" w:rsidRPr="002F33D0" w:rsidRDefault="002F33D0" w:rsidP="007F5E68">
      <w:pPr>
        <w:pStyle w:val="a3"/>
        <w:numPr>
          <w:ilvl w:val="0"/>
          <w:numId w:val="34"/>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t>кадровый дефицит в сфере аналитики и цифровых технологий</w:t>
      </w:r>
      <w:r w:rsidR="00E77B79" w:rsidRPr="00E77B79">
        <w:rPr>
          <w:rFonts w:ascii="Times New Roman" w:hAnsi="Times New Roman" w:cs="Times New Roman"/>
          <w:sz w:val="28"/>
          <w:szCs w:val="28"/>
        </w:rPr>
        <w:t xml:space="preserve"> </w:t>
      </w:r>
      <w:r w:rsidR="00E77B79">
        <w:rPr>
          <w:rFonts w:ascii="Times New Roman" w:hAnsi="Times New Roman" w:cs="Times New Roman"/>
          <w:sz w:val="28"/>
          <w:szCs w:val="28"/>
          <w:lang w:val="en-US"/>
        </w:rPr>
        <w:fldChar w:fldCharType="begin"/>
      </w:r>
      <w:r w:rsidR="00AE44BA">
        <w:rPr>
          <w:rFonts w:ascii="Times New Roman" w:hAnsi="Times New Roman" w:cs="Times New Roman"/>
          <w:sz w:val="28"/>
          <w:szCs w:val="28"/>
        </w:rPr>
        <w:instrText xml:space="preserve"> ADDIN ZOTERO_ITEM CSL_CITATION {"citationID":"a25h2e3832p","properties":{"formattedCitation":"[280]","plainCitation":"[280]","noteIndex":0},"citationItems":[{"id":366,"uris":["http://zotero.org/users/16887523/items/UUFM3XPN"],"itemData":{"id":366,"type":"article-journal","abstract":"This research presents the development of a digital analytics platform for educational services quality management based on the R Shiny framework, specifically designed to provide interactive visualization of academic data and robust support for evidence-based decision-making processes in Ukrainian higher education institutions. The system employs a carefully designed modular architecture incorporating six primary analytical modules that enable comprehensive monitoring of critical educational metrics, including learning quality indicators, student success rates, and attendance patterns, while accounting for the unique characteristics of the Ukrainian national assessment system and state-funded and contract-based funding. The platform facilitates comparative analysis across academic specialties, student groups, individual subjects, and funding types through statistical methodologies that ensure accurate interpretation of performance metrics regardless of group size variations. Interactive visualizations enhanced with detailed tooltip functionality enable educational administrators to identify academic achievement trends, detect performance anomalies, and pinpoint problematic areas within the educational process requiring immediate intervention. The system architecture supports seamless data export capabilities to standard formats, including CSV and Excel, provides automatic indicator updates, and ensures cross-platform compatibility through web-based accessibility. Comprehensive validation testing demonstrates the platform's effectiveness in improving educational quality management processes, including a significant reduction in analysis time compared to traditional manual approaches, substantial cost savings by eliminating expensive commercial analytical software licensing requirements, and enhanced accessibility to advanced analytics capabilities for institutions with limited technical resources. The open-source nature of the solution promotes transparency, reproducibility, and widespread adoption across diverse educational contexts while maintaining high standards of data security and system reliability essential for handling sensitive academic information.","container-title":"Economic scope","DOI":"10.30838/EP.204.363-370","ISSN":"2224-6290, 2224-6282","issue":"204","journalAbbreviation":"ES","page":"363-370","source":"DOI.org (Crossref)","title":"DIGITAL ANALYTICS PLATFORM FOR EDUCATIONAL SERVICES QUALITY MANAGEMENT IN HIGHER EDUCATION INSTITUTIONS","URL":"http://economicspace.pgasa.dp.ua/article/view/339257","author":[{"family":"Yaroshenko","given":"Olena"},{"family":"Verstiak","given":"Andrii"},{"family":"Skrashchuk","given":"Larysa"},{"family":"Makhanets","given":"Liubov"}],"accessed":{"date-parts":[["2025",11,30]]},"issued":{"date-parts":[["2025",9,15]]}}}],"schema":"https://github.com/citation-style-language/schema/raw/master/csl-citation.json"} </w:instrText>
      </w:r>
      <w:r w:rsidR="00E77B79">
        <w:rPr>
          <w:rFonts w:ascii="Times New Roman" w:hAnsi="Times New Roman" w:cs="Times New Roman"/>
          <w:sz w:val="28"/>
          <w:szCs w:val="28"/>
          <w:lang w:val="en-US"/>
        </w:rPr>
        <w:fldChar w:fldCharType="separate"/>
      </w:r>
      <w:r w:rsidR="00AE44BA" w:rsidRPr="00AE44BA">
        <w:rPr>
          <w:rFonts w:ascii="Times New Roman" w:hAnsi="Times New Roman" w:cs="Times New Roman"/>
          <w:sz w:val="28"/>
        </w:rPr>
        <w:t>[280]</w:t>
      </w:r>
      <w:r w:rsidR="00E77B79">
        <w:rPr>
          <w:rFonts w:ascii="Times New Roman" w:hAnsi="Times New Roman" w:cs="Times New Roman"/>
          <w:sz w:val="28"/>
          <w:szCs w:val="28"/>
          <w:lang w:val="en-US"/>
        </w:rPr>
        <w:fldChar w:fldCharType="end"/>
      </w:r>
      <w:r w:rsidRPr="002F33D0">
        <w:rPr>
          <w:rFonts w:ascii="Times New Roman" w:hAnsi="Times New Roman" w:cs="Times New Roman"/>
          <w:sz w:val="28"/>
          <w:szCs w:val="28"/>
        </w:rPr>
        <w:t>;</w:t>
      </w:r>
    </w:p>
    <w:p w14:paraId="504E897B" w14:textId="45302C6D" w:rsidR="002F33D0" w:rsidRPr="002F33D0" w:rsidRDefault="002F33D0" w:rsidP="007F5E68">
      <w:pPr>
        <w:pStyle w:val="a3"/>
        <w:numPr>
          <w:ilvl w:val="0"/>
          <w:numId w:val="34"/>
        </w:numPr>
        <w:tabs>
          <w:tab w:val="left" w:pos="851"/>
        </w:tabs>
        <w:spacing w:after="0" w:line="240" w:lineRule="auto"/>
        <w:ind w:left="0" w:firstLine="567"/>
        <w:jc w:val="both"/>
        <w:rPr>
          <w:rFonts w:ascii="Times New Roman" w:hAnsi="Times New Roman" w:cs="Times New Roman"/>
          <w:sz w:val="28"/>
          <w:szCs w:val="28"/>
        </w:rPr>
      </w:pPr>
      <w:r w:rsidRPr="002F33D0">
        <w:rPr>
          <w:rFonts w:ascii="Times New Roman" w:hAnsi="Times New Roman" w:cs="Times New Roman"/>
          <w:sz w:val="28"/>
          <w:szCs w:val="28"/>
        </w:rPr>
        <w:lastRenderedPageBreak/>
        <w:t>финансовые ограничения МСП при внедрении цифровых решений</w:t>
      </w:r>
      <w:r w:rsidR="00E77B79" w:rsidRPr="00E77B79">
        <w:rPr>
          <w:rFonts w:ascii="Times New Roman" w:hAnsi="Times New Roman" w:cs="Times New Roman"/>
          <w:sz w:val="28"/>
          <w:szCs w:val="28"/>
        </w:rPr>
        <w:t xml:space="preserve"> </w:t>
      </w:r>
      <w:r w:rsidR="00E77B79">
        <w:rPr>
          <w:rFonts w:ascii="Times New Roman" w:hAnsi="Times New Roman" w:cs="Times New Roman"/>
          <w:sz w:val="28"/>
          <w:szCs w:val="28"/>
        </w:rPr>
        <w:fldChar w:fldCharType="begin"/>
      </w:r>
      <w:r w:rsidR="00AE44BA">
        <w:rPr>
          <w:rFonts w:ascii="Times New Roman" w:hAnsi="Times New Roman" w:cs="Times New Roman"/>
          <w:sz w:val="28"/>
          <w:szCs w:val="28"/>
        </w:rPr>
        <w:instrText xml:space="preserve"> ADDIN ZOTERO_ITEM CSL_CITATION {"citationID":"a268kpo8c87","properties":{"formattedCitation":"[281]","plainCitation":"[281]","noteIndex":0},"citationItems":[{"id":367,"uris":["http://zotero.org/users/16887523/items/YDRYWYLY"],"itemData":{"id":367,"type":"article-journal","abstract":"In today's new trend of digital economy, digital transformation of enterprises is necessary in order to cope with the changes in the external sales environment as well as to facilitate the sustainable development of enterprises. With machine intelligence, connected devices, and large-scale data analytics as core diversthe digital economy has become a new engine for economic growth in all countries, systematically transforming business models, operational processes, organizational structures, information security and customer experience to improve efficiency, innovate business models and enhance competitiveness. With reference to studies on Small and Medium Enterprises (SMEs) digital transformation across domestic and foreign researchthis paper systematically analyzes the core dilemmas faced by enterprises (especially SMEs) in digital transformation, including insufficient technological capabilities, organizational execution barriers, and lack of capital. Through case comparisons and theoretical integration, it proposes a layered path to crack the problem, implementing the transformation in phases, cooperating and sharing resources among enterprises, and relying on policy and financial support, and so on. This study provides systematic references and solutions for enterprises' transformation practices in the age of digital economy, aiming to promote SMEs to accelerate the pace of digital transformation.","container-title":"Advances in Economics, Management and Political Sciences","DOI":"10.54254/2754-1169/2025.GL26929","ISSN":"2754-1169, 2754-1177","issue":"1","journalAbbreviation":"AEMPS","page":"50-56","source":"DOI.org (Crossref)","title":"The Core Dilemma and the Path of Enterprise Digital Transformation","URL":"https://www.ewadirect.com/proceedings/aemps/article/view/26929","volume":"216","author":[{"family":"Liu","given":"Jia"}],"accessed":{"date-parts":[["2025",11,30]]},"issued":{"date-parts":[["2025",9,16]]}}}],"schema":"https://github.com/citation-style-language/schema/raw/master/csl-citation.json"} </w:instrText>
      </w:r>
      <w:r w:rsidR="00E77B79">
        <w:rPr>
          <w:rFonts w:ascii="Times New Roman" w:hAnsi="Times New Roman" w:cs="Times New Roman"/>
          <w:sz w:val="28"/>
          <w:szCs w:val="28"/>
        </w:rPr>
        <w:fldChar w:fldCharType="separate"/>
      </w:r>
      <w:r w:rsidR="00AE44BA" w:rsidRPr="00AE44BA">
        <w:rPr>
          <w:rFonts w:ascii="Times New Roman" w:hAnsi="Times New Roman" w:cs="Times New Roman"/>
          <w:sz w:val="28"/>
        </w:rPr>
        <w:t>[281]</w:t>
      </w:r>
      <w:r w:rsidR="00E77B79">
        <w:rPr>
          <w:rFonts w:ascii="Times New Roman" w:hAnsi="Times New Roman" w:cs="Times New Roman"/>
          <w:sz w:val="28"/>
          <w:szCs w:val="28"/>
        </w:rPr>
        <w:fldChar w:fldCharType="end"/>
      </w:r>
      <w:r w:rsidRPr="002F33D0">
        <w:rPr>
          <w:rFonts w:ascii="Times New Roman" w:hAnsi="Times New Roman" w:cs="Times New Roman"/>
          <w:sz w:val="28"/>
          <w:szCs w:val="28"/>
        </w:rPr>
        <w:t>.</w:t>
      </w:r>
    </w:p>
    <w:p w14:paraId="6FFD10F8" w14:textId="77777777"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Предложенная многоуровневая модель внедрения позволяет минимизировать данные риски за счёт пилотного тестирования, обучения пользователей и институциональной поддержки.</w:t>
      </w:r>
    </w:p>
    <w:p w14:paraId="5A80F067" w14:textId="77777777"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t>Таким образом, цифровая платформа</w:t>
      </w:r>
      <w:r w:rsidRPr="002F33D0">
        <w:rPr>
          <w:rFonts w:ascii="Times New Roman" w:hAnsi="Times New Roman" w:cs="Times New Roman"/>
          <w:sz w:val="28"/>
          <w:szCs w:val="28"/>
          <w:lang w:val="kk-KZ"/>
        </w:rPr>
        <w:t xml:space="preserve"> инновационного потенциала</w:t>
      </w:r>
      <w:r w:rsidRPr="002F33D0">
        <w:rPr>
          <w:rFonts w:ascii="Times New Roman" w:hAnsi="Times New Roman" w:cs="Times New Roman"/>
          <w:sz w:val="28"/>
          <w:szCs w:val="28"/>
        </w:rPr>
        <w:t xml:space="preserve"> обеспечивает полнофункциональный цикл управления инновационным потенциалом – от диагностики и визуализации до проектирования направлений развития. Её использование способствует снижению институционального неравенства, расширению участия МСП в инновационных программах, повышению цифровой зрелости и созданию национальной экосистемы инновационного развития.</w:t>
      </w:r>
    </w:p>
    <w:p w14:paraId="1F93986E" w14:textId="77777777" w:rsidR="002F33D0" w:rsidRPr="002F33D0" w:rsidRDefault="002F33D0" w:rsidP="0052009A">
      <w:pPr>
        <w:tabs>
          <w:tab w:val="left" w:pos="851"/>
        </w:tabs>
        <w:spacing w:after="0" w:line="240" w:lineRule="auto"/>
        <w:ind w:firstLine="567"/>
        <w:jc w:val="both"/>
        <w:rPr>
          <w:rFonts w:ascii="Times New Roman" w:hAnsi="Times New Roman" w:cs="Times New Roman"/>
          <w:b/>
          <w:sz w:val="28"/>
          <w:szCs w:val="28"/>
        </w:rPr>
      </w:pPr>
      <w:r w:rsidRPr="002F33D0">
        <w:rPr>
          <w:rFonts w:ascii="Times New Roman" w:hAnsi="Times New Roman" w:cs="Times New Roman"/>
          <w:b/>
          <w:sz w:val="28"/>
          <w:szCs w:val="28"/>
        </w:rPr>
        <w:t>3.3.5 Сводная матрица адресных рекомендаций по проектированию инновационного потенциала</w:t>
      </w:r>
    </w:p>
    <w:p w14:paraId="2C252364" w14:textId="77777777" w:rsidR="008E2AA2" w:rsidRPr="008E2AA2" w:rsidRDefault="008E2AA2" w:rsidP="008E2AA2">
      <w:pPr>
        <w:spacing w:after="0" w:line="240" w:lineRule="auto"/>
        <w:ind w:firstLine="567"/>
        <w:jc w:val="both"/>
        <w:rPr>
          <w:rFonts w:ascii="Times New Roman" w:hAnsi="Times New Roman" w:cs="Times New Roman"/>
          <w:sz w:val="28"/>
          <w:szCs w:val="28"/>
        </w:rPr>
      </w:pPr>
      <w:r w:rsidRPr="008E2AA2">
        <w:rPr>
          <w:rFonts w:ascii="Times New Roman" w:hAnsi="Times New Roman" w:cs="Times New Roman"/>
          <w:sz w:val="28"/>
          <w:szCs w:val="28"/>
        </w:rPr>
        <w:t>Полученные системные результаты диагностики инновационного потенциала формируют методологическую основу для перехода к проектной части исследования, где приоритетной задачей становится разработка адресных управленческих решений, направленных на укрепление ресурсных и процессных компонентов инновационной деятельности. Проведённый анализ позволил выявить ключевые структурные особенности ресурсных блоков, степень их включённости в инновационные процессы, а также критические зоны, ограничивающие потенциал предприятий на различных стадиях инновационного цикла. Это создало условия для формулирования дифференцированных рекомендаций, учитывающих специфику масштабов бизнеса, уровень цифровой зрелости и институциональное окружение предпринимательских структур.</w:t>
      </w:r>
    </w:p>
    <w:p w14:paraId="45472F90" w14:textId="77777777" w:rsidR="008E2AA2" w:rsidRPr="008E2AA2" w:rsidRDefault="008E2AA2" w:rsidP="008E2AA2">
      <w:pPr>
        <w:spacing w:after="0" w:line="240" w:lineRule="auto"/>
        <w:ind w:firstLine="567"/>
        <w:jc w:val="both"/>
        <w:rPr>
          <w:rFonts w:ascii="Times New Roman" w:hAnsi="Times New Roman" w:cs="Times New Roman"/>
          <w:sz w:val="28"/>
          <w:szCs w:val="28"/>
        </w:rPr>
      </w:pPr>
      <w:r w:rsidRPr="008E2AA2">
        <w:rPr>
          <w:rFonts w:ascii="Times New Roman" w:hAnsi="Times New Roman" w:cs="Times New Roman"/>
          <w:sz w:val="28"/>
          <w:szCs w:val="28"/>
        </w:rPr>
        <w:t>Предлагаемая сводная матрица рекомендаций опирается на ресурсно-процессный подход, результаты эконометрического взвешивания и межгруппового SEM-анализа, что обеспечивает комплексное понимание взаимосвязи между накопленными ресурсами и процессной динамикой инновационной деятельности. Такой подход позволяет рассматривать инновационный потенциал не как статичную совокупность разрозненных элементов, а как целостную, динамически развивающуюся систему, эффективность которой определяется согласованностью ресурсных компонентов на этапах формирования, реализации и воспроизводства инноваций. Включение в проектную часть β-весов факторов, подтверждённых структурным моделированием, усиливает практическую значимость предложенных управленческих мер и позволяет очертить конкретные «точки приложения» для повышения инновационной активности предприятий.</w:t>
      </w:r>
    </w:p>
    <w:p w14:paraId="1676E73B" w14:textId="77777777" w:rsidR="008E2AA2" w:rsidRPr="008E2AA2" w:rsidRDefault="008E2AA2" w:rsidP="008E2AA2">
      <w:pPr>
        <w:spacing w:after="0" w:line="240" w:lineRule="auto"/>
        <w:ind w:firstLine="567"/>
        <w:jc w:val="both"/>
        <w:rPr>
          <w:rFonts w:ascii="Times New Roman" w:hAnsi="Times New Roman" w:cs="Times New Roman"/>
          <w:sz w:val="28"/>
          <w:szCs w:val="28"/>
        </w:rPr>
      </w:pPr>
      <w:r w:rsidRPr="008E2AA2">
        <w:rPr>
          <w:rFonts w:ascii="Times New Roman" w:hAnsi="Times New Roman" w:cs="Times New Roman"/>
          <w:sz w:val="28"/>
          <w:szCs w:val="28"/>
        </w:rPr>
        <w:t xml:space="preserve">Особое значение при проектировании рекомендаций имеет установленная в ходе SEM-анализа медиирующая роль цифровой адаптации. Для малых и средних предприятий цифровая зрелость выступает ключевым компенсаторным механизмом, позволяющим минимизировать ресурсные ограничения и расширять возможности для внедрения инноваций. Для </w:t>
      </w:r>
      <w:r w:rsidRPr="008E2AA2">
        <w:rPr>
          <w:rFonts w:ascii="Times New Roman" w:hAnsi="Times New Roman" w:cs="Times New Roman"/>
          <w:sz w:val="28"/>
          <w:szCs w:val="28"/>
        </w:rPr>
        <w:lastRenderedPageBreak/>
        <w:t>крупных предприятий, напротив, приоритет смещается в сторону оптимизации управленческих, кадровых и инфраструктурных решений, что отражает сложность организационных структур и необходимость системного управления инновационными процессами. Дифференциация проектных мер по размерам предприятий делает рекомендации практикоориентированными, адаптивными и применимыми к широкому спектру организационных условий.</w:t>
      </w:r>
    </w:p>
    <w:p w14:paraId="6B2E48C0" w14:textId="40D5DAEE" w:rsidR="008E2AA2" w:rsidRPr="008E2AA2" w:rsidRDefault="008E2AA2" w:rsidP="008E2AA2">
      <w:pPr>
        <w:spacing w:after="0" w:line="240" w:lineRule="auto"/>
        <w:ind w:firstLine="567"/>
        <w:jc w:val="both"/>
        <w:rPr>
          <w:rFonts w:ascii="Times New Roman" w:hAnsi="Times New Roman" w:cs="Times New Roman"/>
          <w:sz w:val="28"/>
          <w:szCs w:val="28"/>
        </w:rPr>
      </w:pPr>
      <w:r w:rsidRPr="008E2AA2">
        <w:rPr>
          <w:rFonts w:ascii="Times New Roman" w:hAnsi="Times New Roman" w:cs="Times New Roman"/>
          <w:sz w:val="28"/>
          <w:szCs w:val="28"/>
        </w:rPr>
        <w:t>Сводная матрица рекомендаций аккумулирует результаты анализа и направлена на формирование согласованной системы управленческих действий. Систематизация проектных решений по двум взаимосвязанным измерениям – ресурсным компонентам инновационного потенциала и процессным стадиям инновационной деятельности – позволяет выстраивать индивидуальные траектории развития, которые учитывают, как текущие барьеры, так и потенциальные драйверы инновационного роста. Такое структурирование обеспечивает предприятиям возможность гибкой адаптации к условиям цифровой трансформации и формирует основу для долгосрочной устойчивости инновационных процессов.</w:t>
      </w:r>
    </w:p>
    <w:p w14:paraId="42FEC4D7" w14:textId="77777777" w:rsidR="005129E8" w:rsidRDefault="008E2AA2" w:rsidP="008E2AA2">
      <w:pPr>
        <w:spacing w:after="0" w:line="240" w:lineRule="auto"/>
        <w:ind w:firstLine="567"/>
        <w:jc w:val="both"/>
        <w:rPr>
          <w:rFonts w:ascii="Times New Roman" w:hAnsi="Times New Roman" w:cs="Times New Roman"/>
          <w:sz w:val="28"/>
          <w:szCs w:val="28"/>
        </w:rPr>
      </w:pPr>
      <w:r w:rsidRPr="008E2AA2">
        <w:rPr>
          <w:rFonts w:ascii="Times New Roman" w:hAnsi="Times New Roman" w:cs="Times New Roman"/>
          <w:sz w:val="28"/>
          <w:szCs w:val="28"/>
        </w:rPr>
        <w:t xml:space="preserve">Представленная далее </w:t>
      </w:r>
      <w:r>
        <w:rPr>
          <w:rFonts w:ascii="Times New Roman" w:hAnsi="Times New Roman" w:cs="Times New Roman"/>
          <w:sz w:val="28"/>
          <w:szCs w:val="28"/>
          <w:lang w:val="kk-KZ"/>
        </w:rPr>
        <w:t>т</w:t>
      </w:r>
      <w:r w:rsidRPr="008E2AA2">
        <w:rPr>
          <w:rFonts w:ascii="Times New Roman" w:hAnsi="Times New Roman" w:cs="Times New Roman"/>
          <w:sz w:val="28"/>
          <w:szCs w:val="28"/>
        </w:rPr>
        <w:t>аблица 39 суммирует ключевые направления проектирования инновационного потенциала, интегрируя ресурсные характеристики, β-веса значимых факторов и процессные приоритеты. Она служит инструментом, позволяющим трансформировать диагностические результаты в конкретные управленческие решения, ориентированные на повышение инновационной активности предпринимательских структур.</w:t>
      </w:r>
    </w:p>
    <w:p w14:paraId="1F9F4EF1" w14:textId="77777777" w:rsidR="005129E8" w:rsidRDefault="005129E8" w:rsidP="005129E8">
      <w:pPr>
        <w:tabs>
          <w:tab w:val="left" w:pos="851"/>
        </w:tabs>
        <w:spacing w:after="0" w:line="240" w:lineRule="auto"/>
        <w:ind w:firstLine="567"/>
        <w:jc w:val="both"/>
        <w:rPr>
          <w:rFonts w:ascii="Times New Roman" w:hAnsi="Times New Roman" w:cs="Times New Roman"/>
          <w:sz w:val="28"/>
          <w:szCs w:val="28"/>
          <w:lang w:val="kk-KZ"/>
        </w:rPr>
      </w:pPr>
      <w:r w:rsidRPr="008B2B16">
        <w:rPr>
          <w:rFonts w:ascii="Times New Roman" w:hAnsi="Times New Roman" w:cs="Times New Roman"/>
          <w:sz w:val="28"/>
          <w:szCs w:val="28"/>
          <w:lang w:val="kk-KZ"/>
        </w:rPr>
        <w:t>Представленная система приоритетов и сводная таблица рекомендаций отражают прикладную реализацию разработанной методологии проектирования инновационного потенциала предпринимательских структур. Вместе с тем потенциал данной методологии не исчерпывается анализом по размерности предприятий, использованным в настоящем исследовании.</w:t>
      </w:r>
    </w:p>
    <w:p w14:paraId="22E1E774" w14:textId="77777777" w:rsidR="005129E8" w:rsidRDefault="005129E8" w:rsidP="005129E8">
      <w:pPr>
        <w:spacing w:after="0" w:line="240" w:lineRule="auto"/>
        <w:ind w:firstLine="567"/>
        <w:jc w:val="both"/>
        <w:rPr>
          <w:rFonts w:ascii="Times New Roman" w:hAnsi="Times New Roman" w:cs="Times New Roman"/>
          <w:sz w:val="28"/>
          <w:szCs w:val="28"/>
        </w:rPr>
      </w:pPr>
      <w:r w:rsidRPr="008B2B16">
        <w:rPr>
          <w:rFonts w:ascii="Times New Roman" w:hAnsi="Times New Roman" w:cs="Times New Roman"/>
          <w:sz w:val="28"/>
          <w:szCs w:val="28"/>
        </w:rPr>
        <w:t>В рамках диссертационного исследования в качестве базового критерия дифференциации была выбрана размерность предприятий, поскольку независимо от отраслевой принадлежности предпринимательские структуры обладают сходной архитектурой инновационного потенциала, включающей управленческие, технологические, финансовые, кадровые и культурные компоненты, а также сталкиваются с сопоставимыми вызовами цифровой адаптации.</w:t>
      </w:r>
    </w:p>
    <w:p w14:paraId="3825D03A" w14:textId="77777777" w:rsidR="005129E8" w:rsidRDefault="005129E8" w:rsidP="005129E8">
      <w:pPr>
        <w:tabs>
          <w:tab w:val="left" w:pos="851"/>
        </w:tabs>
        <w:spacing w:after="0" w:line="240" w:lineRule="auto"/>
        <w:ind w:firstLine="567"/>
        <w:jc w:val="both"/>
        <w:rPr>
          <w:rFonts w:ascii="Times New Roman" w:hAnsi="Times New Roman" w:cs="Times New Roman"/>
          <w:sz w:val="28"/>
          <w:szCs w:val="28"/>
        </w:rPr>
      </w:pPr>
      <w:r w:rsidRPr="008B2B16">
        <w:rPr>
          <w:rFonts w:ascii="Times New Roman" w:hAnsi="Times New Roman" w:cs="Times New Roman"/>
          <w:sz w:val="28"/>
          <w:szCs w:val="28"/>
        </w:rPr>
        <w:t>При этом предложенная методология проектирования инновационного потенциала допускает отраслевую адаптацию. В частности, аналогичный аналитический алгоритм может быть применён к отдельным секторам экономики путём проведения отраслевого структурного моделирования с последующим определением специфических β-весов для каждого блока инновационного потенциала.</w:t>
      </w:r>
    </w:p>
    <w:p w14:paraId="2741B1F3" w14:textId="443791D1" w:rsidR="002F33D0" w:rsidRPr="002F33D0" w:rsidRDefault="002F33D0" w:rsidP="005129E8">
      <w:pPr>
        <w:spacing w:after="0" w:line="240" w:lineRule="auto"/>
        <w:ind w:firstLine="567"/>
        <w:jc w:val="both"/>
        <w:rPr>
          <w:rFonts w:ascii="Times New Roman" w:hAnsi="Times New Roman" w:cs="Times New Roman"/>
          <w:sz w:val="28"/>
          <w:szCs w:val="28"/>
        </w:rPr>
      </w:pPr>
      <w:r w:rsidRPr="002F33D0">
        <w:rPr>
          <w:rFonts w:ascii="Times New Roman" w:hAnsi="Times New Roman" w:cs="Times New Roman"/>
          <w:sz w:val="28"/>
          <w:szCs w:val="28"/>
        </w:rPr>
        <w:br w:type="page"/>
      </w:r>
    </w:p>
    <w:p w14:paraId="1E547A0A" w14:textId="77777777" w:rsidR="002F33D0" w:rsidRPr="002F33D0" w:rsidRDefault="002F33D0" w:rsidP="002F33D0">
      <w:pPr>
        <w:tabs>
          <w:tab w:val="left" w:pos="851"/>
        </w:tabs>
        <w:spacing w:after="0" w:line="240" w:lineRule="auto"/>
        <w:jc w:val="both"/>
        <w:rPr>
          <w:rFonts w:ascii="Times New Roman" w:hAnsi="Times New Roman" w:cs="Times New Roman"/>
          <w:sz w:val="28"/>
          <w:szCs w:val="28"/>
        </w:rPr>
        <w:sectPr w:rsidR="002F33D0" w:rsidRPr="002F33D0">
          <w:pgSz w:w="11906" w:h="16838"/>
          <w:pgMar w:top="1134" w:right="850" w:bottom="1134" w:left="1701" w:header="708" w:footer="708" w:gutter="0"/>
          <w:cols w:space="708"/>
          <w:docGrid w:linePitch="360"/>
        </w:sectPr>
      </w:pPr>
    </w:p>
    <w:p w14:paraId="29DAA568" w14:textId="580A90A5" w:rsidR="002F33D0" w:rsidRPr="002F33D0" w:rsidRDefault="00DE0CA6" w:rsidP="002F33D0">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Таблица 3</w:t>
      </w:r>
      <w:r>
        <w:rPr>
          <w:rFonts w:ascii="Times New Roman" w:hAnsi="Times New Roman" w:cs="Times New Roman"/>
          <w:sz w:val="28"/>
          <w:szCs w:val="28"/>
          <w:lang w:val="kk-KZ"/>
        </w:rPr>
        <w:t>9</w:t>
      </w:r>
      <w:r w:rsidR="002F33D0" w:rsidRPr="002F33D0">
        <w:rPr>
          <w:rFonts w:ascii="Times New Roman" w:hAnsi="Times New Roman" w:cs="Times New Roman"/>
          <w:sz w:val="28"/>
          <w:szCs w:val="28"/>
        </w:rPr>
        <w:t xml:space="preserve"> – Сводная матрица адресных рекомендаций с учётом критических зон инновационного потенциала</w:t>
      </w:r>
    </w:p>
    <w:p w14:paraId="44083D1B" w14:textId="382620C3" w:rsidR="002F33D0" w:rsidRPr="00DE0CA6" w:rsidRDefault="008C31B9" w:rsidP="002F33D0">
      <w:pPr>
        <w:tabs>
          <w:tab w:val="left" w:pos="851"/>
        </w:tabs>
        <w:spacing w:after="0" w:line="240" w:lineRule="auto"/>
        <w:ind w:firstLine="567"/>
        <w:jc w:val="both"/>
        <w:rPr>
          <w:rFonts w:ascii="Times New Roman" w:hAnsi="Times New Roman" w:cs="Times New Roman"/>
          <w:sz w:val="20"/>
          <w:szCs w:val="20"/>
        </w:rPr>
      </w:pPr>
      <w:r>
        <w:rPr>
          <w:rFonts w:ascii="Times New Roman" w:hAnsi="Times New Roman" w:cs="Times New Roman"/>
          <w:noProof/>
          <w:sz w:val="20"/>
          <w:szCs w:val="20"/>
          <w:lang w:eastAsia="ru-RU"/>
        </w:rPr>
        <mc:AlternateContent>
          <mc:Choice Requires="wps">
            <w:drawing>
              <wp:anchor distT="0" distB="0" distL="114300" distR="114300" simplePos="0" relativeHeight="251713536" behindDoc="0" locked="0" layoutInCell="1" allowOverlap="1" wp14:anchorId="29C3B42E" wp14:editId="23367812">
                <wp:simplePos x="0" y="0"/>
                <wp:positionH relativeFrom="column">
                  <wp:posOffset>-466808</wp:posOffset>
                </wp:positionH>
                <wp:positionV relativeFrom="paragraph">
                  <wp:posOffset>2179872</wp:posOffset>
                </wp:positionV>
                <wp:extent cx="565484" cy="276726"/>
                <wp:effectExtent l="0" t="0" r="0" b="0"/>
                <wp:wrapNone/>
                <wp:docPr id="178" name="Надпись 178"/>
                <wp:cNvGraphicFramePr/>
                <a:graphic xmlns:a="http://schemas.openxmlformats.org/drawingml/2006/main">
                  <a:graphicData uri="http://schemas.microsoft.com/office/word/2010/wordprocessingShape">
                    <wps:wsp>
                      <wps:cNvSpPr txBox="1"/>
                      <wps:spPr>
                        <a:xfrm rot="5400000">
                          <a:off x="0" y="0"/>
                          <a:ext cx="565484" cy="27672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D60C9E2" w14:textId="21F001BA" w:rsidR="001D4931" w:rsidRPr="008C31B9" w:rsidRDefault="001D4931" w:rsidP="008C31B9">
                            <w:pPr>
                              <w:jc w:val="center"/>
                              <w:rPr>
                                <w:rFonts w:ascii="Times New Roman" w:hAnsi="Times New Roman" w:cs="Times New Roman"/>
                                <w:color w:val="595959" w:themeColor="text1" w:themeTint="A6"/>
                                <w:lang w:val="kk-KZ"/>
                              </w:rPr>
                            </w:pPr>
                            <w:r w:rsidRPr="008C31B9">
                              <w:rPr>
                                <w:rFonts w:ascii="Times New Roman" w:hAnsi="Times New Roman" w:cs="Times New Roman"/>
                                <w:color w:val="595959" w:themeColor="text1" w:themeTint="A6"/>
                                <w:lang w:val="kk-KZ"/>
                              </w:rPr>
                              <w:t>155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C3B42E" id="Надпись 178" o:spid="_x0000_s1212" type="#_x0000_t202" style="position:absolute;left:0;text-align:left;margin-left:-36.75pt;margin-top:171.65pt;width:44.55pt;height:21.8pt;rotation:90;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imNnwIAAHMFAAAOAAAAZHJzL2Uyb0RvYy54bWysVM1uEzEQviPxDpbvdJMoPyXqpgqpgpCq&#10;tiJFPTteO1lhe4ztZDfcuPMKvAMHDtx4hfSNGHuzoRQuRexhZc/PZ8833/jsvNaKbIXzJZicdk86&#10;lAjDoSjNKqfvbucvTinxgZmCKTAipzvh6fnk+bOzyo5FD9agCuEIghg/rmxO1yHYcZZ5vhaa+ROw&#10;wqBTgtMs4NatssKxCtG1ynqdzjCrwBXWARfeo/WicdJJwpdS8HAtpReBqJzi3UL6u/Rfxn82OWPj&#10;lWN2XfLDNdg/3EKz0uChR6gLFhjZuPIPKF1yBx5kOOGgM5Cy5CLVgNV0O4+qWayZFakWJMfbI03+&#10;/8Hyq+2NI2WBvRthqwzT2KT9l/3X/bf9j/33+0/3n0n0IE+V9WMMX1hMCPUrqDGntXs0xvJr6TRx&#10;gDQP+p34JVKwTILRyP/uyLmoA+FoHAwH/dM+JRxdvdFw1BtGzKyBipDW+fBagCZxkVOHLU2gbHvp&#10;QxPahsRwA/NSqdRWZX4zIGa0ZLGO5r5pFXZKxDhl3gqJTKSLRoPnbrWcKUcauaCesYBWNAkME2Kg&#10;xAOfmHtIidkiqfSJ+cekdD6YcMzXpQGXCEozJGIBW4bqL96nbuHFZRPfUtEQELkI9bJOWjg9NnwJ&#10;xQ77nVqK5XvL5yX24ZL5cMMcjgoacfzDNf6kgiqncFhRsgb38W/2GI8KRi8lFY5eTv2HDXOCEvXG&#10;oLZfdvt9hA1p0x+MerhxDz3Lhx6z0TPA+rrpdmkZ44Nql9KBvsNXYhpPRRczHM/OaWiXs9B0GF8Z&#10;LqbTFITTaVm4NAvLI3SkOarstr5jzh6kGFDDV9AOKRs/UmQTGzMNTDcBZJnkGoluWD00ACc7Cf7w&#10;CsWn4+E+Rf16Kyc/AQAA//8DAFBLAwQUAAYACAAAACEA7bQSbeAAAAAKAQAADwAAAGRycy9kb3du&#10;cmV2LnhtbEyPQU7DMBBF90jcwRokdqmdQhMImVRQqSwgmxYO4MYmibDHUew0gdNjVrAc/af/35Tb&#10;xRp21qPvHSGkKwFMU+NUTy3C+9s+uQPmgyQljSON8KU9bKvLi1IWys100OdjaFksIV9IhC6EoeDc&#10;N5220q/coClmH260MsRzbLka5RzLreFrITJuZU9xoZOD3nW6+TxOFmGaXw3tXur6Ocu/D/u6Sevl&#10;KUW8vloeH4AFvYQ/GH71ozpU0enkJlKeGYRkI/KIItysxQZYJJI8BXZCuBX3GfCq5P9fqH4AAAD/&#10;/wMAUEsBAi0AFAAGAAgAAAAhALaDOJL+AAAA4QEAABMAAAAAAAAAAAAAAAAAAAAAAFtDb250ZW50&#10;X1R5cGVzXS54bWxQSwECLQAUAAYACAAAACEAOP0h/9YAAACUAQAACwAAAAAAAAAAAAAAAAAvAQAA&#10;X3JlbHMvLnJlbHNQSwECLQAUAAYACAAAACEAjKopjZ8CAABzBQAADgAAAAAAAAAAAAAAAAAuAgAA&#10;ZHJzL2Uyb0RvYy54bWxQSwECLQAUAAYACAAAACEA7bQSbeAAAAAKAQAADwAAAAAAAAAAAAAAAAD5&#10;BAAAZHJzL2Rvd25yZXYueG1sUEsFBgAAAAAEAAQA8wAAAAYGAAAAAA==&#10;" filled="f" stroked="f">
                <v:textbox>
                  <w:txbxContent>
                    <w:p w14:paraId="3D60C9E2" w14:textId="21F001BA" w:rsidR="001D4931" w:rsidRPr="008C31B9" w:rsidRDefault="001D4931" w:rsidP="008C31B9">
                      <w:pPr>
                        <w:jc w:val="center"/>
                        <w:rPr>
                          <w:rFonts w:ascii="Times New Roman" w:hAnsi="Times New Roman" w:cs="Times New Roman"/>
                          <w:color w:val="595959" w:themeColor="text1" w:themeTint="A6"/>
                          <w:lang w:val="kk-KZ"/>
                        </w:rPr>
                      </w:pPr>
                      <w:r w:rsidRPr="008C31B9">
                        <w:rPr>
                          <w:rFonts w:ascii="Times New Roman" w:hAnsi="Times New Roman" w:cs="Times New Roman"/>
                          <w:color w:val="595959" w:themeColor="text1" w:themeTint="A6"/>
                          <w:lang w:val="kk-KZ"/>
                        </w:rPr>
                        <w:t>155</w:t>
                      </w:r>
                    </w:p>
                  </w:txbxContent>
                </v:textbox>
              </v:shape>
            </w:pict>
          </mc:Fallback>
        </mc:AlternateContent>
      </w:r>
    </w:p>
    <w:tbl>
      <w:tblPr>
        <w:tblStyle w:val="a5"/>
        <w:tblW w:w="14553" w:type="dxa"/>
        <w:tblLayout w:type="fixed"/>
        <w:tblLook w:val="04A0" w:firstRow="1" w:lastRow="0" w:firstColumn="1" w:lastColumn="0" w:noHBand="0" w:noVBand="1"/>
      </w:tblPr>
      <w:tblGrid>
        <w:gridCol w:w="2305"/>
        <w:gridCol w:w="4603"/>
        <w:gridCol w:w="4020"/>
        <w:gridCol w:w="3625"/>
      </w:tblGrid>
      <w:tr w:rsidR="002F33D0" w:rsidRPr="002F33D0" w14:paraId="7DD20A4A" w14:textId="77777777" w:rsidTr="00613AFE">
        <w:tc>
          <w:tcPr>
            <w:tcW w:w="2305" w:type="dxa"/>
            <w:hideMark/>
          </w:tcPr>
          <w:p w14:paraId="0B1D02BD" w14:textId="77777777" w:rsidR="002F33D0" w:rsidRPr="0052009A" w:rsidRDefault="002F33D0" w:rsidP="00DE0CA6">
            <w:pPr>
              <w:ind w:firstLine="0"/>
              <w:jc w:val="center"/>
              <w:rPr>
                <w:rFonts w:eastAsia="Times New Roman"/>
                <w:szCs w:val="24"/>
                <w:lang w:eastAsia="ru-RU"/>
              </w:rPr>
            </w:pPr>
            <w:r w:rsidRPr="0052009A">
              <w:rPr>
                <w:rFonts w:eastAsia="Times New Roman"/>
                <w:szCs w:val="24"/>
                <w:lang w:eastAsia="ru-RU"/>
              </w:rPr>
              <w:t>Ресурсный компонент (R)</w:t>
            </w:r>
          </w:p>
        </w:tc>
        <w:tc>
          <w:tcPr>
            <w:tcW w:w="4603" w:type="dxa"/>
            <w:hideMark/>
          </w:tcPr>
          <w:p w14:paraId="72FEBC89" w14:textId="0C1FEAFB" w:rsidR="002F33D0" w:rsidRPr="0052009A" w:rsidRDefault="002F33D0" w:rsidP="00DE0CA6">
            <w:pPr>
              <w:ind w:firstLine="0"/>
              <w:jc w:val="center"/>
              <w:rPr>
                <w:rFonts w:eastAsia="Times New Roman"/>
                <w:szCs w:val="24"/>
                <w:lang w:eastAsia="ru-RU"/>
              </w:rPr>
            </w:pPr>
            <w:r w:rsidRPr="0052009A">
              <w:rPr>
                <w:rFonts w:eastAsia="Times New Roman"/>
                <w:szCs w:val="24"/>
                <w:lang w:eastAsia="ru-RU"/>
              </w:rPr>
              <w:t>P</w:t>
            </w:r>
            <w:r w:rsidRPr="0052009A">
              <w:rPr>
                <w:rFonts w:eastAsia="Times New Roman"/>
                <w:szCs w:val="24"/>
                <w:vertAlign w:val="subscript"/>
                <w:lang w:val="kk-KZ" w:eastAsia="ru-RU"/>
              </w:rPr>
              <w:t>1</w:t>
            </w:r>
            <w:r w:rsidRPr="0052009A">
              <w:rPr>
                <w:rFonts w:eastAsia="Times New Roman"/>
                <w:szCs w:val="24"/>
                <w:lang w:eastAsia="ru-RU"/>
              </w:rPr>
              <w:t>. Формирование и подготовка инноваций</w:t>
            </w:r>
          </w:p>
        </w:tc>
        <w:tc>
          <w:tcPr>
            <w:tcW w:w="4020" w:type="dxa"/>
            <w:hideMark/>
          </w:tcPr>
          <w:p w14:paraId="3193D698" w14:textId="3F8661F2" w:rsidR="002F33D0" w:rsidRPr="0052009A" w:rsidRDefault="002F33D0" w:rsidP="00DE0CA6">
            <w:pPr>
              <w:ind w:firstLine="0"/>
              <w:jc w:val="center"/>
              <w:rPr>
                <w:rFonts w:eastAsia="Times New Roman"/>
                <w:szCs w:val="24"/>
                <w:lang w:eastAsia="ru-RU"/>
              </w:rPr>
            </w:pPr>
            <w:r w:rsidRPr="0052009A">
              <w:rPr>
                <w:rFonts w:eastAsia="Times New Roman"/>
                <w:szCs w:val="24"/>
                <w:lang w:eastAsia="ru-RU"/>
              </w:rPr>
              <w:t>P</w:t>
            </w:r>
            <w:r w:rsidRPr="0052009A">
              <w:rPr>
                <w:rFonts w:eastAsia="Times New Roman"/>
                <w:szCs w:val="24"/>
                <w:vertAlign w:val="subscript"/>
                <w:lang w:val="kk-KZ" w:eastAsia="ru-RU"/>
              </w:rPr>
              <w:t>2</w:t>
            </w:r>
            <w:r w:rsidRPr="0052009A">
              <w:rPr>
                <w:rFonts w:eastAsia="Times New Roman"/>
                <w:szCs w:val="24"/>
                <w:lang w:eastAsia="ru-RU"/>
              </w:rPr>
              <w:t>. Реализация и взаимодействие</w:t>
            </w:r>
          </w:p>
        </w:tc>
        <w:tc>
          <w:tcPr>
            <w:tcW w:w="3625" w:type="dxa"/>
            <w:hideMark/>
          </w:tcPr>
          <w:p w14:paraId="0F9C64C1" w14:textId="216854B0" w:rsidR="002F33D0" w:rsidRPr="0052009A" w:rsidRDefault="002F33D0" w:rsidP="00DE0CA6">
            <w:pPr>
              <w:ind w:firstLine="0"/>
              <w:jc w:val="center"/>
              <w:rPr>
                <w:rFonts w:eastAsia="Times New Roman"/>
                <w:szCs w:val="24"/>
                <w:lang w:eastAsia="ru-RU"/>
              </w:rPr>
            </w:pPr>
            <w:r w:rsidRPr="0052009A">
              <w:rPr>
                <w:rFonts w:eastAsia="Times New Roman"/>
                <w:szCs w:val="24"/>
                <w:lang w:eastAsia="ru-RU"/>
              </w:rPr>
              <w:t>P</w:t>
            </w:r>
            <w:r w:rsidRPr="0052009A">
              <w:rPr>
                <w:rFonts w:eastAsia="Times New Roman"/>
                <w:szCs w:val="24"/>
                <w:vertAlign w:val="subscript"/>
                <w:lang w:val="kk-KZ" w:eastAsia="ru-RU"/>
              </w:rPr>
              <w:t>3</w:t>
            </w:r>
            <w:r w:rsidRPr="0052009A">
              <w:rPr>
                <w:rFonts w:eastAsia="Times New Roman"/>
                <w:szCs w:val="24"/>
                <w:lang w:eastAsia="ru-RU"/>
              </w:rPr>
              <w:t>. Воспроизводство и развитие</w:t>
            </w:r>
          </w:p>
        </w:tc>
      </w:tr>
      <w:tr w:rsidR="00DE0CA6" w:rsidRPr="002F33D0" w14:paraId="0C0310C4" w14:textId="77777777" w:rsidTr="00613AFE">
        <w:tc>
          <w:tcPr>
            <w:tcW w:w="2305" w:type="dxa"/>
          </w:tcPr>
          <w:p w14:paraId="7347FF68" w14:textId="1405A484" w:rsidR="00DE0CA6" w:rsidRPr="00DE0CA6" w:rsidRDefault="00DE0CA6" w:rsidP="00DE0CA6">
            <w:pPr>
              <w:ind w:firstLine="0"/>
              <w:jc w:val="center"/>
              <w:rPr>
                <w:rFonts w:eastAsia="Times New Roman"/>
                <w:szCs w:val="24"/>
                <w:lang w:val="kk-KZ" w:eastAsia="ru-RU"/>
              </w:rPr>
            </w:pPr>
            <w:r>
              <w:rPr>
                <w:rFonts w:eastAsia="Times New Roman"/>
                <w:szCs w:val="24"/>
                <w:lang w:val="kk-KZ" w:eastAsia="ru-RU"/>
              </w:rPr>
              <w:t>1</w:t>
            </w:r>
          </w:p>
        </w:tc>
        <w:tc>
          <w:tcPr>
            <w:tcW w:w="4603" w:type="dxa"/>
          </w:tcPr>
          <w:p w14:paraId="2C1E2461" w14:textId="4435240A" w:rsidR="00DE0CA6" w:rsidRPr="00DE0CA6" w:rsidRDefault="00DE0CA6" w:rsidP="00DE0CA6">
            <w:pPr>
              <w:ind w:firstLine="0"/>
              <w:jc w:val="center"/>
              <w:rPr>
                <w:rFonts w:eastAsia="Times New Roman"/>
                <w:szCs w:val="24"/>
                <w:lang w:val="kk-KZ" w:eastAsia="ru-RU"/>
              </w:rPr>
            </w:pPr>
            <w:r>
              <w:rPr>
                <w:rFonts w:eastAsia="Times New Roman"/>
                <w:szCs w:val="24"/>
                <w:lang w:val="kk-KZ" w:eastAsia="ru-RU"/>
              </w:rPr>
              <w:t>2</w:t>
            </w:r>
          </w:p>
        </w:tc>
        <w:tc>
          <w:tcPr>
            <w:tcW w:w="4020" w:type="dxa"/>
          </w:tcPr>
          <w:p w14:paraId="1B6670C9" w14:textId="5F64213B" w:rsidR="00DE0CA6" w:rsidRPr="00DE0CA6" w:rsidRDefault="00DE0CA6" w:rsidP="00DE0CA6">
            <w:pPr>
              <w:ind w:firstLine="0"/>
              <w:jc w:val="center"/>
              <w:rPr>
                <w:rFonts w:eastAsia="Times New Roman"/>
                <w:szCs w:val="24"/>
                <w:lang w:val="kk-KZ" w:eastAsia="ru-RU"/>
              </w:rPr>
            </w:pPr>
            <w:r>
              <w:rPr>
                <w:rFonts w:eastAsia="Times New Roman"/>
                <w:szCs w:val="24"/>
                <w:lang w:val="kk-KZ" w:eastAsia="ru-RU"/>
              </w:rPr>
              <w:t>3</w:t>
            </w:r>
          </w:p>
        </w:tc>
        <w:tc>
          <w:tcPr>
            <w:tcW w:w="3625" w:type="dxa"/>
          </w:tcPr>
          <w:p w14:paraId="440196CD" w14:textId="0DCDD89A" w:rsidR="00DE0CA6" w:rsidRPr="00DE0CA6" w:rsidRDefault="00DE0CA6" w:rsidP="00DE0CA6">
            <w:pPr>
              <w:ind w:firstLine="0"/>
              <w:jc w:val="center"/>
              <w:rPr>
                <w:rFonts w:eastAsia="Times New Roman"/>
                <w:szCs w:val="24"/>
                <w:lang w:val="kk-KZ" w:eastAsia="ru-RU"/>
              </w:rPr>
            </w:pPr>
            <w:r>
              <w:rPr>
                <w:rFonts w:eastAsia="Times New Roman"/>
                <w:szCs w:val="24"/>
                <w:lang w:val="kk-KZ" w:eastAsia="ru-RU"/>
              </w:rPr>
              <w:t>4</w:t>
            </w:r>
          </w:p>
        </w:tc>
      </w:tr>
      <w:tr w:rsidR="002F33D0" w:rsidRPr="002F33D0" w14:paraId="1C89C17D" w14:textId="77777777" w:rsidTr="00613AFE">
        <w:tc>
          <w:tcPr>
            <w:tcW w:w="2305" w:type="dxa"/>
            <w:hideMark/>
          </w:tcPr>
          <w:p w14:paraId="7DE1B257" w14:textId="77777777" w:rsidR="002F33D0" w:rsidRPr="0052009A" w:rsidRDefault="002F33D0" w:rsidP="00DE0CA6">
            <w:pPr>
              <w:ind w:firstLine="0"/>
              <w:rPr>
                <w:rFonts w:eastAsia="Times New Roman"/>
                <w:szCs w:val="24"/>
                <w:lang w:eastAsia="ru-RU"/>
              </w:rPr>
            </w:pPr>
            <w:r w:rsidRPr="0052009A">
              <w:rPr>
                <w:rFonts w:eastAsia="Times New Roman"/>
                <w:bCs/>
                <w:szCs w:val="24"/>
                <w:lang w:eastAsia="ru-RU"/>
              </w:rPr>
              <w:t>1. Управленческие ресурсы (MR)</w:t>
            </w:r>
            <w:r w:rsidRPr="0052009A">
              <w:rPr>
                <w:rFonts w:eastAsia="Times New Roman"/>
                <w:szCs w:val="24"/>
                <w:lang w:eastAsia="ru-RU"/>
              </w:rPr>
              <w:t xml:space="preserve"> </w:t>
            </w:r>
          </w:p>
        </w:tc>
        <w:tc>
          <w:tcPr>
            <w:tcW w:w="4603" w:type="dxa"/>
            <w:hideMark/>
          </w:tcPr>
          <w:p w14:paraId="56839E61" w14:textId="77777777" w:rsidR="002F33D0" w:rsidRPr="008C31B9" w:rsidRDefault="002F33D0" w:rsidP="002F33D0">
            <w:pPr>
              <w:ind w:firstLine="0"/>
              <w:jc w:val="both"/>
              <w:rPr>
                <w:rFonts w:eastAsia="Times New Roman"/>
                <w:bCs/>
                <w:sz w:val="23"/>
                <w:szCs w:val="23"/>
                <w:lang w:eastAsia="ru-RU"/>
              </w:rPr>
            </w:pPr>
            <w:r w:rsidRPr="008C31B9">
              <w:rPr>
                <w:rFonts w:eastAsia="Times New Roman"/>
                <w:bCs/>
                <w:sz w:val="23"/>
                <w:szCs w:val="23"/>
                <w:lang w:eastAsia="ru-RU"/>
              </w:rPr>
              <w:t>Крупные: Разработка и утверждение долгосрочной инновационной стратегии, интегрированной с принципами ESG и цифровой трансформации; формирование системы стратегических инновационных инициатив.</w:t>
            </w:r>
          </w:p>
          <w:p w14:paraId="125FC2F0" w14:textId="77777777" w:rsidR="002F33D0" w:rsidRPr="008C31B9" w:rsidRDefault="002F33D0" w:rsidP="002F33D0">
            <w:pPr>
              <w:ind w:firstLine="0"/>
              <w:jc w:val="both"/>
              <w:rPr>
                <w:rFonts w:eastAsia="Times New Roman"/>
                <w:bCs/>
                <w:sz w:val="23"/>
                <w:szCs w:val="23"/>
                <w:lang w:eastAsia="ru-RU"/>
              </w:rPr>
            </w:pPr>
            <w:r w:rsidRPr="008C31B9">
              <w:rPr>
                <w:rFonts w:eastAsia="Times New Roman"/>
                <w:bCs/>
                <w:sz w:val="23"/>
                <w:szCs w:val="23"/>
                <w:lang w:eastAsia="ru-RU"/>
              </w:rPr>
              <w:t>Средние: Формирование механизмов участия руководства в инициировании и оценке инновационных проектов; развитие управленческих практик, ориентированных на цифровую адаптацию.</w:t>
            </w:r>
          </w:p>
          <w:p w14:paraId="7EC6208A" w14:textId="77777777" w:rsidR="002F33D0" w:rsidRPr="0052009A" w:rsidRDefault="002F33D0" w:rsidP="002F33D0">
            <w:pPr>
              <w:ind w:firstLine="0"/>
              <w:jc w:val="both"/>
              <w:rPr>
                <w:rFonts w:eastAsia="Times New Roman"/>
                <w:szCs w:val="24"/>
                <w:lang w:eastAsia="ru-RU"/>
              </w:rPr>
            </w:pPr>
            <w:r w:rsidRPr="008C31B9">
              <w:rPr>
                <w:rFonts w:eastAsia="Times New Roman"/>
                <w:bCs/>
                <w:sz w:val="23"/>
                <w:szCs w:val="23"/>
                <w:lang w:eastAsia="ru-RU"/>
              </w:rPr>
              <w:t>Малые: Формализация управленческих процессов, распределение ответственности за инициативы, регламентация процедур принятия инновационных решений.</w:t>
            </w:r>
          </w:p>
        </w:tc>
        <w:tc>
          <w:tcPr>
            <w:tcW w:w="4020" w:type="dxa"/>
            <w:hideMark/>
          </w:tcPr>
          <w:p w14:paraId="11DB468C"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Крупные: Внедрение систем мониторинга НИОКР и управления портфелем инновационных проектов.</w:t>
            </w:r>
          </w:p>
          <w:p w14:paraId="242E1871"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Средние: Переход к гибким методологиям управления проектами (Agile) для ускорения внедрения решений.</w:t>
            </w:r>
          </w:p>
          <w:p w14:paraId="176C67A4" w14:textId="77777777" w:rsidR="002F33D0" w:rsidRPr="0052009A" w:rsidRDefault="002F33D0" w:rsidP="002F33D0">
            <w:pPr>
              <w:ind w:firstLine="0"/>
              <w:jc w:val="both"/>
              <w:rPr>
                <w:rFonts w:eastAsia="Times New Roman"/>
                <w:szCs w:val="24"/>
                <w:lang w:eastAsia="ru-RU"/>
              </w:rPr>
            </w:pPr>
            <w:r w:rsidRPr="0052009A">
              <w:rPr>
                <w:rFonts w:eastAsia="Times New Roman"/>
                <w:bCs/>
                <w:szCs w:val="24"/>
                <w:lang w:eastAsia="ru-RU"/>
              </w:rPr>
              <w:t>Малые: Использование облачных сервисов для стандартизации документооборота и оптимизации управленческих процессов.</w:t>
            </w:r>
          </w:p>
        </w:tc>
        <w:tc>
          <w:tcPr>
            <w:tcW w:w="3625" w:type="dxa"/>
            <w:hideMark/>
          </w:tcPr>
          <w:p w14:paraId="34D0C815"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Крупные: Институционализация процессов стратегической адаптации (форсайт, сценарное планирование).</w:t>
            </w:r>
          </w:p>
          <w:p w14:paraId="4898AEBC"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Средние: Формирование внутренних систем обучения управленцев на основе анализа лучших отраслевых практик.</w:t>
            </w:r>
          </w:p>
          <w:p w14:paraId="24744BB9" w14:textId="77777777" w:rsidR="002F33D0" w:rsidRPr="0052009A" w:rsidRDefault="002F33D0" w:rsidP="002F33D0">
            <w:pPr>
              <w:ind w:firstLine="0"/>
              <w:jc w:val="both"/>
              <w:rPr>
                <w:rFonts w:eastAsia="Times New Roman"/>
                <w:szCs w:val="24"/>
                <w:lang w:eastAsia="ru-RU"/>
              </w:rPr>
            </w:pPr>
            <w:r w:rsidRPr="0052009A">
              <w:rPr>
                <w:rFonts w:eastAsia="Times New Roman"/>
                <w:bCs/>
                <w:szCs w:val="24"/>
                <w:lang w:eastAsia="ru-RU"/>
              </w:rPr>
              <w:t>Малые: Развитие гибкости управленческих решений в ответ на технологические и рыночные изменения.</w:t>
            </w:r>
          </w:p>
        </w:tc>
      </w:tr>
      <w:tr w:rsidR="002F33D0" w:rsidRPr="002F33D0" w14:paraId="65EDDFF7" w14:textId="77777777" w:rsidTr="00613AFE">
        <w:tc>
          <w:tcPr>
            <w:tcW w:w="2305" w:type="dxa"/>
            <w:hideMark/>
          </w:tcPr>
          <w:p w14:paraId="6BD0A49C" w14:textId="77777777" w:rsidR="002F33D0" w:rsidRPr="0052009A" w:rsidRDefault="002F33D0" w:rsidP="00DE0CA6">
            <w:pPr>
              <w:ind w:firstLine="0"/>
              <w:rPr>
                <w:rFonts w:eastAsia="Times New Roman"/>
                <w:szCs w:val="24"/>
                <w:lang w:eastAsia="ru-RU"/>
              </w:rPr>
            </w:pPr>
            <w:r w:rsidRPr="0052009A">
              <w:rPr>
                <w:rFonts w:eastAsia="Times New Roman"/>
                <w:bCs/>
                <w:szCs w:val="24"/>
                <w:lang w:eastAsia="ru-RU"/>
              </w:rPr>
              <w:t>2. Технологические ресурсы (TR)</w:t>
            </w:r>
          </w:p>
        </w:tc>
        <w:tc>
          <w:tcPr>
            <w:tcW w:w="4603" w:type="dxa"/>
            <w:hideMark/>
          </w:tcPr>
          <w:p w14:paraId="3E47EA76"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Крупные: Стратегические инвестиции в прорывные технологии: роботизацию, ИИ, собственные программы</w:t>
            </w:r>
            <w:r w:rsidRPr="0052009A">
              <w:rPr>
                <w:rFonts w:eastAsia="Times New Roman"/>
                <w:bCs/>
                <w:szCs w:val="24"/>
                <w:lang w:val="kk-KZ" w:eastAsia="ru-RU"/>
              </w:rPr>
              <w:t xml:space="preserve"> НИОКР</w:t>
            </w:r>
            <w:r w:rsidRPr="0052009A">
              <w:rPr>
                <w:rFonts w:eastAsia="Times New Roman"/>
                <w:bCs/>
                <w:szCs w:val="24"/>
                <w:lang w:eastAsia="ru-RU"/>
              </w:rPr>
              <w:t>.</w:t>
            </w:r>
          </w:p>
          <w:p w14:paraId="67FA7905"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Средние: Проведение регулярного технологического аудита, планирование интеграции Big Data и автоматизированных систем.</w:t>
            </w:r>
          </w:p>
          <w:p w14:paraId="0F01B1F3" w14:textId="77777777" w:rsidR="002F33D0" w:rsidRPr="0052009A" w:rsidRDefault="002F33D0" w:rsidP="002F33D0">
            <w:pPr>
              <w:ind w:firstLine="0"/>
              <w:jc w:val="both"/>
              <w:rPr>
                <w:rFonts w:eastAsia="Times New Roman"/>
                <w:szCs w:val="24"/>
                <w:lang w:eastAsia="ru-RU"/>
              </w:rPr>
            </w:pPr>
            <w:r w:rsidRPr="0052009A">
              <w:rPr>
                <w:rFonts w:eastAsia="Times New Roman"/>
                <w:bCs/>
                <w:szCs w:val="24"/>
                <w:lang w:eastAsia="ru-RU"/>
              </w:rPr>
              <w:t>Малые: Приоритетное внедрение доступных облачных SaaS-решений для компенсации технологических ограничений.</w:t>
            </w:r>
          </w:p>
        </w:tc>
        <w:tc>
          <w:tcPr>
            <w:tcW w:w="4020" w:type="dxa"/>
            <w:hideMark/>
          </w:tcPr>
          <w:p w14:paraId="4F1477CA"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Крупные: Внедрение сквозной роботизации (RPA) и комплексных систем автоматизации, использование цифровых двойников.</w:t>
            </w:r>
          </w:p>
          <w:p w14:paraId="5F446948"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Средние: Интеграция ERP/MES для повышения управляемости производственных процессов.</w:t>
            </w:r>
          </w:p>
          <w:p w14:paraId="5E87D462" w14:textId="77777777" w:rsidR="002F33D0" w:rsidRPr="0052009A" w:rsidRDefault="002F33D0" w:rsidP="002F33D0">
            <w:pPr>
              <w:ind w:firstLine="0"/>
              <w:jc w:val="both"/>
              <w:rPr>
                <w:rFonts w:eastAsia="Times New Roman"/>
                <w:szCs w:val="24"/>
                <w:lang w:eastAsia="ru-RU"/>
              </w:rPr>
            </w:pPr>
            <w:r w:rsidRPr="0052009A">
              <w:rPr>
                <w:rFonts w:eastAsia="Times New Roman"/>
                <w:bCs/>
                <w:szCs w:val="24"/>
                <w:lang w:eastAsia="ru-RU"/>
              </w:rPr>
              <w:t>Малые: Использование цифровых инструментов (e-commerce, онлайн-склады) для оптимизации операционной деятельности.</w:t>
            </w:r>
          </w:p>
        </w:tc>
        <w:tc>
          <w:tcPr>
            <w:tcW w:w="3625" w:type="dxa"/>
            <w:hideMark/>
          </w:tcPr>
          <w:p w14:paraId="1BEB9CA7" w14:textId="77777777" w:rsidR="002F33D0" w:rsidRPr="00613AFE" w:rsidRDefault="002F33D0" w:rsidP="002F33D0">
            <w:pPr>
              <w:ind w:firstLine="0"/>
              <w:jc w:val="both"/>
              <w:rPr>
                <w:rFonts w:eastAsia="Times New Roman"/>
                <w:bCs/>
                <w:sz w:val="23"/>
                <w:szCs w:val="23"/>
                <w:lang w:eastAsia="ru-RU"/>
              </w:rPr>
            </w:pPr>
            <w:r w:rsidRPr="00613AFE">
              <w:rPr>
                <w:rFonts w:eastAsia="Times New Roman"/>
                <w:bCs/>
                <w:sz w:val="23"/>
                <w:szCs w:val="23"/>
                <w:lang w:eastAsia="ru-RU"/>
              </w:rPr>
              <w:t>Крупные: Создание замкнутого цикла модернизации основных средств, интегрированного с ИТ-инфраструктурой.</w:t>
            </w:r>
          </w:p>
          <w:p w14:paraId="38E57F78" w14:textId="77777777" w:rsidR="002F33D0" w:rsidRPr="00613AFE" w:rsidRDefault="002F33D0" w:rsidP="002F33D0">
            <w:pPr>
              <w:ind w:firstLine="0"/>
              <w:jc w:val="both"/>
              <w:rPr>
                <w:rFonts w:eastAsia="Times New Roman"/>
                <w:bCs/>
                <w:sz w:val="23"/>
                <w:szCs w:val="23"/>
                <w:lang w:eastAsia="ru-RU"/>
              </w:rPr>
            </w:pPr>
            <w:r w:rsidRPr="00613AFE">
              <w:rPr>
                <w:rFonts w:eastAsia="Times New Roman"/>
                <w:bCs/>
                <w:sz w:val="23"/>
                <w:szCs w:val="23"/>
                <w:lang w:eastAsia="ru-RU"/>
              </w:rPr>
              <w:t>Средние: Разработка регламентов регулярной оценки технологической готовности предприятия.</w:t>
            </w:r>
          </w:p>
          <w:p w14:paraId="5757FF66" w14:textId="77777777" w:rsidR="002F33D0" w:rsidRPr="00613AFE" w:rsidRDefault="002F33D0" w:rsidP="002F33D0">
            <w:pPr>
              <w:ind w:firstLine="0"/>
              <w:jc w:val="both"/>
              <w:rPr>
                <w:rFonts w:eastAsia="Times New Roman"/>
                <w:sz w:val="23"/>
                <w:szCs w:val="23"/>
                <w:lang w:eastAsia="ru-RU"/>
              </w:rPr>
            </w:pPr>
            <w:r w:rsidRPr="00613AFE">
              <w:rPr>
                <w:rFonts w:eastAsia="Times New Roman"/>
                <w:bCs/>
                <w:sz w:val="23"/>
                <w:szCs w:val="23"/>
                <w:lang w:eastAsia="ru-RU"/>
              </w:rPr>
              <w:t>Малые: Использование недорогих облачных сервисов и ПО для оперативного обновления технологий.</w:t>
            </w:r>
          </w:p>
        </w:tc>
      </w:tr>
    </w:tbl>
    <w:p w14:paraId="5C6EB795" w14:textId="4B3172A8" w:rsidR="008C31B9" w:rsidRDefault="008C31B9">
      <w:pPr>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14:anchorId="43087A29" wp14:editId="1F0AE7B4">
                <wp:simplePos x="0" y="0"/>
                <wp:positionH relativeFrom="column">
                  <wp:posOffset>4501615</wp:posOffset>
                </wp:positionH>
                <wp:positionV relativeFrom="paragraph">
                  <wp:posOffset>226996</wp:posOffset>
                </wp:positionV>
                <wp:extent cx="276727" cy="264695"/>
                <wp:effectExtent l="0" t="0" r="28575" b="21590"/>
                <wp:wrapNone/>
                <wp:docPr id="180" name="Прямоугольник 180"/>
                <wp:cNvGraphicFramePr/>
                <a:graphic xmlns:a="http://schemas.openxmlformats.org/drawingml/2006/main">
                  <a:graphicData uri="http://schemas.microsoft.com/office/word/2010/wordprocessingShape">
                    <wps:wsp>
                      <wps:cNvSpPr/>
                      <wps:spPr>
                        <a:xfrm>
                          <a:off x="0" y="0"/>
                          <a:ext cx="276727" cy="26469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BBB3BB" id="Прямоугольник 180" o:spid="_x0000_s1026" style="position:absolute;margin-left:354.45pt;margin-top:17.85pt;width:21.8pt;height:20.8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85uAIAAMAFAAAOAAAAZHJzL2Uyb0RvYy54bWysVM1u2zAMvg/YOwi6r06CNGmDOkXQosOA&#10;oi3WDj0rshQbkCVNUuJkpwG7Dugj7CF2GfbTZ3DeaJRkO11X7FAsB4U0yU/kJ5JHx+tSoBUztlAy&#10;xf29HkZMUpUVcpHidzdnrw4wso7IjAglWYo3zOLj6csXR5WesIHKlciYQQAi7aTSKc6d05MksTRn&#10;JbF7SjMJRq5MSRyoZpFkhlSAXopk0OuNkkqZTBtFmbXw9TQa8TTgc86ou+TcModEiiE3F04Tzrk/&#10;k+kRmSwM0XlBmzTIM7IoSSHh0g7qlDiClqb4C6osqFFWcbdHVZkozgvKQg1QTb/3qJrrnGgWagFy&#10;rO5osv8Pll6srgwqMni7A+BHkhIeqf6y/bi9q3/W99tP9df6vv6x/Vz/qr/V35H3As4qbScQeq2v&#10;TKNZED0Ba25K/w+loXXgedPxzNYOUfg4GI/GgzFGFEyD0XB0uO8xk12wNta9ZqpEXkixgWcM7JLV&#10;uXXRtXXxd1kliuysECIovnXYiTBoReDR54t+A/6Hl5DPCoQcfWTi648VB8ltBPN4Qr5lHNj0NYaE&#10;Qx/vkiGUMun60ZSTjMUc93vwa7Ns0w+EBECPzKG6DrsBaD0jSIsd6Wn8fSgLY9AF9/6VWAzuIsLN&#10;SrouuCykMk8BCKiquTn6tyRFajxLc5VtoNeMikNoNT0r4HnPiXVXxMDUQf/BJnGXcHChqhSrRsIo&#10;V+bDU9+9PwwDWDGqYIpTbN8viWEYiTcSxuSwPxz6sQ/KcH88AMU8tMwfWuSyPFHQM33YWZoG0fs7&#10;0YrcqPIWFs7M3womIincnWLqTKucuLhdYGVRNpsFNxh1Tdy5vNbUg3tWffverG+J0U2POxiOC9VO&#10;PJk8avXo6yOlmi2d4kWYgx2vDd+wJkLjNCvN76GHevDaLd7pbwAAAP//AwBQSwMEFAAGAAgAAAAh&#10;APYxAx3gAAAACQEAAA8AAABkcnMvZG93bnJldi54bWxMj01LxDAQhu+C/yGM4M1Nrdbs1qaLiCKC&#10;B90V9DjbTD+wSUqTduu/dzzpbYZ5eOd5i+1iezHTGDrvNFyuEhDkKm8612h43z9erEGEiM5g7x1p&#10;+KYA2/L0pMDc+KN7o3kXG8EhLuSooY1xyKUMVUsWw8oP5PhW+9Fi5HVspBnxyOG2l2mS3EiLneMP&#10;LQ5031L1tZushs8an/YPz+FF1ulcb7rX6aNWk9bnZ8vdLYhIS/yD4Vef1aFkp4OfnAmi16CS9YZR&#10;DVeZAsGAytIMxIEHdQ2yLOT/BuUPAAAA//8DAFBLAQItABQABgAIAAAAIQC2gziS/gAAAOEBAAAT&#10;AAAAAAAAAAAAAAAAAAAAAABbQ29udGVudF9UeXBlc10ueG1sUEsBAi0AFAAGAAgAAAAhADj9If/W&#10;AAAAlAEAAAsAAAAAAAAAAAAAAAAALwEAAF9yZWxzLy5yZWxzUEsBAi0AFAAGAAgAAAAhANgFPzm4&#10;AgAAwAUAAA4AAAAAAAAAAAAAAAAALgIAAGRycy9lMm9Eb2MueG1sUEsBAi0AFAAGAAgAAAAhAPYx&#10;Ax3gAAAACQEAAA8AAAAAAAAAAAAAAAAAEgUAAGRycy9kb3ducmV2LnhtbFBLBQYAAAAABAAEAPMA&#10;AAAfBgAAAAA=&#10;" fillcolor="white [3212]" strokecolor="white [3212]" strokeweight="1pt"/>
            </w:pict>
          </mc:Fallback>
        </mc:AlternateContent>
      </w:r>
    </w:p>
    <w:p w14:paraId="65AD68B2" w14:textId="26B34F99" w:rsidR="00DE0CA6" w:rsidRPr="00613AFE" w:rsidRDefault="008C31B9">
      <w:pPr>
        <w:rPr>
          <w:rFonts w:ascii="Times New Roman" w:hAnsi="Times New Roman" w:cs="Times New Roman"/>
          <w:sz w:val="28"/>
          <w:szCs w:val="28"/>
          <w:lang w:val="kk-KZ"/>
        </w:rPr>
      </w:pPr>
      <w:r>
        <w:rPr>
          <w:rFonts w:ascii="Times New Roman" w:hAnsi="Times New Roman" w:cs="Times New Roman"/>
          <w:noProof/>
          <w:sz w:val="20"/>
          <w:szCs w:val="20"/>
          <w:lang w:eastAsia="ru-RU"/>
        </w:rPr>
        <w:lastRenderedPageBreak/>
        <mc:AlternateContent>
          <mc:Choice Requires="wps">
            <w:drawing>
              <wp:anchor distT="0" distB="0" distL="114300" distR="114300" simplePos="0" relativeHeight="251717632" behindDoc="0" locked="0" layoutInCell="1" allowOverlap="1" wp14:anchorId="48016750" wp14:editId="69239161">
                <wp:simplePos x="0" y="0"/>
                <wp:positionH relativeFrom="column">
                  <wp:posOffset>4501615</wp:posOffset>
                </wp:positionH>
                <wp:positionV relativeFrom="paragraph">
                  <wp:posOffset>5681612</wp:posOffset>
                </wp:positionV>
                <wp:extent cx="348916" cy="228600"/>
                <wp:effectExtent l="0" t="0" r="13335" b="19050"/>
                <wp:wrapNone/>
                <wp:docPr id="181" name="Прямоугольник 181"/>
                <wp:cNvGraphicFramePr/>
                <a:graphic xmlns:a="http://schemas.openxmlformats.org/drawingml/2006/main">
                  <a:graphicData uri="http://schemas.microsoft.com/office/word/2010/wordprocessingShape">
                    <wps:wsp>
                      <wps:cNvSpPr/>
                      <wps:spPr>
                        <a:xfrm>
                          <a:off x="0" y="0"/>
                          <a:ext cx="348916" cy="228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2EC86A" id="Прямоугольник 181" o:spid="_x0000_s1026" style="position:absolute;margin-left:354.45pt;margin-top:447.35pt;width:27.45pt;height:18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xRkugIAAMAFAAAOAAAAZHJzL2Uyb0RvYy54bWysVM1uEzEQviPxDpbvdDchLWnUTRW1KkKq&#10;2ooW9ex47exK/sN2sgknJK5IPAIPwQXx02fYvBFj709KQRwqcnA8OzPfzHyemaPjtRRoxawrtcrw&#10;YC/FiCmq81ItMvzm5uzZGCPnicqJ0IpleMMcPp4+fXJUmQkb6kKLnFkEIMpNKpPhwnszSRJHCyaJ&#10;29OGKVBybSXxINpFkltSAboUyTBND5JK29xYTZlz8PW0UeJpxOecUX/JuWMeiQxDbj6eNp7zcCbT&#10;IzJZWGKKkrZpkEdkIUmpIGgPdUo8QUtb/gElS2q109zvUS0TzXlJWawBqhmkD6q5LohhsRYgx5me&#10;Jvf/YOnF6sqiMoe3Gw8wUkTCI9Wft++3n+of9d32Q/2lvqu/bz/WP+uv9TcUrICzyrgJuF6bK9tK&#10;Dq6BgDW3MvxDaWgded70PLO1RxQ+Ph+NDwcHGFFQDYfjgzS+Q7JzNtb5l0xLFC4ZtvCMkV2yOnce&#10;AoJpZxJiOS3K/KwUIgqhddiJsGhF4NHni5gwePxmJdSjHAEmeCah/qbiePMbwQKeUK8ZBzahxmFM&#10;OPbxLhlCKVN+0KgKkrMmx/0UfoHWkGWXfpQiYEDmUF2P3QJ0lg1Ih93AtPbBlcUx6J3TfyXWOPce&#10;MbJWvneWpdL2bwACqmojN/YdSQ01gaW5zjfQa1Y3Q+gMPSvhec+J81fEwtTBfMIm8ZdwcKGrDOv2&#10;hlGh7bu/fQ/2MAygxaiCKc6we7sklmEkXikYk8PBaBTGPgqj/RdDEOx9zfy+Ri3liYaegUGA7OI1&#10;2HvRXbnV8hYWzixEBRVRFGJnmHrbCSe+2S6wsiibzaIZjLoh/lxdGxrAA6uhfW/Wt8Satsc9DMeF&#10;7iaeTB60emMbPJWeLb3mZZyDHa8t37AmYuO0Ky3softytNot3ukvAAAA//8DAFBLAwQUAAYACAAA&#10;ACEAloKZyuEAAAALAQAADwAAAGRycy9kb3ducmV2LnhtbEyPQUvEMBCF74L/IYzgzU3clU1bmy4i&#10;iggedFfQY7aZtMVmUpq0W/+98aTHYT7e+165W1zPZhxD50nB9UoAQ6q96ahR8H54vMqAhajJ6N4T&#10;KvjGALvq/KzUhfEnesN5HxuWQigUWkEb41BwHuoWnQ4rPyCln/Wj0zGdY8PNqE8p3PV8LcSWO91R&#10;amj1gPct1l/7ySn4tPrp8PAcXrhdzzbvXqcPKyelLi+Wu1tgEZf4B8OvflKHKjkd/UQmsF6BFFme&#10;UAVZfiOBJUJuN2nMUUG+ERJ4VfL/G6ofAAAA//8DAFBLAQItABQABgAIAAAAIQC2gziS/gAAAOEB&#10;AAATAAAAAAAAAAAAAAAAAAAAAABbQ29udGVudF9UeXBlc10ueG1sUEsBAi0AFAAGAAgAAAAhADj9&#10;If/WAAAAlAEAAAsAAAAAAAAAAAAAAAAALwEAAF9yZWxzLy5yZWxzUEsBAi0AFAAGAAgAAAAhAFSP&#10;FGS6AgAAwAUAAA4AAAAAAAAAAAAAAAAALgIAAGRycy9lMm9Eb2MueG1sUEsBAi0AFAAGAAgAAAAh&#10;AJaCmcrhAAAACwEAAA8AAAAAAAAAAAAAAAAAFAUAAGRycy9kb3ducmV2LnhtbFBLBQYAAAAABAAE&#10;APMAAAAiBgAAAAA=&#10;" fillcolor="white [3212]" strokecolor="white [3212]" strokeweight="1pt"/>
            </w:pict>
          </mc:Fallback>
        </mc:AlternateContent>
      </w:r>
      <w:r>
        <w:rPr>
          <w:rFonts w:ascii="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64D17785" wp14:editId="21054C5D">
                <wp:simplePos x="0" y="0"/>
                <wp:positionH relativeFrom="column">
                  <wp:posOffset>-440238</wp:posOffset>
                </wp:positionH>
                <wp:positionV relativeFrom="paragraph">
                  <wp:posOffset>2452254</wp:posOffset>
                </wp:positionV>
                <wp:extent cx="565484" cy="276726"/>
                <wp:effectExtent l="0" t="0" r="0" b="0"/>
                <wp:wrapNone/>
                <wp:docPr id="179" name="Надпись 179"/>
                <wp:cNvGraphicFramePr/>
                <a:graphic xmlns:a="http://schemas.openxmlformats.org/drawingml/2006/main">
                  <a:graphicData uri="http://schemas.microsoft.com/office/word/2010/wordprocessingShape">
                    <wps:wsp>
                      <wps:cNvSpPr txBox="1"/>
                      <wps:spPr>
                        <a:xfrm rot="5400000">
                          <a:off x="0" y="0"/>
                          <a:ext cx="565484" cy="27672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1A2534B" w14:textId="2E1017EB" w:rsidR="001D4931" w:rsidRPr="008C31B9" w:rsidRDefault="001D4931" w:rsidP="008C31B9">
                            <w:pPr>
                              <w:jc w:val="center"/>
                              <w:rPr>
                                <w:rFonts w:ascii="Times New Roman" w:hAnsi="Times New Roman" w:cs="Times New Roman"/>
                                <w:color w:val="595959" w:themeColor="text1" w:themeTint="A6"/>
                                <w:lang w:val="kk-KZ"/>
                              </w:rPr>
                            </w:pPr>
                            <w:r w:rsidRPr="008C31B9">
                              <w:rPr>
                                <w:rFonts w:ascii="Times New Roman" w:hAnsi="Times New Roman" w:cs="Times New Roman"/>
                                <w:color w:val="595959" w:themeColor="text1" w:themeTint="A6"/>
                                <w:lang w:val="kk-KZ"/>
                              </w:rPr>
                              <w:t>15</w:t>
                            </w:r>
                            <w:r>
                              <w:rPr>
                                <w:rFonts w:ascii="Times New Roman" w:hAnsi="Times New Roman" w:cs="Times New Roman"/>
                                <w:color w:val="595959" w:themeColor="text1" w:themeTint="A6"/>
                                <w:lang w:val="kk-KZ"/>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D17785" id="Надпись 179" o:spid="_x0000_s1213" type="#_x0000_t202" style="position:absolute;margin-left:-34.65pt;margin-top:193.1pt;width:44.55pt;height:21.8pt;rotation:90;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7goAIAAHMFAAAOAAAAZHJzL2Uyb0RvYy54bWysVM1uEzEQviPxDpbvdJMoP23UTRVSFSFV&#10;bUWLena8drLC9hjbyW64ce8r8A4cOHDjFdI3YuzNhlC4FLGHlT0/nz3ffOPTs1orshbOl2By2j3q&#10;UCIMh6I0i5y+v7t4dUyJD8wUTIEROd0IT88mL1+cVnYserAEVQhHEMT4cWVzugzBjrPM86XQzB+B&#10;FQadEpxmAbdukRWOVYiuVdbrdIZZBa6wDrjwHq3njZNOEr6UgodrKb0IROUU7xbS36X/PP6zySkb&#10;Lxyzy5LvrsH+4RaalQYP3UOds8DIypV/QOmSO/AgwxEHnYGUJRepBqym23lSze2SWZFqQXK83dPk&#10;/x8sv1rfOFIW2LvRCSWGaWzS9sv26/bb9sf2++PnxwcSPchTZf0Yw28tJoT6NdSY09o9GmP5tXSa&#10;OECaB/1O/BIpWCbBaOR/s+dc1IFwNA6Gg/5xnxKOrt5oOOoNI2bWQEVI63x4I0CTuMipw5YmULa+&#10;9KEJbUNiuIGLUqnUVmV+MyBmtGSxjua+aRU2SsQ4Zd4JiUyki0aD524xnylHGrmgnrGAVjQJDBNi&#10;oMQDn5m7S4nZIqn0mfn7pHQ+mLDP16UBlwhKMyRiAWuG6i8+pG7hxWUT31LREBC5CPW8Tlo43jd8&#10;DsUG+51aiuV7yy9K7MMl8+GGORwVNOL4h2v8SQVVTmG3omQJ7tPf7DEeFYxeSiocvZz6jyvmBCXq&#10;rUFtn3T7fYQNadMfjHq4cYee+aHHrPQMsL5uul1axvig2qV0oO/xlZjGU9HFDMezcxra5Sw0HcZX&#10;hovpNAXhdFoWLs2t5RE60hxVdlffM2d3Ugyo4Stoh5SNnyiyiY2ZBqarALJMco1EN6zuGoCTnQS/&#10;e4Xi03G4T1G/3srJTwAAAP//AwBQSwMEFAAGAAgAAAAhAC1pkvLhAAAACgEAAA8AAABkcnMvZG93&#10;bnJldi54bWxMj8FOg0AURfcm/sPkmbijAxSwRR6NNqkLy6bVD5jCCMSZN4QZCvr1jitdvtyTe88r&#10;dotW7CpH2xtCiFYhMEm1aXpqEd7fDsEGmHWCGqEMSYQvaWFX3t4UIm/MTCd5PbuW+RKyuUDonBty&#10;zm3dSS3sygySfPZhRi2cP8eWN6OYfblWPA7DjGvRk1/oxCD3naw/z5NGmOajov1rVb1kD9+nQ1VH&#10;1fIcId7fLU+PwJxc3B8Mv/peHUrvdDETNZYphCDJUo8irLN1AswTQbwFdkFI0jgFXhb8/wvlDwAA&#10;AP//AwBQSwECLQAUAAYACAAAACEAtoM4kv4AAADhAQAAEwAAAAAAAAAAAAAAAAAAAAAAW0NvbnRl&#10;bnRfVHlwZXNdLnhtbFBLAQItABQABgAIAAAAIQA4/SH/1gAAAJQBAAALAAAAAAAAAAAAAAAAAC8B&#10;AABfcmVscy8ucmVsc1BLAQItABQABgAIAAAAIQA+Km7goAIAAHMFAAAOAAAAAAAAAAAAAAAAAC4C&#10;AABkcnMvZTJvRG9jLnhtbFBLAQItABQABgAIAAAAIQAtaZLy4QAAAAoBAAAPAAAAAAAAAAAAAAAA&#10;APoEAABkcnMvZG93bnJldi54bWxQSwUGAAAAAAQABADzAAAACAYAAAAA&#10;" filled="f" stroked="f">
                <v:textbox>
                  <w:txbxContent>
                    <w:p w14:paraId="41A2534B" w14:textId="2E1017EB" w:rsidR="001D4931" w:rsidRPr="008C31B9" w:rsidRDefault="001D4931" w:rsidP="008C31B9">
                      <w:pPr>
                        <w:jc w:val="center"/>
                        <w:rPr>
                          <w:rFonts w:ascii="Times New Roman" w:hAnsi="Times New Roman" w:cs="Times New Roman"/>
                          <w:color w:val="595959" w:themeColor="text1" w:themeTint="A6"/>
                          <w:lang w:val="kk-KZ"/>
                        </w:rPr>
                      </w:pPr>
                      <w:r w:rsidRPr="008C31B9">
                        <w:rPr>
                          <w:rFonts w:ascii="Times New Roman" w:hAnsi="Times New Roman" w:cs="Times New Roman"/>
                          <w:color w:val="595959" w:themeColor="text1" w:themeTint="A6"/>
                          <w:lang w:val="kk-KZ"/>
                        </w:rPr>
                        <w:t>15</w:t>
                      </w:r>
                      <w:r>
                        <w:rPr>
                          <w:rFonts w:ascii="Times New Roman" w:hAnsi="Times New Roman" w:cs="Times New Roman"/>
                          <w:color w:val="595959" w:themeColor="text1" w:themeTint="A6"/>
                          <w:lang w:val="kk-KZ"/>
                        </w:rPr>
                        <w:t>6</w:t>
                      </w:r>
                    </w:p>
                  </w:txbxContent>
                </v:textbox>
              </v:shape>
            </w:pict>
          </mc:Fallback>
        </mc:AlternateContent>
      </w:r>
      <w:r w:rsidR="00DE0CA6" w:rsidRPr="00613AFE">
        <w:rPr>
          <w:rFonts w:ascii="Times New Roman" w:hAnsi="Times New Roman" w:cs="Times New Roman"/>
          <w:sz w:val="28"/>
          <w:szCs w:val="28"/>
          <w:lang w:val="kk-KZ"/>
        </w:rPr>
        <w:t>Продолжение таблицы 39</w:t>
      </w:r>
    </w:p>
    <w:tbl>
      <w:tblPr>
        <w:tblStyle w:val="a5"/>
        <w:tblW w:w="0" w:type="auto"/>
        <w:tblLayout w:type="fixed"/>
        <w:tblLook w:val="04A0" w:firstRow="1" w:lastRow="0" w:firstColumn="1" w:lastColumn="0" w:noHBand="0" w:noVBand="1"/>
      </w:tblPr>
      <w:tblGrid>
        <w:gridCol w:w="2305"/>
        <w:gridCol w:w="4619"/>
        <w:gridCol w:w="4004"/>
        <w:gridCol w:w="3625"/>
      </w:tblGrid>
      <w:tr w:rsidR="00DE0CA6" w:rsidRPr="00DE0CA6" w14:paraId="46BA8FAE" w14:textId="77777777" w:rsidTr="00613AFE">
        <w:tc>
          <w:tcPr>
            <w:tcW w:w="2305" w:type="dxa"/>
          </w:tcPr>
          <w:p w14:paraId="1B64E7BC" w14:textId="77777777" w:rsidR="00DE0CA6" w:rsidRPr="00DE0CA6" w:rsidRDefault="00DE0CA6" w:rsidP="00043020">
            <w:pPr>
              <w:ind w:firstLine="0"/>
              <w:jc w:val="center"/>
              <w:rPr>
                <w:rFonts w:eastAsia="Times New Roman"/>
                <w:szCs w:val="24"/>
                <w:lang w:val="kk-KZ" w:eastAsia="ru-RU"/>
              </w:rPr>
            </w:pPr>
            <w:r>
              <w:rPr>
                <w:rFonts w:eastAsia="Times New Roman"/>
                <w:szCs w:val="24"/>
                <w:lang w:val="kk-KZ" w:eastAsia="ru-RU"/>
              </w:rPr>
              <w:t>1</w:t>
            </w:r>
          </w:p>
        </w:tc>
        <w:tc>
          <w:tcPr>
            <w:tcW w:w="4619" w:type="dxa"/>
          </w:tcPr>
          <w:p w14:paraId="091AD5F1" w14:textId="77777777" w:rsidR="00DE0CA6" w:rsidRPr="00DE0CA6" w:rsidRDefault="00DE0CA6" w:rsidP="00043020">
            <w:pPr>
              <w:ind w:firstLine="0"/>
              <w:jc w:val="center"/>
              <w:rPr>
                <w:rFonts w:eastAsia="Times New Roman"/>
                <w:szCs w:val="24"/>
                <w:lang w:val="kk-KZ" w:eastAsia="ru-RU"/>
              </w:rPr>
            </w:pPr>
            <w:r>
              <w:rPr>
                <w:rFonts w:eastAsia="Times New Roman"/>
                <w:szCs w:val="24"/>
                <w:lang w:val="kk-KZ" w:eastAsia="ru-RU"/>
              </w:rPr>
              <w:t>2</w:t>
            </w:r>
          </w:p>
        </w:tc>
        <w:tc>
          <w:tcPr>
            <w:tcW w:w="4004" w:type="dxa"/>
          </w:tcPr>
          <w:p w14:paraId="658E2C54" w14:textId="77777777" w:rsidR="00DE0CA6" w:rsidRPr="00DE0CA6" w:rsidRDefault="00DE0CA6" w:rsidP="00043020">
            <w:pPr>
              <w:ind w:firstLine="0"/>
              <w:jc w:val="center"/>
              <w:rPr>
                <w:rFonts w:eastAsia="Times New Roman"/>
                <w:szCs w:val="24"/>
                <w:lang w:val="kk-KZ" w:eastAsia="ru-RU"/>
              </w:rPr>
            </w:pPr>
            <w:r>
              <w:rPr>
                <w:rFonts w:eastAsia="Times New Roman"/>
                <w:szCs w:val="24"/>
                <w:lang w:val="kk-KZ" w:eastAsia="ru-RU"/>
              </w:rPr>
              <w:t>3</w:t>
            </w:r>
          </w:p>
        </w:tc>
        <w:tc>
          <w:tcPr>
            <w:tcW w:w="3625" w:type="dxa"/>
          </w:tcPr>
          <w:p w14:paraId="1A47920C" w14:textId="77777777" w:rsidR="00DE0CA6" w:rsidRPr="00DE0CA6" w:rsidRDefault="00DE0CA6" w:rsidP="00043020">
            <w:pPr>
              <w:ind w:firstLine="0"/>
              <w:jc w:val="center"/>
              <w:rPr>
                <w:rFonts w:eastAsia="Times New Roman"/>
                <w:szCs w:val="24"/>
                <w:lang w:val="kk-KZ" w:eastAsia="ru-RU"/>
              </w:rPr>
            </w:pPr>
            <w:r>
              <w:rPr>
                <w:rFonts w:eastAsia="Times New Roman"/>
                <w:szCs w:val="24"/>
                <w:lang w:val="kk-KZ" w:eastAsia="ru-RU"/>
              </w:rPr>
              <w:t>4</w:t>
            </w:r>
          </w:p>
        </w:tc>
      </w:tr>
      <w:tr w:rsidR="002F33D0" w:rsidRPr="002F33D0" w14:paraId="20EB3FFB" w14:textId="77777777" w:rsidTr="00613AFE">
        <w:tc>
          <w:tcPr>
            <w:tcW w:w="2305" w:type="dxa"/>
            <w:hideMark/>
          </w:tcPr>
          <w:p w14:paraId="71B606DB" w14:textId="7AE778F4" w:rsidR="002F33D0" w:rsidRPr="0052009A" w:rsidRDefault="002F33D0" w:rsidP="002F33D0">
            <w:pPr>
              <w:ind w:firstLine="0"/>
              <w:jc w:val="both"/>
              <w:rPr>
                <w:rFonts w:eastAsia="Times New Roman"/>
                <w:szCs w:val="24"/>
                <w:lang w:eastAsia="ru-RU"/>
              </w:rPr>
            </w:pPr>
            <w:r w:rsidRPr="0052009A">
              <w:rPr>
                <w:rFonts w:eastAsia="Times New Roman"/>
                <w:bCs/>
                <w:szCs w:val="24"/>
                <w:lang w:eastAsia="ru-RU"/>
              </w:rPr>
              <w:t>3. Финансовые ресурсы (FR)</w:t>
            </w:r>
          </w:p>
        </w:tc>
        <w:tc>
          <w:tcPr>
            <w:tcW w:w="4619" w:type="dxa"/>
            <w:hideMark/>
          </w:tcPr>
          <w:p w14:paraId="6F31F09F"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Крупные: Формирование внутренних фондов долгосрочного финансирования прорывных инноваций.</w:t>
            </w:r>
          </w:p>
          <w:p w14:paraId="69E907B5"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Средние: Обеспечение прозрачности бюджета НИОКР и механизмов внутреннего софинансирования.</w:t>
            </w:r>
          </w:p>
          <w:p w14:paraId="2BD9A603" w14:textId="77777777" w:rsidR="002F33D0" w:rsidRPr="0052009A" w:rsidRDefault="002F33D0" w:rsidP="002F33D0">
            <w:pPr>
              <w:ind w:firstLine="0"/>
              <w:jc w:val="both"/>
              <w:rPr>
                <w:rFonts w:eastAsia="Times New Roman"/>
                <w:szCs w:val="24"/>
                <w:lang w:eastAsia="ru-RU"/>
              </w:rPr>
            </w:pPr>
            <w:r w:rsidRPr="0052009A">
              <w:rPr>
                <w:rFonts w:eastAsia="Times New Roman"/>
                <w:bCs/>
                <w:szCs w:val="24"/>
                <w:lang w:eastAsia="ru-RU"/>
              </w:rPr>
              <w:t>Малые: Привлечение стартового финансирования через финтех-платформы и государственные гранты.</w:t>
            </w:r>
          </w:p>
        </w:tc>
        <w:tc>
          <w:tcPr>
            <w:tcW w:w="4004" w:type="dxa"/>
            <w:hideMark/>
          </w:tcPr>
          <w:p w14:paraId="57C29336"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Все: Участие в программах софинансирования НИОКР (QazInnovations), льготного кредитования (DAMU).</w:t>
            </w:r>
          </w:p>
          <w:p w14:paraId="5E965B74"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Крупные: Использование инструментов устойчивого финансирования: ESG-облигации, «зелёные» инструменты.</w:t>
            </w:r>
          </w:p>
          <w:p w14:paraId="493F4D01" w14:textId="5F29AA8E" w:rsidR="002F33D0" w:rsidRPr="0052009A" w:rsidRDefault="00C808CB" w:rsidP="002F33D0">
            <w:pPr>
              <w:ind w:firstLine="0"/>
              <w:jc w:val="both"/>
              <w:rPr>
                <w:rFonts w:eastAsia="Times New Roman"/>
                <w:szCs w:val="24"/>
                <w:lang w:eastAsia="ru-RU"/>
              </w:rPr>
            </w:pPr>
            <w:r>
              <w:rPr>
                <w:rFonts w:eastAsia="Times New Roman"/>
                <w:bCs/>
                <w:szCs w:val="24"/>
                <w:lang w:eastAsia="ru-RU"/>
              </w:rPr>
              <w:t>МСП</w:t>
            </w:r>
            <w:r w:rsidR="002F33D0" w:rsidRPr="0052009A">
              <w:rPr>
                <w:rFonts w:eastAsia="Times New Roman"/>
                <w:bCs/>
                <w:szCs w:val="24"/>
                <w:lang w:eastAsia="ru-RU"/>
              </w:rPr>
              <w:t>: Снижение трансакционных издержек взаимодействия с финансовыми институтами через цифровые платформы.</w:t>
            </w:r>
          </w:p>
        </w:tc>
        <w:tc>
          <w:tcPr>
            <w:tcW w:w="3625" w:type="dxa"/>
            <w:hideMark/>
          </w:tcPr>
          <w:p w14:paraId="1C79ED5E"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Все: Внедрение систем расчёта возврата на инновации (ROI) с ориентацией на долгосрочный эффект.</w:t>
            </w:r>
          </w:p>
          <w:p w14:paraId="0C93E600" w14:textId="5BDA6DA4" w:rsidR="002F33D0" w:rsidRPr="0052009A" w:rsidRDefault="00C808CB" w:rsidP="002F33D0">
            <w:pPr>
              <w:ind w:firstLine="0"/>
              <w:jc w:val="both"/>
              <w:rPr>
                <w:rFonts w:eastAsia="Times New Roman"/>
                <w:szCs w:val="24"/>
                <w:lang w:eastAsia="ru-RU"/>
              </w:rPr>
            </w:pPr>
            <w:r>
              <w:rPr>
                <w:rFonts w:eastAsia="Times New Roman"/>
                <w:bCs/>
                <w:szCs w:val="24"/>
                <w:lang w:eastAsia="ru-RU"/>
              </w:rPr>
              <w:t>МСП</w:t>
            </w:r>
            <w:r w:rsidR="002F33D0" w:rsidRPr="0052009A">
              <w:rPr>
                <w:rFonts w:eastAsia="Times New Roman"/>
                <w:bCs/>
                <w:szCs w:val="24"/>
                <w:lang w:eastAsia="ru-RU"/>
              </w:rPr>
              <w:t>: Накопление средств для непрерывного обучения и развития человеческого капитала.</w:t>
            </w:r>
          </w:p>
        </w:tc>
      </w:tr>
      <w:tr w:rsidR="002F33D0" w:rsidRPr="002F33D0" w14:paraId="78D96CD4" w14:textId="77777777" w:rsidTr="00613AFE">
        <w:tc>
          <w:tcPr>
            <w:tcW w:w="2305" w:type="dxa"/>
            <w:hideMark/>
          </w:tcPr>
          <w:p w14:paraId="7C023993" w14:textId="77777777" w:rsidR="002F33D0" w:rsidRPr="0052009A" w:rsidRDefault="002F33D0" w:rsidP="002F33D0">
            <w:pPr>
              <w:ind w:firstLine="0"/>
              <w:jc w:val="both"/>
              <w:rPr>
                <w:rFonts w:eastAsia="Times New Roman"/>
                <w:szCs w:val="24"/>
                <w:lang w:eastAsia="ru-RU"/>
              </w:rPr>
            </w:pPr>
            <w:r w:rsidRPr="0052009A">
              <w:rPr>
                <w:rFonts w:eastAsia="Times New Roman"/>
                <w:bCs/>
                <w:szCs w:val="24"/>
                <w:lang w:eastAsia="ru-RU"/>
              </w:rPr>
              <w:t>4. Человеческий капитал (HC)</w:t>
            </w:r>
          </w:p>
        </w:tc>
        <w:tc>
          <w:tcPr>
            <w:tcW w:w="4619" w:type="dxa"/>
            <w:hideMark/>
          </w:tcPr>
          <w:p w14:paraId="7C67C1D9"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Крупные: Приоритетное развитие β-значимых технологических компетенций (робототехника, Big Data, AI/ML).</w:t>
            </w:r>
          </w:p>
          <w:p w14:paraId="33848F01"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Средние: Развитие комбинированных программ обучения Soft- и Hard-skills (креативность, аналитика, цифровые навыки).</w:t>
            </w:r>
          </w:p>
          <w:p w14:paraId="7F6EE5DD" w14:textId="77777777" w:rsidR="002F33D0" w:rsidRPr="0052009A" w:rsidRDefault="002F33D0" w:rsidP="002F33D0">
            <w:pPr>
              <w:ind w:firstLine="0"/>
              <w:jc w:val="both"/>
              <w:rPr>
                <w:rFonts w:eastAsia="Times New Roman"/>
                <w:szCs w:val="24"/>
                <w:lang w:eastAsia="ru-RU"/>
              </w:rPr>
            </w:pPr>
            <w:r w:rsidRPr="0052009A">
              <w:rPr>
                <w:rFonts w:eastAsia="Times New Roman"/>
                <w:bCs/>
                <w:szCs w:val="24"/>
                <w:lang w:eastAsia="ru-RU"/>
              </w:rPr>
              <w:t>Малые: Фокус на универсальных компетенциях (адаптивность, кибербезопасность, решение проблем).</w:t>
            </w:r>
          </w:p>
        </w:tc>
        <w:tc>
          <w:tcPr>
            <w:tcW w:w="4004" w:type="dxa"/>
            <w:hideMark/>
          </w:tcPr>
          <w:p w14:paraId="5C753A95"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Все: Внедрение систем наставничества и обучения на рабочих местах (OJT) для ускоренной передачи знаний.</w:t>
            </w:r>
          </w:p>
          <w:p w14:paraId="1855442B"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Средние/Крупные: Создание межфункциональных команд для проектной работы (Agile-подход).</w:t>
            </w:r>
          </w:p>
          <w:p w14:paraId="1A24D787" w14:textId="3D4BA0F8" w:rsidR="002F33D0" w:rsidRPr="0052009A" w:rsidRDefault="00C808CB" w:rsidP="002F33D0">
            <w:pPr>
              <w:ind w:firstLine="0"/>
              <w:jc w:val="both"/>
              <w:rPr>
                <w:rFonts w:eastAsia="Times New Roman"/>
                <w:szCs w:val="24"/>
                <w:lang w:eastAsia="ru-RU"/>
              </w:rPr>
            </w:pPr>
            <w:r>
              <w:rPr>
                <w:rFonts w:eastAsia="Times New Roman"/>
                <w:bCs/>
                <w:szCs w:val="24"/>
                <w:lang w:eastAsia="ru-RU"/>
              </w:rPr>
              <w:t>МСП</w:t>
            </w:r>
            <w:r w:rsidR="002F33D0" w:rsidRPr="0052009A">
              <w:rPr>
                <w:rFonts w:eastAsia="Times New Roman"/>
                <w:bCs/>
                <w:szCs w:val="24"/>
                <w:lang w:eastAsia="ru-RU"/>
              </w:rPr>
              <w:t>: Использование консультационно-образовательных программ технопарков и бизнес-инкубаторов.</w:t>
            </w:r>
          </w:p>
        </w:tc>
        <w:tc>
          <w:tcPr>
            <w:tcW w:w="3625" w:type="dxa"/>
            <w:hideMark/>
          </w:tcPr>
          <w:p w14:paraId="126D0879"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Все: Институционализация систем мотивации, ориентированных на инновационные результаты.</w:t>
            </w:r>
          </w:p>
          <w:p w14:paraId="7BEAC6CC" w14:textId="77777777" w:rsidR="002F33D0" w:rsidRPr="0052009A" w:rsidRDefault="002F33D0" w:rsidP="002F33D0">
            <w:pPr>
              <w:ind w:firstLine="0"/>
              <w:jc w:val="both"/>
              <w:rPr>
                <w:rFonts w:eastAsia="Times New Roman"/>
                <w:szCs w:val="24"/>
                <w:lang w:eastAsia="ru-RU"/>
              </w:rPr>
            </w:pPr>
            <w:r w:rsidRPr="0052009A">
              <w:rPr>
                <w:rFonts w:eastAsia="Times New Roman"/>
                <w:bCs/>
                <w:szCs w:val="24"/>
                <w:lang w:eastAsia="ru-RU"/>
              </w:rPr>
              <w:t>Крупные: Построение системы оценки компетенций, привязанной к стратегическим целям цифровой трансформации.</w:t>
            </w:r>
          </w:p>
        </w:tc>
      </w:tr>
      <w:tr w:rsidR="00613AFE" w:rsidRPr="002F33D0" w14:paraId="656E9380" w14:textId="77777777" w:rsidTr="00613AFE">
        <w:tc>
          <w:tcPr>
            <w:tcW w:w="2305" w:type="dxa"/>
          </w:tcPr>
          <w:p w14:paraId="361308F3" w14:textId="5D88E835" w:rsidR="00613AFE" w:rsidRPr="0052009A" w:rsidRDefault="00613AFE" w:rsidP="00613AFE">
            <w:pPr>
              <w:ind w:firstLine="0"/>
              <w:jc w:val="both"/>
              <w:rPr>
                <w:rFonts w:eastAsia="Times New Roman"/>
                <w:bCs/>
                <w:szCs w:val="24"/>
                <w:lang w:eastAsia="ru-RU"/>
              </w:rPr>
            </w:pPr>
            <w:r w:rsidRPr="0052009A">
              <w:rPr>
                <w:rFonts w:eastAsia="Times New Roman"/>
                <w:bCs/>
                <w:szCs w:val="24"/>
                <w:lang w:eastAsia="ru-RU"/>
              </w:rPr>
              <w:t>5. Инновационная культура (IC)</w:t>
            </w:r>
          </w:p>
        </w:tc>
        <w:tc>
          <w:tcPr>
            <w:tcW w:w="4619" w:type="dxa"/>
          </w:tcPr>
          <w:p w14:paraId="684114BD" w14:textId="77777777" w:rsidR="00613AFE" w:rsidRPr="0052009A" w:rsidRDefault="00613AFE" w:rsidP="00613AFE">
            <w:pPr>
              <w:ind w:firstLine="0"/>
              <w:jc w:val="both"/>
              <w:rPr>
                <w:rFonts w:eastAsia="Times New Roman"/>
                <w:bCs/>
                <w:szCs w:val="24"/>
                <w:lang w:eastAsia="ru-RU"/>
              </w:rPr>
            </w:pPr>
            <w:r w:rsidRPr="0052009A">
              <w:rPr>
                <w:rFonts w:eastAsia="Times New Roman"/>
                <w:bCs/>
                <w:szCs w:val="24"/>
                <w:lang w:eastAsia="ru-RU"/>
              </w:rPr>
              <w:t>Все: Институционализация принципа допустимости управляемого риска; поддержка инициатив, соответствующих стратегическим целям.</w:t>
            </w:r>
          </w:p>
          <w:p w14:paraId="134B247A" w14:textId="4BF9A087" w:rsidR="00613AFE" w:rsidRPr="0052009A" w:rsidRDefault="00613AFE" w:rsidP="008C31B9">
            <w:pPr>
              <w:ind w:firstLine="0"/>
              <w:jc w:val="both"/>
              <w:rPr>
                <w:rFonts w:eastAsia="Times New Roman"/>
                <w:bCs/>
                <w:szCs w:val="24"/>
                <w:lang w:eastAsia="ru-RU"/>
              </w:rPr>
            </w:pPr>
            <w:r w:rsidRPr="0052009A">
              <w:rPr>
                <w:rFonts w:eastAsia="Times New Roman"/>
                <w:bCs/>
                <w:szCs w:val="24"/>
                <w:lang w:eastAsia="ru-RU"/>
              </w:rPr>
              <w:t>Крупные: Создание внутренних инновационных лабораторий.</w:t>
            </w:r>
          </w:p>
        </w:tc>
        <w:tc>
          <w:tcPr>
            <w:tcW w:w="4004" w:type="dxa"/>
          </w:tcPr>
          <w:p w14:paraId="5BB43F87" w14:textId="77777777" w:rsidR="00613AFE" w:rsidRPr="0052009A" w:rsidRDefault="00613AFE" w:rsidP="00613AFE">
            <w:pPr>
              <w:ind w:firstLine="0"/>
              <w:jc w:val="both"/>
              <w:rPr>
                <w:rFonts w:eastAsia="Times New Roman"/>
                <w:bCs/>
                <w:szCs w:val="24"/>
                <w:lang w:eastAsia="ru-RU"/>
              </w:rPr>
            </w:pPr>
            <w:r w:rsidRPr="0052009A">
              <w:rPr>
                <w:rFonts w:eastAsia="Times New Roman"/>
                <w:bCs/>
                <w:szCs w:val="24"/>
                <w:lang w:eastAsia="ru-RU"/>
              </w:rPr>
              <w:t>Средние: Применение гибких HR-практик для ускорения инновационных изменений.</w:t>
            </w:r>
          </w:p>
          <w:p w14:paraId="44C319C3" w14:textId="705DA807" w:rsidR="00613AFE" w:rsidRPr="0052009A" w:rsidRDefault="00613AFE" w:rsidP="008C31B9">
            <w:pPr>
              <w:ind w:firstLine="0"/>
              <w:jc w:val="both"/>
              <w:rPr>
                <w:rFonts w:eastAsia="Times New Roman"/>
                <w:bCs/>
                <w:szCs w:val="24"/>
                <w:lang w:eastAsia="ru-RU"/>
              </w:rPr>
            </w:pPr>
            <w:r w:rsidRPr="0052009A">
              <w:rPr>
                <w:rFonts w:eastAsia="Times New Roman"/>
                <w:bCs/>
                <w:szCs w:val="24"/>
                <w:lang w:eastAsia="ru-RU"/>
              </w:rPr>
              <w:t>Малые: Обеспечение психологической безопасности для выдвижения новых идей.</w:t>
            </w:r>
          </w:p>
        </w:tc>
        <w:tc>
          <w:tcPr>
            <w:tcW w:w="3625" w:type="dxa"/>
          </w:tcPr>
          <w:p w14:paraId="357EBCC5" w14:textId="77777777" w:rsidR="00613AFE" w:rsidRPr="0052009A" w:rsidRDefault="00613AFE" w:rsidP="00613AFE">
            <w:pPr>
              <w:ind w:firstLine="0"/>
              <w:jc w:val="both"/>
              <w:rPr>
                <w:rFonts w:eastAsia="Times New Roman"/>
                <w:bCs/>
                <w:szCs w:val="24"/>
                <w:lang w:eastAsia="ru-RU"/>
              </w:rPr>
            </w:pPr>
            <w:r w:rsidRPr="0052009A">
              <w:rPr>
                <w:rFonts w:eastAsia="Times New Roman"/>
                <w:bCs/>
                <w:szCs w:val="24"/>
                <w:lang w:eastAsia="ru-RU"/>
              </w:rPr>
              <w:t>Крупные: Системы комплексной обратной связи (360°) и когнитивной оценки инновационных инициатив.</w:t>
            </w:r>
          </w:p>
          <w:p w14:paraId="0BC02596" w14:textId="5A1CA329" w:rsidR="00613AFE" w:rsidRPr="0052009A" w:rsidRDefault="00613AFE" w:rsidP="00613AFE">
            <w:pPr>
              <w:ind w:firstLine="0"/>
              <w:jc w:val="both"/>
              <w:rPr>
                <w:rFonts w:eastAsia="Times New Roman"/>
                <w:bCs/>
                <w:szCs w:val="24"/>
                <w:lang w:eastAsia="ru-RU"/>
              </w:rPr>
            </w:pPr>
            <w:r w:rsidRPr="0052009A">
              <w:rPr>
                <w:rFonts w:eastAsia="Times New Roman"/>
                <w:bCs/>
                <w:szCs w:val="24"/>
                <w:lang w:eastAsia="ru-RU"/>
              </w:rPr>
              <w:t>Все: Формирование культуры открытого обмена знаниями.</w:t>
            </w:r>
          </w:p>
        </w:tc>
      </w:tr>
    </w:tbl>
    <w:p w14:paraId="5AD42E38" w14:textId="5C98F9E7" w:rsidR="00613AFE" w:rsidRPr="00613AFE" w:rsidRDefault="008C31B9" w:rsidP="00613AFE">
      <w:pPr>
        <w:rPr>
          <w:rFonts w:ascii="Times New Roman" w:hAnsi="Times New Roman" w:cs="Times New Roman"/>
          <w:sz w:val="28"/>
          <w:szCs w:val="28"/>
          <w:lang w:val="kk-KZ"/>
        </w:rPr>
      </w:pPr>
      <w:r>
        <w:rPr>
          <w:rFonts w:ascii="Times New Roman" w:hAnsi="Times New Roman" w:cs="Times New Roman"/>
          <w:noProof/>
          <w:sz w:val="20"/>
          <w:szCs w:val="20"/>
          <w:lang w:eastAsia="ru-RU"/>
        </w:rPr>
        <w:lastRenderedPageBreak/>
        <mc:AlternateContent>
          <mc:Choice Requires="wps">
            <w:drawing>
              <wp:anchor distT="0" distB="0" distL="114300" distR="114300" simplePos="0" relativeHeight="251719680" behindDoc="0" locked="0" layoutInCell="1" allowOverlap="1" wp14:anchorId="11539E0E" wp14:editId="34B9A4E0">
                <wp:simplePos x="0" y="0"/>
                <wp:positionH relativeFrom="column">
                  <wp:posOffset>-457518</wp:posOffset>
                </wp:positionH>
                <wp:positionV relativeFrom="paragraph">
                  <wp:posOffset>2560104</wp:posOffset>
                </wp:positionV>
                <wp:extent cx="565484" cy="276726"/>
                <wp:effectExtent l="0" t="0" r="0" b="0"/>
                <wp:wrapNone/>
                <wp:docPr id="182" name="Надпись 182"/>
                <wp:cNvGraphicFramePr/>
                <a:graphic xmlns:a="http://schemas.openxmlformats.org/drawingml/2006/main">
                  <a:graphicData uri="http://schemas.microsoft.com/office/word/2010/wordprocessingShape">
                    <wps:wsp>
                      <wps:cNvSpPr txBox="1"/>
                      <wps:spPr>
                        <a:xfrm rot="5400000">
                          <a:off x="0" y="0"/>
                          <a:ext cx="565484" cy="27672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E661FAB" w14:textId="4CEDEC09" w:rsidR="001D4931" w:rsidRPr="008C31B9" w:rsidRDefault="001D4931" w:rsidP="008C31B9">
                            <w:pPr>
                              <w:jc w:val="center"/>
                              <w:rPr>
                                <w:rFonts w:ascii="Times New Roman" w:hAnsi="Times New Roman" w:cs="Times New Roman"/>
                                <w:color w:val="595959" w:themeColor="text1" w:themeTint="A6"/>
                                <w:lang w:val="kk-KZ"/>
                              </w:rPr>
                            </w:pPr>
                            <w:r w:rsidRPr="008C31B9">
                              <w:rPr>
                                <w:rFonts w:ascii="Times New Roman" w:hAnsi="Times New Roman" w:cs="Times New Roman"/>
                                <w:color w:val="595959" w:themeColor="text1" w:themeTint="A6"/>
                                <w:lang w:val="kk-KZ"/>
                              </w:rPr>
                              <w:t>15</w:t>
                            </w:r>
                            <w:r>
                              <w:rPr>
                                <w:rFonts w:ascii="Times New Roman" w:hAnsi="Times New Roman" w:cs="Times New Roman"/>
                                <w:color w:val="595959" w:themeColor="text1" w:themeTint="A6"/>
                                <w:lang w:val="kk-KZ"/>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539E0E" id="Надпись 182" o:spid="_x0000_s1214" type="#_x0000_t202" style="position:absolute;margin-left:-36.05pt;margin-top:201.6pt;width:44.55pt;height:21.8pt;rotation:90;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8OroAIAAHMFAAAOAAAAZHJzL2Uyb0RvYy54bWysVM1uEzEQviPxDpbvdJMoSduomyqkCkKq&#10;2ooU9ex47WSF7TG2k91w484r8A4cOHDjFdI3YuzNpqVwKWIPK3t+Pnu++cZn57VWZCOcL8HktHvU&#10;oUQYDkVpljl9fzt7dUKJD8wUTIEROd0KT8/HL1+cVXYkerACVQhHEMT4UWVzugrBjrLM85XQzB+B&#10;FQadEpxmAbdumRWOVYiuVdbrdIZZBa6wDrjwHq0XjZOOE76UgodrKb0IROUU7xbS36X/Iv6z8Rkb&#10;LR2zq5Lvr8H+4RaalQYPPUBdsMDI2pV/QOmSO/AgwxEHnYGUJRepBqym23lSzXzFrEi1IDneHmjy&#10;/w+WX21uHCkL7N1JjxLDNDZp93X3bfd993P34/7z/RcSPchTZf0Iw+cWE0L9GmrMae0ejbH8WjpN&#10;HCDNg34nfokULJNgNPK/PXAu6kA4GgfDQf+kTwlHV+94eNwbRsysgYqQ1vnwRoAmcZFThy1NoGxz&#10;6UMT2obEcAOzUqnUVmV+MyBmtGSxjua+aRW2SsQ4Zd4JiUyki0aD5265mCpHGrmgnrGAVjQJDBNi&#10;oMQDn5m7T4nZIqn0mfmHpHQ+mHDI16UBlwhKMyRiARuG6i8+pG7hxWUT31LREBC5CPWiTlo4TYMR&#10;TQsottjv1FIs31s+K7EPl8yHG+ZwVNCI4x+u8ScVVDmF/YqSFbhPf7PHeFQweimpcPRy6j+umROU&#10;qLcGtX3a7fcRNqRNf3Dcw4177Fk89pi1ngLW1023S8sYH1S7lA70Hb4Sk3gqupjheHZOQ7uchqbD&#10;+MpwMZmkIJxOy8KlmVseoSPNUWW39R1zdi/FgBq+gnZI2eiJIpvYmGlgsg4gyyTXB1b3DcDJToLf&#10;v0Lx6Xi8T1EPb+X4FwAAAP//AwBQSwMEFAAGAAgAAAAhAB2zbqThAAAACgEAAA8AAABkcnMvZG93&#10;bnJldi54bWxMj0FOwzAQRfdI3MEaJHapE5qmbcikgkplAdm0cAA3NkmEPY5ipwmcHrMqy9F/+v9N&#10;sZuNZhc1uM4SQrKIgSmqreyoQfh4P0QbYM4LkkJbUgjfysGuvL0pRC7tREd1OfmGhRJyuUBove9z&#10;zl3dKiPcwvaKQvZpByN8OIeGy0FModxo/hDHGTeio7DQil7tW1V/nUaDME5vmvavVfWSrX+Oh6pO&#10;qvk5Qby/m58egXk1+ysMf/pBHcrgdLYjScc0QpRulwFFWG7iFFggotUa2BkhzbYr4GXB/79Q/gIA&#10;AP//AwBQSwECLQAUAAYACAAAACEAtoM4kv4AAADhAQAAEwAAAAAAAAAAAAAAAAAAAAAAW0NvbnRl&#10;bnRfVHlwZXNdLnhtbFBLAQItABQABgAIAAAAIQA4/SH/1gAAAJQBAAALAAAAAAAAAAAAAAAAAC8B&#10;AABfcmVscy8ucmVsc1BLAQItABQABgAIAAAAIQDYQ8OroAIAAHMFAAAOAAAAAAAAAAAAAAAAAC4C&#10;AABkcnMvZTJvRG9jLnhtbFBLAQItABQABgAIAAAAIQAds26k4QAAAAoBAAAPAAAAAAAAAAAAAAAA&#10;APoEAABkcnMvZG93bnJldi54bWxQSwUGAAAAAAQABADzAAAACAYAAAAA&#10;" filled="f" stroked="f">
                <v:textbox>
                  <w:txbxContent>
                    <w:p w14:paraId="6E661FAB" w14:textId="4CEDEC09" w:rsidR="001D4931" w:rsidRPr="008C31B9" w:rsidRDefault="001D4931" w:rsidP="008C31B9">
                      <w:pPr>
                        <w:jc w:val="center"/>
                        <w:rPr>
                          <w:rFonts w:ascii="Times New Roman" w:hAnsi="Times New Roman" w:cs="Times New Roman"/>
                          <w:color w:val="595959" w:themeColor="text1" w:themeTint="A6"/>
                          <w:lang w:val="kk-KZ"/>
                        </w:rPr>
                      </w:pPr>
                      <w:r w:rsidRPr="008C31B9">
                        <w:rPr>
                          <w:rFonts w:ascii="Times New Roman" w:hAnsi="Times New Roman" w:cs="Times New Roman"/>
                          <w:color w:val="595959" w:themeColor="text1" w:themeTint="A6"/>
                          <w:lang w:val="kk-KZ"/>
                        </w:rPr>
                        <w:t>15</w:t>
                      </w:r>
                      <w:r>
                        <w:rPr>
                          <w:rFonts w:ascii="Times New Roman" w:hAnsi="Times New Roman" w:cs="Times New Roman"/>
                          <w:color w:val="595959" w:themeColor="text1" w:themeTint="A6"/>
                          <w:lang w:val="kk-KZ"/>
                        </w:rPr>
                        <w:t>7</w:t>
                      </w:r>
                    </w:p>
                  </w:txbxContent>
                </v:textbox>
              </v:shape>
            </w:pict>
          </mc:Fallback>
        </mc:AlternateContent>
      </w:r>
      <w:r w:rsidR="00613AFE" w:rsidRPr="00613AFE">
        <w:rPr>
          <w:rFonts w:ascii="Times New Roman" w:hAnsi="Times New Roman" w:cs="Times New Roman"/>
          <w:sz w:val="28"/>
          <w:szCs w:val="28"/>
          <w:lang w:val="kk-KZ"/>
        </w:rPr>
        <w:t>Продолжение таблицы 39</w:t>
      </w:r>
    </w:p>
    <w:tbl>
      <w:tblPr>
        <w:tblStyle w:val="a5"/>
        <w:tblW w:w="0" w:type="auto"/>
        <w:tblLayout w:type="fixed"/>
        <w:tblLook w:val="04A0" w:firstRow="1" w:lastRow="0" w:firstColumn="1" w:lastColumn="0" w:noHBand="0" w:noVBand="1"/>
      </w:tblPr>
      <w:tblGrid>
        <w:gridCol w:w="2305"/>
        <w:gridCol w:w="4619"/>
        <w:gridCol w:w="4004"/>
        <w:gridCol w:w="3625"/>
      </w:tblGrid>
      <w:tr w:rsidR="00613AFE" w:rsidRPr="00DE0CA6" w14:paraId="07932D53" w14:textId="77777777" w:rsidTr="00043020">
        <w:tc>
          <w:tcPr>
            <w:tcW w:w="2305" w:type="dxa"/>
          </w:tcPr>
          <w:p w14:paraId="18FE1215" w14:textId="77777777" w:rsidR="00613AFE" w:rsidRPr="00DE0CA6" w:rsidRDefault="00613AFE" w:rsidP="00043020">
            <w:pPr>
              <w:ind w:firstLine="0"/>
              <w:jc w:val="center"/>
              <w:rPr>
                <w:rFonts w:eastAsia="Times New Roman"/>
                <w:szCs w:val="24"/>
                <w:lang w:val="kk-KZ" w:eastAsia="ru-RU"/>
              </w:rPr>
            </w:pPr>
            <w:r>
              <w:rPr>
                <w:rFonts w:eastAsia="Times New Roman"/>
                <w:szCs w:val="24"/>
                <w:lang w:val="kk-KZ" w:eastAsia="ru-RU"/>
              </w:rPr>
              <w:t>1</w:t>
            </w:r>
          </w:p>
        </w:tc>
        <w:tc>
          <w:tcPr>
            <w:tcW w:w="4619" w:type="dxa"/>
          </w:tcPr>
          <w:p w14:paraId="6608789B" w14:textId="77777777" w:rsidR="00613AFE" w:rsidRPr="00DE0CA6" w:rsidRDefault="00613AFE" w:rsidP="00043020">
            <w:pPr>
              <w:ind w:firstLine="0"/>
              <w:jc w:val="center"/>
              <w:rPr>
                <w:rFonts w:eastAsia="Times New Roman"/>
                <w:szCs w:val="24"/>
                <w:lang w:val="kk-KZ" w:eastAsia="ru-RU"/>
              </w:rPr>
            </w:pPr>
            <w:r>
              <w:rPr>
                <w:rFonts w:eastAsia="Times New Roman"/>
                <w:szCs w:val="24"/>
                <w:lang w:val="kk-KZ" w:eastAsia="ru-RU"/>
              </w:rPr>
              <w:t>2</w:t>
            </w:r>
          </w:p>
        </w:tc>
        <w:tc>
          <w:tcPr>
            <w:tcW w:w="4004" w:type="dxa"/>
          </w:tcPr>
          <w:p w14:paraId="6E07CF5D" w14:textId="77777777" w:rsidR="00613AFE" w:rsidRPr="00DE0CA6" w:rsidRDefault="00613AFE" w:rsidP="00043020">
            <w:pPr>
              <w:ind w:firstLine="0"/>
              <w:jc w:val="center"/>
              <w:rPr>
                <w:rFonts w:eastAsia="Times New Roman"/>
                <w:szCs w:val="24"/>
                <w:lang w:val="kk-KZ" w:eastAsia="ru-RU"/>
              </w:rPr>
            </w:pPr>
            <w:r>
              <w:rPr>
                <w:rFonts w:eastAsia="Times New Roman"/>
                <w:szCs w:val="24"/>
                <w:lang w:val="kk-KZ" w:eastAsia="ru-RU"/>
              </w:rPr>
              <w:t>3</w:t>
            </w:r>
          </w:p>
        </w:tc>
        <w:tc>
          <w:tcPr>
            <w:tcW w:w="3625" w:type="dxa"/>
          </w:tcPr>
          <w:p w14:paraId="3CAB02B2" w14:textId="77777777" w:rsidR="00613AFE" w:rsidRPr="00DE0CA6" w:rsidRDefault="00613AFE" w:rsidP="00043020">
            <w:pPr>
              <w:ind w:firstLine="0"/>
              <w:jc w:val="center"/>
              <w:rPr>
                <w:rFonts w:eastAsia="Times New Roman"/>
                <w:szCs w:val="24"/>
                <w:lang w:val="kk-KZ" w:eastAsia="ru-RU"/>
              </w:rPr>
            </w:pPr>
            <w:r>
              <w:rPr>
                <w:rFonts w:eastAsia="Times New Roman"/>
                <w:szCs w:val="24"/>
                <w:lang w:val="kk-KZ" w:eastAsia="ru-RU"/>
              </w:rPr>
              <w:t>4</w:t>
            </w:r>
          </w:p>
        </w:tc>
      </w:tr>
      <w:tr w:rsidR="002F33D0" w:rsidRPr="002F33D0" w14:paraId="164C719A" w14:textId="77777777" w:rsidTr="00613AFE">
        <w:tc>
          <w:tcPr>
            <w:tcW w:w="2305" w:type="dxa"/>
            <w:hideMark/>
          </w:tcPr>
          <w:p w14:paraId="4830F06F" w14:textId="77777777" w:rsidR="002F33D0" w:rsidRPr="0052009A" w:rsidRDefault="002F33D0" w:rsidP="002F33D0">
            <w:pPr>
              <w:ind w:firstLine="0"/>
              <w:jc w:val="both"/>
              <w:rPr>
                <w:rFonts w:eastAsia="Times New Roman"/>
                <w:szCs w:val="24"/>
                <w:lang w:eastAsia="ru-RU"/>
              </w:rPr>
            </w:pPr>
            <w:r w:rsidRPr="0052009A">
              <w:rPr>
                <w:rFonts w:eastAsia="Times New Roman"/>
                <w:bCs/>
                <w:szCs w:val="24"/>
                <w:lang w:eastAsia="ru-RU"/>
              </w:rPr>
              <w:t>5. Инновационная культура (IC)</w:t>
            </w:r>
          </w:p>
        </w:tc>
        <w:tc>
          <w:tcPr>
            <w:tcW w:w="4619" w:type="dxa"/>
            <w:hideMark/>
          </w:tcPr>
          <w:p w14:paraId="34BE3E2A" w14:textId="3EFAD1BD" w:rsidR="002F33D0" w:rsidRPr="0052009A" w:rsidRDefault="00C808CB" w:rsidP="002F33D0">
            <w:pPr>
              <w:ind w:firstLine="0"/>
              <w:jc w:val="both"/>
              <w:rPr>
                <w:rFonts w:eastAsia="Times New Roman"/>
                <w:szCs w:val="24"/>
                <w:lang w:eastAsia="ru-RU"/>
              </w:rPr>
            </w:pPr>
            <w:r>
              <w:rPr>
                <w:rFonts w:eastAsia="Times New Roman"/>
                <w:bCs/>
                <w:szCs w:val="24"/>
                <w:lang w:eastAsia="ru-RU"/>
              </w:rPr>
              <w:t>МСП</w:t>
            </w:r>
            <w:r w:rsidR="002F33D0" w:rsidRPr="0052009A">
              <w:rPr>
                <w:rFonts w:eastAsia="Times New Roman"/>
                <w:bCs/>
                <w:szCs w:val="24"/>
                <w:lang w:eastAsia="ru-RU"/>
              </w:rPr>
              <w:t>: Поддержка неформальных каналов обмена знаниями.</w:t>
            </w:r>
          </w:p>
        </w:tc>
        <w:tc>
          <w:tcPr>
            <w:tcW w:w="4004" w:type="dxa"/>
            <w:hideMark/>
          </w:tcPr>
          <w:p w14:paraId="61EFC706" w14:textId="77777777" w:rsidR="002F33D0" w:rsidRPr="0052009A" w:rsidRDefault="002F33D0" w:rsidP="002F33D0">
            <w:pPr>
              <w:ind w:firstLine="0"/>
              <w:jc w:val="both"/>
              <w:rPr>
                <w:rFonts w:eastAsia="Times New Roman"/>
                <w:szCs w:val="24"/>
                <w:lang w:eastAsia="ru-RU"/>
              </w:rPr>
            </w:pPr>
            <w:r w:rsidRPr="0052009A">
              <w:rPr>
                <w:rFonts w:eastAsia="Times New Roman"/>
                <w:bCs/>
                <w:szCs w:val="24"/>
                <w:lang w:eastAsia="ru-RU"/>
              </w:rPr>
              <w:t>Крупные: Интеграция культуры устойчивого развития (ESG).</w:t>
            </w:r>
          </w:p>
        </w:tc>
        <w:tc>
          <w:tcPr>
            <w:tcW w:w="3625" w:type="dxa"/>
            <w:hideMark/>
          </w:tcPr>
          <w:p w14:paraId="5DDA2F10" w14:textId="07EFD4C8" w:rsidR="002F33D0" w:rsidRPr="0052009A" w:rsidRDefault="002F33D0" w:rsidP="002F33D0">
            <w:pPr>
              <w:ind w:firstLine="0"/>
              <w:jc w:val="both"/>
              <w:rPr>
                <w:rFonts w:eastAsia="Times New Roman"/>
                <w:szCs w:val="24"/>
                <w:lang w:eastAsia="ru-RU"/>
              </w:rPr>
            </w:pPr>
          </w:p>
        </w:tc>
      </w:tr>
      <w:tr w:rsidR="002F33D0" w:rsidRPr="002F33D0" w14:paraId="019A2977" w14:textId="77777777" w:rsidTr="00613AFE">
        <w:tc>
          <w:tcPr>
            <w:tcW w:w="2305" w:type="dxa"/>
            <w:hideMark/>
          </w:tcPr>
          <w:p w14:paraId="0DAECCEE" w14:textId="77777777" w:rsidR="002F33D0" w:rsidRPr="0052009A" w:rsidRDefault="002F33D0" w:rsidP="002F33D0">
            <w:pPr>
              <w:ind w:firstLine="0"/>
              <w:jc w:val="both"/>
              <w:rPr>
                <w:rFonts w:eastAsia="Times New Roman"/>
                <w:szCs w:val="24"/>
                <w:lang w:eastAsia="ru-RU"/>
              </w:rPr>
            </w:pPr>
            <w:r w:rsidRPr="0052009A">
              <w:rPr>
                <w:rFonts w:eastAsia="Times New Roman"/>
                <w:bCs/>
                <w:szCs w:val="24"/>
                <w:lang w:eastAsia="ru-RU"/>
              </w:rPr>
              <w:t>6. Цифровая среда (DS)</w:t>
            </w:r>
          </w:p>
        </w:tc>
        <w:tc>
          <w:tcPr>
            <w:tcW w:w="4619" w:type="dxa"/>
            <w:hideMark/>
          </w:tcPr>
          <w:p w14:paraId="05F891D8"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Крупные: Разработка комплексной стратегии цифровой трансформации и интеллектуализации бизнес-модели.</w:t>
            </w:r>
          </w:p>
          <w:p w14:paraId="2BFFB49B"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Средние: Формирование внутренней цифровой экосистемы как условия роста инновационного потенциала.</w:t>
            </w:r>
          </w:p>
          <w:p w14:paraId="0BC06D70" w14:textId="77777777" w:rsidR="002F33D0" w:rsidRPr="0052009A" w:rsidRDefault="002F33D0" w:rsidP="002F33D0">
            <w:pPr>
              <w:ind w:firstLine="0"/>
              <w:jc w:val="both"/>
              <w:rPr>
                <w:rFonts w:eastAsia="Times New Roman"/>
                <w:szCs w:val="24"/>
                <w:lang w:eastAsia="ru-RU"/>
              </w:rPr>
            </w:pPr>
            <w:r w:rsidRPr="0052009A">
              <w:rPr>
                <w:rFonts w:eastAsia="Times New Roman"/>
                <w:bCs/>
                <w:szCs w:val="24"/>
                <w:lang w:eastAsia="ru-RU"/>
              </w:rPr>
              <w:t>Малые: Внедрение базовой стратегии цифровой адаптации (облачные CRM/ERP).</w:t>
            </w:r>
          </w:p>
        </w:tc>
        <w:tc>
          <w:tcPr>
            <w:tcW w:w="4004" w:type="dxa"/>
            <w:hideMark/>
          </w:tcPr>
          <w:p w14:paraId="70330DF8"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Все: Обеспечение кибербезопасности.</w:t>
            </w:r>
          </w:p>
          <w:p w14:paraId="71ABCA58"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Крупные: Интеграция AI/ML для оптимизации процессов.</w:t>
            </w:r>
          </w:p>
          <w:p w14:paraId="667E777F" w14:textId="21377370" w:rsidR="002F33D0" w:rsidRPr="0052009A" w:rsidRDefault="00C808CB" w:rsidP="002F33D0">
            <w:pPr>
              <w:ind w:firstLine="0"/>
              <w:jc w:val="both"/>
              <w:rPr>
                <w:rFonts w:eastAsia="Times New Roman"/>
                <w:szCs w:val="24"/>
                <w:lang w:eastAsia="ru-RU"/>
              </w:rPr>
            </w:pPr>
            <w:r>
              <w:rPr>
                <w:rFonts w:eastAsia="Times New Roman"/>
                <w:bCs/>
                <w:szCs w:val="24"/>
                <w:lang w:eastAsia="ru-RU"/>
              </w:rPr>
              <w:t>МСП</w:t>
            </w:r>
            <w:r w:rsidR="002F33D0" w:rsidRPr="0052009A">
              <w:rPr>
                <w:rFonts w:eastAsia="Times New Roman"/>
                <w:bCs/>
                <w:szCs w:val="24"/>
                <w:lang w:eastAsia="ru-RU"/>
              </w:rPr>
              <w:t>: Использование онлайн-инструментов для автоматизации взаимодействия с клиентами и государством.</w:t>
            </w:r>
          </w:p>
        </w:tc>
        <w:tc>
          <w:tcPr>
            <w:tcW w:w="3625" w:type="dxa"/>
            <w:hideMark/>
          </w:tcPr>
          <w:p w14:paraId="1CBB21C6"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Все: Регулярное обновление цифровых инструментов.</w:t>
            </w:r>
          </w:p>
          <w:p w14:paraId="520B6C37"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Крупные: Развитие API-инфраструктуры для интеграции с внешними партнёрами.</w:t>
            </w:r>
          </w:p>
          <w:p w14:paraId="1B43582B" w14:textId="77777777" w:rsidR="002F33D0" w:rsidRPr="0052009A" w:rsidRDefault="002F33D0" w:rsidP="002F33D0">
            <w:pPr>
              <w:ind w:firstLine="0"/>
              <w:jc w:val="both"/>
              <w:rPr>
                <w:rFonts w:eastAsia="Times New Roman"/>
                <w:szCs w:val="24"/>
                <w:lang w:eastAsia="ru-RU"/>
              </w:rPr>
            </w:pPr>
            <w:r w:rsidRPr="0052009A">
              <w:rPr>
                <w:rFonts w:eastAsia="Times New Roman"/>
                <w:bCs/>
                <w:szCs w:val="24"/>
                <w:lang w:eastAsia="ru-RU"/>
              </w:rPr>
              <w:t>Средние: Создание внутренних центров компетенций по цифровому управлению.</w:t>
            </w:r>
          </w:p>
        </w:tc>
      </w:tr>
      <w:tr w:rsidR="002F33D0" w:rsidRPr="002F33D0" w14:paraId="718F589C" w14:textId="77777777" w:rsidTr="00613AFE">
        <w:tc>
          <w:tcPr>
            <w:tcW w:w="2305" w:type="dxa"/>
            <w:hideMark/>
          </w:tcPr>
          <w:p w14:paraId="1235646B" w14:textId="3125BA8E" w:rsidR="002F33D0" w:rsidRPr="0052009A" w:rsidRDefault="002F33D0" w:rsidP="002F33D0">
            <w:pPr>
              <w:ind w:firstLine="0"/>
              <w:jc w:val="both"/>
              <w:rPr>
                <w:rFonts w:eastAsia="Times New Roman"/>
                <w:szCs w:val="24"/>
                <w:lang w:eastAsia="ru-RU"/>
              </w:rPr>
            </w:pPr>
            <w:r w:rsidRPr="0052009A">
              <w:rPr>
                <w:rFonts w:eastAsia="Times New Roman"/>
                <w:bCs/>
                <w:szCs w:val="24"/>
                <w:lang w:eastAsia="ru-RU"/>
              </w:rPr>
              <w:t>7. Институциональная среда (Inst)</w:t>
            </w:r>
            <w:r w:rsidRPr="0052009A">
              <w:rPr>
                <w:rFonts w:eastAsia="Times New Roman"/>
                <w:szCs w:val="24"/>
                <w:lang w:eastAsia="ru-RU"/>
              </w:rPr>
              <w:t xml:space="preserve"> (Критический барьер для МСП)</w:t>
            </w:r>
          </w:p>
        </w:tc>
        <w:tc>
          <w:tcPr>
            <w:tcW w:w="4619" w:type="dxa"/>
            <w:hideMark/>
          </w:tcPr>
          <w:p w14:paraId="255A1A77"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Все: Повышение осведомлённости о мерах господдержки, активное использование цифровых информационных каналов.</w:t>
            </w:r>
          </w:p>
          <w:p w14:paraId="0CB6120D" w14:textId="27596BA8" w:rsidR="002F33D0" w:rsidRPr="0052009A" w:rsidRDefault="00C808CB" w:rsidP="002F33D0">
            <w:pPr>
              <w:ind w:firstLine="0"/>
              <w:jc w:val="both"/>
              <w:rPr>
                <w:rFonts w:eastAsia="Times New Roman"/>
                <w:szCs w:val="24"/>
                <w:lang w:eastAsia="ru-RU"/>
              </w:rPr>
            </w:pPr>
            <w:r>
              <w:rPr>
                <w:rFonts w:eastAsia="Times New Roman"/>
                <w:bCs/>
                <w:szCs w:val="24"/>
                <w:lang w:eastAsia="ru-RU"/>
              </w:rPr>
              <w:t>МСП</w:t>
            </w:r>
            <w:r w:rsidR="002F33D0" w:rsidRPr="0052009A">
              <w:rPr>
                <w:rFonts w:eastAsia="Times New Roman"/>
                <w:bCs/>
                <w:szCs w:val="24"/>
                <w:lang w:eastAsia="ru-RU"/>
              </w:rPr>
              <w:t>: Ориентация на финансовые и образовательные меры поддержки, включая международные стажировки.</w:t>
            </w:r>
          </w:p>
        </w:tc>
        <w:tc>
          <w:tcPr>
            <w:tcW w:w="4004" w:type="dxa"/>
            <w:hideMark/>
          </w:tcPr>
          <w:p w14:paraId="3FDF2B24"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Все: Снижение трансакционных издержек участия в программах через внедрение цифрового «Единого окна» (Astana Hub, QazInnovations).</w:t>
            </w:r>
          </w:p>
          <w:p w14:paraId="6F86DEED" w14:textId="77777777" w:rsidR="002F33D0" w:rsidRPr="0052009A" w:rsidRDefault="002F33D0" w:rsidP="002F33D0">
            <w:pPr>
              <w:ind w:firstLine="0"/>
              <w:jc w:val="both"/>
              <w:rPr>
                <w:rFonts w:eastAsia="Times New Roman"/>
                <w:szCs w:val="24"/>
                <w:lang w:eastAsia="ru-RU"/>
              </w:rPr>
            </w:pPr>
            <w:r w:rsidRPr="0052009A">
              <w:rPr>
                <w:rFonts w:eastAsia="Times New Roman"/>
                <w:bCs/>
                <w:szCs w:val="24"/>
                <w:lang w:eastAsia="ru-RU"/>
              </w:rPr>
              <w:t>Крупные/Средние: Укрепление взаимодействия с технопарками и научными центрами.</w:t>
            </w:r>
          </w:p>
        </w:tc>
        <w:tc>
          <w:tcPr>
            <w:tcW w:w="3625" w:type="dxa"/>
            <w:hideMark/>
          </w:tcPr>
          <w:p w14:paraId="24232056" w14:textId="77777777" w:rsidR="002F33D0" w:rsidRPr="0052009A" w:rsidRDefault="002F33D0" w:rsidP="002F33D0">
            <w:pPr>
              <w:ind w:firstLine="0"/>
              <w:jc w:val="both"/>
              <w:rPr>
                <w:rFonts w:eastAsia="Times New Roman"/>
                <w:bCs/>
                <w:szCs w:val="24"/>
                <w:lang w:eastAsia="ru-RU"/>
              </w:rPr>
            </w:pPr>
            <w:r w:rsidRPr="0052009A">
              <w:rPr>
                <w:rFonts w:eastAsia="Times New Roman"/>
                <w:bCs/>
                <w:szCs w:val="24"/>
                <w:lang w:eastAsia="ru-RU"/>
              </w:rPr>
              <w:t>Все: Укрепление адресности государственной поддержки.</w:t>
            </w:r>
          </w:p>
          <w:p w14:paraId="729C4EFE" w14:textId="55FD6866" w:rsidR="002F33D0" w:rsidRPr="0052009A" w:rsidRDefault="00C808CB" w:rsidP="002F33D0">
            <w:pPr>
              <w:ind w:firstLine="0"/>
              <w:jc w:val="both"/>
              <w:rPr>
                <w:rFonts w:eastAsia="Times New Roman"/>
                <w:szCs w:val="24"/>
                <w:lang w:eastAsia="ru-RU"/>
              </w:rPr>
            </w:pPr>
            <w:r>
              <w:rPr>
                <w:rFonts w:eastAsia="Times New Roman"/>
                <w:bCs/>
                <w:szCs w:val="24"/>
                <w:lang w:eastAsia="ru-RU"/>
              </w:rPr>
              <w:t>МСП</w:t>
            </w:r>
            <w:r w:rsidR="002F33D0" w:rsidRPr="0052009A">
              <w:rPr>
                <w:rFonts w:eastAsia="Times New Roman"/>
                <w:bCs/>
                <w:szCs w:val="24"/>
                <w:lang w:eastAsia="ru-RU"/>
              </w:rPr>
              <w:t>: Введение консультационно-образовательных треков в программы господдержки.</w:t>
            </w:r>
          </w:p>
        </w:tc>
      </w:tr>
      <w:tr w:rsidR="00613AFE" w:rsidRPr="002F33D0" w14:paraId="3B810179" w14:textId="77777777" w:rsidTr="00043020">
        <w:tc>
          <w:tcPr>
            <w:tcW w:w="14553" w:type="dxa"/>
            <w:gridSpan w:val="4"/>
          </w:tcPr>
          <w:p w14:paraId="18CE402F" w14:textId="65480423" w:rsidR="00613AFE" w:rsidRPr="00613AFE" w:rsidRDefault="00613AFE" w:rsidP="000F3C80">
            <w:pPr>
              <w:ind w:firstLine="455"/>
              <w:jc w:val="both"/>
              <w:rPr>
                <w:rFonts w:eastAsia="Times New Roman"/>
                <w:bCs/>
                <w:szCs w:val="24"/>
                <w:lang w:val="kk-KZ" w:eastAsia="ru-RU"/>
              </w:rPr>
            </w:pPr>
            <w:r>
              <w:rPr>
                <w:rFonts w:eastAsia="Times New Roman"/>
                <w:bCs/>
                <w:szCs w:val="24"/>
                <w:lang w:val="kk-KZ" w:eastAsia="ru-RU"/>
              </w:rPr>
              <w:t xml:space="preserve">Примечание – </w:t>
            </w:r>
            <w:r w:rsidR="000F3C80">
              <w:rPr>
                <w:rFonts w:eastAsia="Times New Roman"/>
                <w:bCs/>
                <w:szCs w:val="24"/>
                <w:lang w:val="kk-KZ" w:eastAsia="ru-RU"/>
              </w:rPr>
              <w:t>С</w:t>
            </w:r>
            <w:r>
              <w:rPr>
                <w:rFonts w:eastAsia="Times New Roman"/>
                <w:bCs/>
                <w:szCs w:val="24"/>
                <w:lang w:val="kk-KZ" w:eastAsia="ru-RU"/>
              </w:rPr>
              <w:t>оставлено автором</w:t>
            </w:r>
          </w:p>
        </w:tc>
      </w:tr>
    </w:tbl>
    <w:p w14:paraId="23476012" w14:textId="77777777" w:rsidR="002F33D0" w:rsidRPr="002F33D0" w:rsidRDefault="002F33D0" w:rsidP="002F33D0">
      <w:pPr>
        <w:tabs>
          <w:tab w:val="left" w:pos="851"/>
        </w:tabs>
        <w:spacing w:after="0" w:line="240" w:lineRule="auto"/>
        <w:jc w:val="both"/>
        <w:rPr>
          <w:rFonts w:ascii="Times New Roman" w:hAnsi="Times New Roman" w:cs="Times New Roman"/>
          <w:sz w:val="28"/>
          <w:szCs w:val="28"/>
        </w:rPr>
      </w:pPr>
    </w:p>
    <w:p w14:paraId="043D4EB6" w14:textId="6EB5E5EB" w:rsidR="002F33D0" w:rsidRPr="002F33D0" w:rsidRDefault="002F33D0" w:rsidP="002F33D0">
      <w:pPr>
        <w:tabs>
          <w:tab w:val="left" w:pos="851"/>
        </w:tabs>
        <w:spacing w:after="0" w:line="240" w:lineRule="auto"/>
        <w:jc w:val="both"/>
        <w:rPr>
          <w:rFonts w:ascii="Times New Roman" w:hAnsi="Times New Roman" w:cs="Times New Roman"/>
          <w:sz w:val="28"/>
          <w:szCs w:val="28"/>
        </w:rPr>
      </w:pPr>
    </w:p>
    <w:p w14:paraId="3F014A20" w14:textId="367349D5" w:rsidR="002F33D0" w:rsidRPr="002F33D0" w:rsidRDefault="008C31B9" w:rsidP="002F33D0">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20704" behindDoc="0" locked="0" layoutInCell="1" allowOverlap="1" wp14:anchorId="7FE4444C" wp14:editId="5431C66C">
                <wp:simplePos x="0" y="0"/>
                <wp:positionH relativeFrom="column">
                  <wp:posOffset>4453489</wp:posOffset>
                </wp:positionH>
                <wp:positionV relativeFrom="paragraph">
                  <wp:posOffset>1159978</wp:posOffset>
                </wp:positionV>
                <wp:extent cx="517358" cy="421105"/>
                <wp:effectExtent l="0" t="0" r="16510" b="17145"/>
                <wp:wrapNone/>
                <wp:docPr id="183" name="Прямоугольник 183"/>
                <wp:cNvGraphicFramePr/>
                <a:graphic xmlns:a="http://schemas.openxmlformats.org/drawingml/2006/main">
                  <a:graphicData uri="http://schemas.microsoft.com/office/word/2010/wordprocessingShape">
                    <wps:wsp>
                      <wps:cNvSpPr/>
                      <wps:spPr>
                        <a:xfrm>
                          <a:off x="0" y="0"/>
                          <a:ext cx="517358" cy="4211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059D74" id="Прямоугольник 183" o:spid="_x0000_s1026" style="position:absolute;margin-left:350.65pt;margin-top:91.35pt;width:40.75pt;height:33.1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4xluAIAAMAFAAAOAAAAZHJzL2Uyb0RvYy54bWysVM1u2zAMvg/YOwi6r7bTZO2COkXQosOA&#10;og3WDj0rshQbkCVNUuJkpwG7Ftgj7CF2GfbTZ3DeaJT8k64rdiiWg0Ka5CfyE8mj43Up0IoZWyiZ&#10;4mQvxohJqrJCLlL87vrsxSFG1hGZEaEkS/GGWXw8ef7sqNJjNlC5EhkzCECkHVc6xblzehxFluas&#10;JHZPaSbByJUpiQPVLKLMkArQSxEN4vhlVCmTaaMosxa+njZGPAn4nDPqLjm3zCGRYsjNhdOEc+7P&#10;aHJExgtDdF7QNg3yhCxKUki4tIc6JY6gpSn+gioLapRV3O1RVUaK84KyUANUk8QPqrnKiWahFiDH&#10;6p4m+/9g6cVqZlCRwdsd7mMkSQmPVH/Zftx+rn/Wd9tP9df6rv6xva1/1d/q78h7AWeVtmMIvdIz&#10;02oWRE/AmpvS/0NpaB143vQ8s7VDFD6OkoP9ETQGBdNwkCTxyGNGu2BtrHvNVIm8kGIDzxjYJatz&#10;6xrXzsXfZZUosrNCiKD41mEnwqAVgUefL5IW/A8vIZ8UCDn6yMjX31QcJLcRzOMJ+ZZxYBNqHISE&#10;Qx/vkiGUMumSxpSTjDU5jmL4dVl26QdCAqBH5lBdj90CdJ4NSIfd0NP6+1AWxqAPjv+VWBPcR4Sb&#10;lXR9cFlIZR4DEFBVe3Pj35HUUONZmqtsA71mVDOEVtOzAp73nFg3IwamDuYTNom7hIMLVaVYtRJG&#10;uTIfHvvu/WEYwIpRBVOcYvt+SQzDSLyRMCavkuHQj31QhqODASjmvmV+3yKX5YmCnklgZ2kaRO/v&#10;RCdyo8obWDhTfyuYiKRwd4qpM51y4prtAiuLsuk0uMGoa+LO5ZWmHtyz6tv3en1DjG573MFwXKhu&#10;4sn4Qas3vj5SqunSKV6EOdjx2vINayI0TrvS/B66rwev3eKd/AYAAP//AwBQSwMEFAAGAAgAAAAh&#10;AAjH9GDgAAAACwEAAA8AAABkcnMvZG93bnJldi54bWxMj0FLxDAQhe+C/yGM4M1NNort1qaLiCKC&#10;h3VX0GO2mbTFJilN2q3/3vGkx+F9vPleuV1cz2YcYxe8gvVKAENfB9P5RsH74ekqBxaT9kb3waOC&#10;b4ywrc7PSl2YcPJvOO9Tw6jEx0IraFMaCs5j3aLTcRUG9JTZMDqd6BwbbkZ9onLXcynELXe68/Sh&#10;1QM+tFh/7Sen4NPq58PjS3zlVs520+2mD5tNSl1eLPd3wBIu6Q+GX31Sh4qcjmHyJrJeQSbW14RS&#10;kMsMGBFZLmnMUYG82QjgVcn/b6h+AAAA//8DAFBLAQItABQABgAIAAAAIQC2gziS/gAAAOEBAAAT&#10;AAAAAAAAAAAAAAAAAAAAAABbQ29udGVudF9UeXBlc10ueG1sUEsBAi0AFAAGAAgAAAAhADj9If/W&#10;AAAAlAEAAAsAAAAAAAAAAAAAAAAALwEAAF9yZWxzLy5yZWxzUEsBAi0AFAAGAAgAAAAhAKNXjGW4&#10;AgAAwAUAAA4AAAAAAAAAAAAAAAAALgIAAGRycy9lMm9Eb2MueG1sUEsBAi0AFAAGAAgAAAAhAAjH&#10;9GDgAAAACwEAAA8AAAAAAAAAAAAAAAAAEgUAAGRycy9kb3ducmV2LnhtbFBLBQYAAAAABAAEAPMA&#10;AAAfBgAAAAA=&#10;" fillcolor="white [3212]" strokecolor="white [3212]" strokeweight="1pt"/>
            </w:pict>
          </mc:Fallback>
        </mc:AlternateContent>
      </w:r>
      <w:r w:rsidR="00C465CD">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47E212E4" wp14:editId="7CD028BC">
                <wp:simplePos x="0" y="0"/>
                <wp:positionH relativeFrom="column">
                  <wp:posOffset>4453890</wp:posOffset>
                </wp:positionH>
                <wp:positionV relativeFrom="paragraph">
                  <wp:posOffset>1723390</wp:posOffset>
                </wp:positionV>
                <wp:extent cx="350520" cy="228600"/>
                <wp:effectExtent l="0" t="0" r="11430" b="19050"/>
                <wp:wrapNone/>
                <wp:docPr id="128" name="Прямоугольник 128"/>
                <wp:cNvGraphicFramePr/>
                <a:graphic xmlns:a="http://schemas.openxmlformats.org/drawingml/2006/main">
                  <a:graphicData uri="http://schemas.microsoft.com/office/word/2010/wordprocessingShape">
                    <wps:wsp>
                      <wps:cNvSpPr/>
                      <wps:spPr>
                        <a:xfrm>
                          <a:off x="0" y="0"/>
                          <a:ext cx="350520" cy="228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E1A2B7" id="Прямоугольник 128" o:spid="_x0000_s1026" style="position:absolute;margin-left:350.7pt;margin-top:135.7pt;width:27.6pt;height:18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pFNuQIAAMAFAAAOAAAAZHJzL2Uyb0RvYy54bWysVM1uEzEQviPxDpbvdDdLU0rUTRWlKkKq&#10;2ogW9ex47exKXtvYTjbhhMQViUfgIbggfvoMmzdi7P1JKBWHihwce2fmm5lvfk5O16VAK2ZsoWSK&#10;BwcxRkxSlRVykeK3N+fPjjGyjsiMCCVZijfM4tPx0ycnlR6xROVKZMwgAJF2VOkU587pURRZmrOS&#10;2AOlmQQhV6YkDp5mEWWGVIBeiiiJ46OoUibTRlFmLXw9a4R4HPA5Z9RdcW6ZQyLFEJsLpwnn3J/R&#10;+ISMFobovKBtGOQRUZSkkOC0hzojjqClKf6CKgtqlFXcHVBVRorzgrKQA2QziO9lc50TzUIuQI7V&#10;PU32/8HSy9XMoCKD2iVQKklKKFL9Zfth+7n+Wd9tP9Zf67v6x/ZT/av+Vn9HXgs4q7Qdgem1npn2&#10;ZeHqCVhzU/p/SA2tA8+bnme2dojCx+fDeJhANSiIkuT4KA51iHbG2lj3iqkS+UuKDZQxsEtWF9aB&#10;Q1DtVLwvq0SRnRdChIdvHTYVBq0IFH2+GPiAweIPLSEfZQgw3jLy+TcZh5vbCObxhHzDOLAJOSYh&#10;4NDHu2AIpUy6QSPKScaaGIcx/Loou/BDzAHQI3PIrsduATrNBqTDbpJt9b0pC2PQG8f/Cqwx7i2C&#10;ZyVdb1wWUpmHAARk1Xpu9DuSGmo8S3OVbaDXjGqG0Gp6XkB5L4h1M2Jg6qAjYJO4Kzi4UFWKVXvD&#10;KFfm/UPfvT4MA0gxqmCKU2zfLYlhGInXEsbk5eDw0I99eBwOX/iuM/uS+b5ELsupgp4ZwM7SNFy9&#10;vhPdlRtV3sLCmXivICKSgu8UU2e6x9Q12wVWFmWTSVCDUdfEXchrTT24Z9W37836lhjd9riD4bhU&#10;3cST0b1Wb3S9pVSTpVO8CHOw47XlG9ZEaJx2pfk9tP8OWrvFO/4NAAD//wMAUEsDBBQABgAIAAAA&#10;IQAKPHCN4QAAAAsBAAAPAAAAZHJzL2Rvd25yZXYueG1sTI/BTsMwDIbvSLxDZCRuLFkZzSh1J4RA&#10;CGkH2JDGMWuTtqJxqibtytuTneBmy59+f3++mW3HJj341hHCciGAaSpd1VKN8Ll/uVkD80FRpTpH&#10;GuFHe9gUlxe5yip3og897ULNYgj5TCE0IfQZ575stFV+4XpN8WbcYFWI61DzalCnGG47ngiRcqta&#10;ih8a1eunRpffu9EifBn1un9+81tuksnct+/jwcgR8fpqfnwAFvQc/mA460d1KKLT0Y1UedYhSLFc&#10;RRQhkechEvIuTYEdEW6FXAEvcv6/Q/ELAAD//wMAUEsBAi0AFAAGAAgAAAAhALaDOJL+AAAA4QEA&#10;ABMAAAAAAAAAAAAAAAAAAAAAAFtDb250ZW50X1R5cGVzXS54bWxQSwECLQAUAAYACAAAACEAOP0h&#10;/9YAAACUAQAACwAAAAAAAAAAAAAAAAAvAQAAX3JlbHMvLnJlbHNQSwECLQAUAAYACAAAACEASF6R&#10;TbkCAADABQAADgAAAAAAAAAAAAAAAAAuAgAAZHJzL2Uyb0RvYy54bWxQSwECLQAUAAYACAAAACEA&#10;CjxwjeEAAAALAQAADwAAAAAAAAAAAAAAAAATBQAAZHJzL2Rvd25yZXYueG1sUEsFBgAAAAAEAAQA&#10;8wAAACEGAAAAAA==&#10;" fillcolor="white [3212]" strokecolor="white [3212]" strokeweight="1pt"/>
            </w:pict>
          </mc:Fallback>
        </mc:AlternateContent>
      </w:r>
    </w:p>
    <w:p w14:paraId="2F857555" w14:textId="33BC5F18" w:rsidR="002F33D0" w:rsidRPr="002F33D0" w:rsidRDefault="002F33D0" w:rsidP="002F33D0">
      <w:pPr>
        <w:tabs>
          <w:tab w:val="left" w:pos="851"/>
        </w:tabs>
        <w:spacing w:after="0" w:line="240" w:lineRule="auto"/>
        <w:jc w:val="both"/>
        <w:rPr>
          <w:rFonts w:ascii="Times New Roman" w:hAnsi="Times New Roman" w:cs="Times New Roman"/>
          <w:sz w:val="28"/>
          <w:szCs w:val="28"/>
        </w:rPr>
        <w:sectPr w:rsidR="002F33D0" w:rsidRPr="002F33D0" w:rsidSect="00007676">
          <w:pgSz w:w="16838" w:h="11906" w:orient="landscape"/>
          <w:pgMar w:top="1701" w:right="1134" w:bottom="567" w:left="1134" w:header="709" w:footer="709" w:gutter="0"/>
          <w:cols w:space="708"/>
          <w:docGrid w:linePitch="360"/>
        </w:sectPr>
      </w:pPr>
    </w:p>
    <w:p w14:paraId="31A303C9" w14:textId="4ED0CC9E" w:rsidR="008B2B16" w:rsidRDefault="008B2B16" w:rsidP="0052009A">
      <w:pPr>
        <w:tabs>
          <w:tab w:val="left" w:pos="851"/>
        </w:tabs>
        <w:spacing w:after="0" w:line="240" w:lineRule="auto"/>
        <w:ind w:firstLine="567"/>
        <w:jc w:val="both"/>
        <w:rPr>
          <w:rFonts w:ascii="Times New Roman" w:hAnsi="Times New Roman" w:cs="Times New Roman"/>
          <w:sz w:val="28"/>
          <w:szCs w:val="28"/>
        </w:rPr>
      </w:pPr>
      <w:r w:rsidRPr="008B2B16">
        <w:rPr>
          <w:rFonts w:ascii="Times New Roman" w:hAnsi="Times New Roman" w:cs="Times New Roman"/>
          <w:sz w:val="28"/>
          <w:szCs w:val="28"/>
        </w:rPr>
        <w:lastRenderedPageBreak/>
        <w:t>Такой подход позволяет учитывать отраслевые особенности инновационного развития, включая различия в технологической интенсивности, капиталоёмкости, регуляторной нагрузке и характере человеческого капитала. Полученные отраслевые β-коэффициенты могут использоваться при диагностике инновационного потенциала предприятий соответствующей отрасли, обеспечивая более точную и контекстно чувствительную оценку.</w:t>
      </w:r>
    </w:p>
    <w:p w14:paraId="3B46BA2B" w14:textId="0969C8A1" w:rsidR="008B2B16" w:rsidRDefault="008B2B16" w:rsidP="0052009A">
      <w:pPr>
        <w:tabs>
          <w:tab w:val="left" w:pos="851"/>
        </w:tabs>
        <w:spacing w:after="0" w:line="240" w:lineRule="auto"/>
        <w:ind w:firstLine="567"/>
        <w:jc w:val="both"/>
        <w:rPr>
          <w:rFonts w:ascii="Times New Roman" w:hAnsi="Times New Roman" w:cs="Times New Roman"/>
          <w:sz w:val="28"/>
          <w:szCs w:val="28"/>
        </w:rPr>
      </w:pPr>
      <w:r w:rsidRPr="008B2B16">
        <w:rPr>
          <w:rFonts w:ascii="Times New Roman" w:hAnsi="Times New Roman" w:cs="Times New Roman"/>
          <w:sz w:val="28"/>
          <w:szCs w:val="28"/>
        </w:rPr>
        <w:t>Аналогичным образом методология может быть адаптирована с учётом региональных особенностей Республики Казахстан. Проведение регионального моделирования позволяет учитывать различия в уровне цифровой инфраструктуры, доступе к институтам государственной поддержки, концентрации человеческого капитала и развитии инновационных экосистем, что особенно важно для стран с выраженной территориальной неоднородностью инновационного развития.</w:t>
      </w:r>
    </w:p>
    <w:p w14:paraId="3A42863B" w14:textId="7326FE0D" w:rsidR="008B2B16" w:rsidRPr="002F33D0" w:rsidRDefault="008B2B16" w:rsidP="0052009A">
      <w:pPr>
        <w:tabs>
          <w:tab w:val="left" w:pos="851"/>
        </w:tabs>
        <w:spacing w:after="0" w:line="240" w:lineRule="auto"/>
        <w:ind w:firstLine="567"/>
        <w:jc w:val="both"/>
        <w:rPr>
          <w:rFonts w:ascii="Times New Roman" w:hAnsi="Times New Roman" w:cs="Times New Roman"/>
          <w:sz w:val="28"/>
          <w:szCs w:val="28"/>
        </w:rPr>
      </w:pPr>
      <w:r w:rsidRPr="008B2B16">
        <w:rPr>
          <w:rFonts w:ascii="Times New Roman" w:hAnsi="Times New Roman" w:cs="Times New Roman"/>
          <w:sz w:val="28"/>
          <w:szCs w:val="28"/>
        </w:rPr>
        <w:t>Таким образом, разработанная методология проектирования инновационного потенциала обладает универсальным характером и может быть использована как инструмент многоуровневой диагностики и управления инновационным развитие</w:t>
      </w:r>
      <w:r w:rsidR="005129E8">
        <w:rPr>
          <w:rFonts w:ascii="Times New Roman" w:hAnsi="Times New Roman" w:cs="Times New Roman"/>
          <w:sz w:val="28"/>
          <w:szCs w:val="28"/>
        </w:rPr>
        <w:t xml:space="preserve">м предпринимательских структур </w:t>
      </w:r>
      <w:r w:rsidR="005129E8">
        <w:rPr>
          <w:rFonts w:ascii="Times New Roman" w:hAnsi="Times New Roman" w:cs="Times New Roman"/>
          <w:sz w:val="28"/>
          <w:szCs w:val="28"/>
          <w:lang w:val="kk-KZ"/>
        </w:rPr>
        <w:t>–</w:t>
      </w:r>
      <w:r w:rsidRPr="008B2B16">
        <w:rPr>
          <w:rFonts w:ascii="Times New Roman" w:hAnsi="Times New Roman" w:cs="Times New Roman"/>
          <w:sz w:val="28"/>
          <w:szCs w:val="28"/>
        </w:rPr>
        <w:t xml:space="preserve"> по размеру, отрасли и региону. Это обеспечивает её практическую применимость в формировании адресных управленческих и институциональных решений в условиях цифровой трансформации экономики.</w:t>
      </w:r>
    </w:p>
    <w:p w14:paraId="60E7AAC4" w14:textId="38B82390" w:rsidR="002F33D0" w:rsidRPr="002F33D0" w:rsidRDefault="00613AFE" w:rsidP="0052009A">
      <w:pPr>
        <w:tabs>
          <w:tab w:val="left" w:pos="851"/>
        </w:tabs>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Выводы по разделу 3.3</w:t>
      </w:r>
    </w:p>
    <w:p w14:paraId="328F07DB" w14:textId="77777777"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Проведённый проектный анализ позволил перевести результаты диагностики инновационного потенциала в систему конкретных управленческих и институциональных решений, ориентированных на устойчивое развитие предпринимательских структур в условиях цифровой трансформации. На основе выявленных приоритетов проектирования были разработаны рекомендации, учитывающие специфику ресурсных и процессных компонентов инновационного потенциала, масштаб предприятия, уровень цифровой зрелости и особенности внешней институциональной среды.</w:t>
      </w:r>
    </w:p>
    <w:p w14:paraId="342D308E" w14:textId="77777777"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Во-первых, обоснована необходимость трансформации государственной поддержки инноваций в направлении экосистемного сопровождения. Институциональные барьеры и высокие трансакционные издержки остаются ключевыми ограничителями инновационной активности МСП, что требует перехода к цифровизации процедур, дифференциации требований к отчётности и развитию консультационно-образовательных форм поддержки. Использование зарубежных практик подтвердило эффективность комплексных мер, сочетающих финансирование, партнёрство и развитие компетенций.</w:t>
      </w:r>
    </w:p>
    <w:p w14:paraId="44AC82D0" w14:textId="6D7E7B17"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 xml:space="preserve">Во-вторых, предложена концептуальная модель управления человеческим капиталом, направленная на преодоление парадокса HR-практик, выявленного в эмпирической части исследования. Трёхуровневая система управления </w:t>
      </w:r>
      <w:r w:rsidR="009D20AE">
        <w:rPr>
          <w:rFonts w:ascii="Times New Roman" w:hAnsi="Times New Roman" w:cs="Times New Roman"/>
          <w:sz w:val="28"/>
          <w:szCs w:val="28"/>
          <w:lang w:val="kk-KZ"/>
        </w:rPr>
        <w:t>–</w:t>
      </w:r>
      <w:r w:rsidRPr="002F33D0">
        <w:rPr>
          <w:rFonts w:ascii="Times New Roman" w:hAnsi="Times New Roman" w:cs="Times New Roman"/>
          <w:sz w:val="28"/>
          <w:szCs w:val="28"/>
          <w:lang w:val="kk-KZ"/>
        </w:rPr>
        <w:t xml:space="preserve"> стратегический, организационный и индивидуальный уровни </w:t>
      </w:r>
      <w:r w:rsidR="009D20AE">
        <w:rPr>
          <w:rFonts w:ascii="Times New Roman" w:hAnsi="Times New Roman" w:cs="Times New Roman"/>
          <w:sz w:val="28"/>
          <w:szCs w:val="28"/>
          <w:lang w:val="kk-KZ"/>
        </w:rPr>
        <w:t>–</w:t>
      </w:r>
      <w:r w:rsidRPr="002F33D0">
        <w:rPr>
          <w:rFonts w:ascii="Times New Roman" w:hAnsi="Times New Roman" w:cs="Times New Roman"/>
          <w:sz w:val="28"/>
          <w:szCs w:val="28"/>
          <w:lang w:val="kk-KZ"/>
        </w:rPr>
        <w:t xml:space="preserve"> обеспечивает согласование формальных HR-механизмов с ключевыми компетенциями работников и формированием инновационной культуры. Особое значение </w:t>
      </w:r>
      <w:r w:rsidRPr="002F33D0">
        <w:rPr>
          <w:rFonts w:ascii="Times New Roman" w:hAnsi="Times New Roman" w:cs="Times New Roman"/>
          <w:sz w:val="28"/>
          <w:szCs w:val="28"/>
          <w:lang w:val="kk-KZ"/>
        </w:rPr>
        <w:lastRenderedPageBreak/>
        <w:t>приобретает развитие универсальных и технологических компетенций, а также создание среды психологической безопасности и креативной автономии.</w:t>
      </w:r>
    </w:p>
    <w:p w14:paraId="29234D7D" w14:textId="7AEC6D52"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 xml:space="preserve">В-третьих, показано, что цифровая адаптация выполняет медиаторную и компенсаторную функции в формировании инновационного потенциала, усиливая влияние ресурсных факторов и снижая структурные ограничения. На этой основе разработана типология цифрового развития предпринимательских структур по масштабам предприятий и предложены дифференцированные направления цифровизации </w:t>
      </w:r>
      <w:r w:rsidR="009D20AE">
        <w:rPr>
          <w:rFonts w:ascii="Times New Roman" w:hAnsi="Times New Roman" w:cs="Times New Roman"/>
          <w:sz w:val="28"/>
          <w:szCs w:val="28"/>
          <w:lang w:val="kk-KZ"/>
        </w:rPr>
        <w:t>–</w:t>
      </w:r>
      <w:r w:rsidRPr="002F33D0">
        <w:rPr>
          <w:rFonts w:ascii="Times New Roman" w:hAnsi="Times New Roman" w:cs="Times New Roman"/>
          <w:sz w:val="28"/>
          <w:szCs w:val="28"/>
          <w:lang w:val="kk-KZ"/>
        </w:rPr>
        <w:t xml:space="preserve"> от облачных решений и «лёгких» форм аналитики для МСП до внедрения ИИ, роботизации и открытых инноваций для крупных организаций.</w:t>
      </w:r>
    </w:p>
    <w:p w14:paraId="4A608BC7" w14:textId="152E70B9"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 xml:space="preserve">В-четвёртых, разработан механизм внедрения диагностического инструмента и цифровой платформы, интегрирующий функции оценки, визуализации и генерации управленческих рекомендаций. Определены этапы внедрения </w:t>
      </w:r>
      <w:r w:rsidR="009D20AE">
        <w:rPr>
          <w:rFonts w:ascii="Times New Roman" w:hAnsi="Times New Roman" w:cs="Times New Roman"/>
          <w:sz w:val="28"/>
          <w:szCs w:val="28"/>
          <w:lang w:val="kk-KZ"/>
        </w:rPr>
        <w:t>–</w:t>
      </w:r>
      <w:r w:rsidRPr="002F33D0">
        <w:rPr>
          <w:rFonts w:ascii="Times New Roman" w:hAnsi="Times New Roman" w:cs="Times New Roman"/>
          <w:sz w:val="28"/>
          <w:szCs w:val="28"/>
          <w:lang w:val="kk-KZ"/>
        </w:rPr>
        <w:t xml:space="preserve"> пилотное тестирование, институциональная интеграция, национальное масштабирование и международная кооперация </w:t>
      </w:r>
      <w:r w:rsidR="009D20AE">
        <w:rPr>
          <w:rFonts w:ascii="Times New Roman" w:hAnsi="Times New Roman" w:cs="Times New Roman"/>
          <w:sz w:val="28"/>
          <w:szCs w:val="28"/>
          <w:lang w:val="kk-KZ"/>
        </w:rPr>
        <w:t>–</w:t>
      </w:r>
      <w:r w:rsidRPr="002F33D0">
        <w:rPr>
          <w:rFonts w:ascii="Times New Roman" w:hAnsi="Times New Roman" w:cs="Times New Roman"/>
          <w:sz w:val="28"/>
          <w:szCs w:val="28"/>
          <w:lang w:val="kk-KZ"/>
        </w:rPr>
        <w:t xml:space="preserve"> а также потенциальные риски реализации. Показано, что цифровая платформа способна стать ядром современного механизма управления инновационным развитием, обеспечивая связь между внутренними ресурсами предприятия и государственной инновационной политикой.</w:t>
      </w:r>
    </w:p>
    <w:p w14:paraId="74DF2330" w14:textId="77777777"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В-пятых, представлена сводная матрица адресных рекомендаций, отражающая взаимосвязь ресурсных компонентов и стадий инновационного процесса. Данный инструмент обеспечивает практическую применимость методики, позволяя формировать комплекс проектных решений с учётом специфики разных типов предпринимательских структур и выявленных критических зон инновационной системы.</w:t>
      </w:r>
    </w:p>
    <w:p w14:paraId="2F55D6BC" w14:textId="77777777"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Таким образом, раздел 3.3 формирует завершённую систему проектных решений, обеспечивающих переход от диагностики инновационного потенциала к формированию механизмов его целенаправленного развития. Предложенные рекомендации согласованы с теоретическими положениями первой главы и эмпирическими результатами второй главы, а также обеспечивают методологическое завершение исследовательской задачи по проектированию инновационного потенциала предпринимательских структур Казахстана.</w:t>
      </w:r>
    </w:p>
    <w:p w14:paraId="0B1BAC2A" w14:textId="77777777" w:rsidR="002F33D0" w:rsidRPr="002F33D0" w:rsidRDefault="002F33D0" w:rsidP="0052009A">
      <w:pPr>
        <w:tabs>
          <w:tab w:val="left" w:pos="851"/>
        </w:tabs>
        <w:spacing w:after="0" w:line="240" w:lineRule="auto"/>
        <w:ind w:firstLine="567"/>
        <w:jc w:val="both"/>
        <w:rPr>
          <w:rFonts w:ascii="Times New Roman" w:hAnsi="Times New Roman" w:cs="Times New Roman"/>
          <w:b/>
          <w:sz w:val="28"/>
          <w:szCs w:val="28"/>
          <w:lang w:val="kk-KZ"/>
        </w:rPr>
      </w:pPr>
      <w:r w:rsidRPr="002F33D0">
        <w:rPr>
          <w:rFonts w:ascii="Times New Roman" w:hAnsi="Times New Roman" w:cs="Times New Roman"/>
          <w:b/>
          <w:sz w:val="28"/>
          <w:szCs w:val="28"/>
          <w:lang w:val="kk-KZ"/>
        </w:rPr>
        <w:t>Выводы по третьей главе</w:t>
      </w:r>
    </w:p>
    <w:p w14:paraId="3FA86DC5" w14:textId="77777777"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В третьей главе сформирована завершённая система проектирования инновационного потенциала предпринимательских структур, которая объединяет результаты диагностики, эконометрического анализа и разработку управленческих решений. Представленная методология обеспечивает переход от выявления структурных особенностей инновационного развития предприятий к формированию практического механизма управления в условиях цифровой трансформации.</w:t>
      </w:r>
    </w:p>
    <w:p w14:paraId="3B880658" w14:textId="77777777"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 xml:space="preserve">Прежде всего, были уточнены стратегические приоритеты проектирования инновационного потенциала. Установлено, что управленческо-инновационные и технологические ресурсы формируют ядро инновационного развития, тогда как цифровая адаптация, человеческий капитал и институциональная среда </w:t>
      </w:r>
      <w:r w:rsidRPr="002F33D0">
        <w:rPr>
          <w:rFonts w:ascii="Times New Roman" w:hAnsi="Times New Roman" w:cs="Times New Roman"/>
          <w:sz w:val="28"/>
          <w:szCs w:val="28"/>
          <w:lang w:val="kk-KZ"/>
        </w:rPr>
        <w:lastRenderedPageBreak/>
        <w:t>выполняют усиливающие, компенсаторные и ограничивающие функции. Дифференциация влияний по размерам предприятий позволила обосновать необходимость масштабно-ориентированной системы управления инновационным потенциалом.</w:t>
      </w:r>
    </w:p>
    <w:p w14:paraId="72BC4E31" w14:textId="37B1B0D1"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Далее, был разработан методический аппарат оценки инновационного потенциала, включающий математический алгоритм нормализации, агрегирования и взвешивания факторных оценок на основе β-коэффициентов структурных моделей. Введён интегральный индекс инновационного потенциала, обеспечивающий объективную и статистически подтверждённую оценку уровня инновационного развития. Созданная шкала интерпретации индекса опирается на результаты кластерного анализа, что обеспечивает её эмпирическую верификацию. Механизмы визуализации обеспечивают переход от числовых результатов к управленческим выводам и позволяют выявлять критические зоны проектирования.</w:t>
      </w:r>
    </w:p>
    <w:p w14:paraId="523273EC" w14:textId="77777777" w:rsidR="00981A0E" w:rsidRPr="00981A0E" w:rsidRDefault="00981A0E" w:rsidP="00981A0E">
      <w:pPr>
        <w:tabs>
          <w:tab w:val="left" w:pos="851"/>
        </w:tabs>
        <w:spacing w:after="0" w:line="240" w:lineRule="auto"/>
        <w:ind w:firstLine="567"/>
        <w:jc w:val="both"/>
        <w:rPr>
          <w:rFonts w:ascii="Times New Roman" w:hAnsi="Times New Roman" w:cs="Times New Roman"/>
          <w:sz w:val="28"/>
          <w:szCs w:val="28"/>
          <w:lang w:val="kk-KZ"/>
        </w:rPr>
      </w:pPr>
      <w:r w:rsidRPr="00981A0E">
        <w:rPr>
          <w:rFonts w:ascii="Times New Roman" w:hAnsi="Times New Roman" w:cs="Times New Roman"/>
          <w:sz w:val="28"/>
          <w:szCs w:val="28"/>
          <w:lang w:val="kk-KZ"/>
        </w:rPr>
        <w:t>На следующем этапе разработаны практические рекомендации по управлению инновационным потенциалом предпринимательских структур, охватывающие институциональные, кадровые, технологические и цифровые направления. Особое внимание уделено развитию человеческого капитала, формированию инновационной культуры, повышению цифровой зрелости и снижению институциональных барьеров, препятствующих участию МСП в программах государственной поддержки. Сводная матрица рекомендаций по ресурсным и процессным компонентам обеспечивает системность проектных решений и демонстрирует возможности адаптации управленческих инструментов под специфику предприятий различного масштаба.</w:t>
      </w:r>
    </w:p>
    <w:p w14:paraId="3D109B6C" w14:textId="23E193E4" w:rsidR="002F33D0" w:rsidRPr="002F33D0" w:rsidRDefault="00981A0E" w:rsidP="00981A0E">
      <w:pPr>
        <w:tabs>
          <w:tab w:val="left" w:pos="851"/>
        </w:tabs>
        <w:spacing w:after="0" w:line="240" w:lineRule="auto"/>
        <w:ind w:firstLine="567"/>
        <w:jc w:val="both"/>
        <w:rPr>
          <w:rFonts w:ascii="Times New Roman" w:hAnsi="Times New Roman" w:cs="Times New Roman"/>
          <w:sz w:val="28"/>
          <w:szCs w:val="28"/>
          <w:lang w:val="kk-KZ"/>
        </w:rPr>
      </w:pPr>
      <w:r w:rsidRPr="00981A0E">
        <w:rPr>
          <w:rFonts w:ascii="Times New Roman" w:hAnsi="Times New Roman" w:cs="Times New Roman"/>
          <w:sz w:val="28"/>
          <w:szCs w:val="28"/>
          <w:lang w:val="kk-KZ"/>
        </w:rPr>
        <w:t xml:space="preserve">Ключевым прикладным результатом главы стало обоснование создания единой цифровой платформы оценки и проектирования инновационного потенциала. Платформа интегрирует диагностический модуль, систему визуализации и механизм генерации адресных рекомендаций, обеспечивая полный цикл управления инновационным развитием </w:t>
      </w:r>
      <w:r>
        <w:rPr>
          <w:rFonts w:ascii="Times New Roman" w:hAnsi="Times New Roman" w:cs="Times New Roman"/>
          <w:sz w:val="28"/>
          <w:szCs w:val="28"/>
          <w:lang w:val="kk-KZ"/>
        </w:rPr>
        <w:t>–</w:t>
      </w:r>
      <w:r w:rsidRPr="00981A0E">
        <w:rPr>
          <w:rFonts w:ascii="Times New Roman" w:hAnsi="Times New Roman" w:cs="Times New Roman"/>
          <w:sz w:val="28"/>
          <w:szCs w:val="28"/>
          <w:lang w:val="kk-KZ"/>
        </w:rPr>
        <w:t xml:space="preserve"> от измерения до принятия управленческих решений. Она функционирует как инструмент институционального и внутрифирменного управления, позволяя обеспечить сопоставимость результатов, снизить информационные и трансакционные издержки, а также формировать индивидуальные траектории роста предприятий в условиях цифровой экономики.</w:t>
      </w:r>
    </w:p>
    <w:p w14:paraId="41274E2F" w14:textId="77777777" w:rsidR="002F33D0" w:rsidRPr="002F33D0" w:rsidRDefault="002F33D0" w:rsidP="0052009A">
      <w:pPr>
        <w:tabs>
          <w:tab w:val="left" w:pos="851"/>
        </w:tabs>
        <w:spacing w:after="0" w:line="240" w:lineRule="auto"/>
        <w:ind w:firstLine="567"/>
        <w:jc w:val="both"/>
        <w:rPr>
          <w:rFonts w:ascii="Times New Roman" w:hAnsi="Times New Roman" w:cs="Times New Roman"/>
          <w:sz w:val="28"/>
          <w:szCs w:val="28"/>
          <w:lang w:val="kk-KZ"/>
        </w:rPr>
      </w:pPr>
      <w:r w:rsidRPr="002F33D0">
        <w:rPr>
          <w:rFonts w:ascii="Times New Roman" w:hAnsi="Times New Roman" w:cs="Times New Roman"/>
          <w:sz w:val="28"/>
          <w:szCs w:val="28"/>
          <w:lang w:val="kk-KZ"/>
        </w:rPr>
        <w:t>Таким образом, третья глава завершает разработку комплексного инструментария проектирования инновационного потенциала предпринимательских структур. Предложенная методология сочетает аналитическую глубину, статистическую надёжность и практическую применимость. Она создаёт основу для формирования адаптивных траекторий инновационного развития предприятий и служит фундаментом механизма управления инновационным потенциалом в условиях цифровой трансформации экономики Казахстана.</w:t>
      </w:r>
    </w:p>
    <w:p w14:paraId="2840330F" w14:textId="440ED449" w:rsidR="00613AFE" w:rsidRDefault="00613AFE" w:rsidP="0052009A">
      <w:pPr>
        <w:tabs>
          <w:tab w:val="left" w:pos="851"/>
        </w:tabs>
        <w:spacing w:after="0" w:line="240" w:lineRule="auto"/>
        <w:ind w:firstLine="567"/>
        <w:jc w:val="both"/>
        <w:rPr>
          <w:rFonts w:ascii="Times New Roman" w:hAnsi="Times New Roman" w:cs="Times New Roman"/>
          <w:sz w:val="28"/>
          <w:szCs w:val="28"/>
        </w:rPr>
      </w:pPr>
    </w:p>
    <w:p w14:paraId="07F2D69B" w14:textId="11F5DE6C" w:rsidR="00613AFE" w:rsidRDefault="00613AFE">
      <w:pPr>
        <w:rPr>
          <w:rFonts w:ascii="Times New Roman" w:hAnsi="Times New Roman" w:cs="Times New Roman"/>
          <w:sz w:val="28"/>
          <w:szCs w:val="28"/>
        </w:rPr>
      </w:pPr>
      <w:r>
        <w:rPr>
          <w:rFonts w:ascii="Times New Roman" w:hAnsi="Times New Roman" w:cs="Times New Roman"/>
          <w:sz w:val="28"/>
          <w:szCs w:val="28"/>
        </w:rPr>
        <w:br w:type="page"/>
      </w:r>
    </w:p>
    <w:p w14:paraId="60011BCB" w14:textId="77777777" w:rsidR="00613AFE" w:rsidRPr="009C1AB2" w:rsidRDefault="00613AFE" w:rsidP="00613AFE">
      <w:pPr>
        <w:pStyle w:val="11"/>
        <w:spacing w:before="0"/>
      </w:pPr>
      <w:r w:rsidRPr="009C1AB2">
        <w:lastRenderedPageBreak/>
        <w:t>ЗАКЛЮЧЕНИЕ</w:t>
      </w:r>
    </w:p>
    <w:p w14:paraId="25941D94" w14:textId="77777777" w:rsidR="00613AFE" w:rsidRPr="00F32E1D" w:rsidRDefault="00613AFE" w:rsidP="00613AFE">
      <w:pPr>
        <w:pStyle w:val="a3"/>
        <w:spacing w:after="0" w:line="240" w:lineRule="auto"/>
        <w:ind w:left="375"/>
        <w:jc w:val="center"/>
        <w:rPr>
          <w:rFonts w:ascii="Times New Roman" w:hAnsi="Times New Roman" w:cs="Times New Roman"/>
          <w:b/>
          <w:sz w:val="28"/>
          <w:szCs w:val="28"/>
        </w:rPr>
      </w:pPr>
    </w:p>
    <w:p w14:paraId="30C4D1C6" w14:textId="77777777" w:rsidR="00C8034B" w:rsidRPr="00C8034B" w:rsidRDefault="00C8034B" w:rsidP="00C8034B">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sidRPr="00C8034B">
        <w:rPr>
          <w:rFonts w:ascii="Times New Roman" w:hAnsi="Times New Roman" w:cs="Times New Roman"/>
          <w:sz w:val="28"/>
          <w:szCs w:val="28"/>
        </w:rPr>
        <w:t>Проведённое диссертационное исследование было направлено на системное обоснование процесса проектирования инновационного потенциала предпринимательских структур Казахстана в условиях цифровой трансформации экономики. Центральная задача работы состояла в интеграции теоретических положений, современных количественных методов и эмпирических данных для формирования комплексной модели управления инновационным потенциалом, учитывающей структуру ресурсных компонентов, уровень цифровой зрелости и процессную динамику инновационной деятельности.</w:t>
      </w:r>
    </w:p>
    <w:p w14:paraId="512161E2" w14:textId="5BC4DCA3" w:rsidR="00C8034B" w:rsidRPr="00C8034B" w:rsidRDefault="00C8034B" w:rsidP="00C8034B">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sidRPr="00C8034B">
        <w:rPr>
          <w:rFonts w:ascii="Times New Roman" w:hAnsi="Times New Roman" w:cs="Times New Roman"/>
          <w:sz w:val="28"/>
          <w:szCs w:val="28"/>
        </w:rPr>
        <w:t xml:space="preserve">На теоретико-методологическом уровне исследование позволило уточнить содержание ключевых категорий </w:t>
      </w:r>
      <w:r w:rsidR="00FA42F5">
        <w:rPr>
          <w:rFonts w:ascii="Times New Roman" w:hAnsi="Times New Roman" w:cs="Times New Roman"/>
          <w:sz w:val="28"/>
          <w:szCs w:val="28"/>
        </w:rPr>
        <w:t>–</w:t>
      </w:r>
      <w:r w:rsidRPr="00C8034B">
        <w:rPr>
          <w:rFonts w:ascii="Times New Roman" w:hAnsi="Times New Roman" w:cs="Times New Roman"/>
          <w:sz w:val="28"/>
          <w:szCs w:val="28"/>
        </w:rPr>
        <w:t xml:space="preserve"> предпринимательства, инновационного потенциала и инновационной активности </w:t>
      </w:r>
      <w:r w:rsidR="00FA42F5">
        <w:rPr>
          <w:rFonts w:ascii="Times New Roman" w:hAnsi="Times New Roman" w:cs="Times New Roman"/>
          <w:sz w:val="28"/>
          <w:szCs w:val="28"/>
        </w:rPr>
        <w:t>–</w:t>
      </w:r>
      <w:r w:rsidRPr="00C8034B">
        <w:rPr>
          <w:rFonts w:ascii="Times New Roman" w:hAnsi="Times New Roman" w:cs="Times New Roman"/>
          <w:sz w:val="28"/>
          <w:szCs w:val="28"/>
        </w:rPr>
        <w:t xml:space="preserve"> с учётом актуальных тенденций цифровой экономики. Показано, что в современных условиях инновационное развитие предпринимательских структур определяется не только традиционными ресурсами, но и совокупностью цифровых, когнитивных и организационно-сетевых факторов. В этой связи предложенная авторская трактовка инновационного потенциала как ресурсно-процессной системы, включающей технологические, кадровые, финансовые, инфраструктурные, организационно-управленческие и цифровые компоненты, расширяет существующие научные подходы и позволяет рассматривать инновационный потенциал не как статичную характеристику, а как динамическую способность предприятия к созданию и внедрению инноваций.</w:t>
      </w:r>
    </w:p>
    <w:p w14:paraId="242AD070" w14:textId="77777777" w:rsidR="00C8034B" w:rsidRPr="00C8034B" w:rsidRDefault="00C8034B" w:rsidP="00C8034B">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sidRPr="00C8034B">
        <w:rPr>
          <w:rFonts w:ascii="Times New Roman" w:hAnsi="Times New Roman" w:cs="Times New Roman"/>
          <w:sz w:val="28"/>
          <w:szCs w:val="28"/>
        </w:rPr>
        <w:t>Сформированная концепция проектирования инновационного потенциала стала ключевым методологическим результатом работы. В отличие от фрагментарных подходов, существующих в научной литературе, предложенная модель объединяет структурную диагностику ресурсов, оценку значимых факторов с помощью количественных методов и последующее формирование управленческих решений. Инновационный потенциал рассматривается как управляемая система, чувствительная к изменениям цифровой среды, институциональных условий и организационной конфигурации предприятия. Это обеспечивает возможность определения индивидуальных траекторий развития для предприятий различных масштабов.</w:t>
      </w:r>
    </w:p>
    <w:p w14:paraId="06E592DB" w14:textId="0D1BE9EE" w:rsidR="00C8034B" w:rsidRPr="00C8034B" w:rsidRDefault="00C8034B" w:rsidP="00C8034B">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sidRPr="00C8034B">
        <w:rPr>
          <w:rFonts w:ascii="Times New Roman" w:hAnsi="Times New Roman" w:cs="Times New Roman"/>
          <w:sz w:val="28"/>
          <w:szCs w:val="28"/>
        </w:rPr>
        <w:t xml:space="preserve">Эмпирическая часть исследования, основанная на данных 500 предприятий из всех регионов Казахстана, позволила подтвердить ключевую роль внутренних ресурсов, компетенций и цифровых факторов в формировании инновационного потенциала. Проведённый эксплораторный факторный анализ (EFA) выявил устойчивую факторную структуру ресурсной базы и подтвердил внутреннюю согласованность выделенных компонент. Однофакторный дисперсионный анализ (ANOVA) показал относительную однородность кадровых характеристик по размерным категориям предприятий, что обосновало необходимость применения более сложных моделей для выявления латентных зависимостей. Линейная регрессия позволила установить статистическую значимость </w:t>
      </w:r>
      <w:r w:rsidRPr="00C8034B">
        <w:rPr>
          <w:rFonts w:ascii="Times New Roman" w:hAnsi="Times New Roman" w:cs="Times New Roman"/>
          <w:sz w:val="28"/>
          <w:szCs w:val="28"/>
        </w:rPr>
        <w:lastRenderedPageBreak/>
        <w:t>отдельных компетенций и факторов человеческого капитала в формировании субъективной оценки инновационного потенциала.</w:t>
      </w:r>
    </w:p>
    <w:p w14:paraId="110601F4" w14:textId="54B46333" w:rsidR="00C8034B" w:rsidRPr="00C8034B" w:rsidRDefault="00C8034B" w:rsidP="00C8034B">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sidRPr="00C8034B">
        <w:rPr>
          <w:rFonts w:ascii="Times New Roman" w:hAnsi="Times New Roman" w:cs="Times New Roman"/>
          <w:sz w:val="28"/>
          <w:szCs w:val="28"/>
        </w:rPr>
        <w:t>Особое значение в исследовании имеют результаты структурного моделирования уравнений (SEM), которое позволило одновременно оценить прямые и косвенные связи между ресурсной базой, цифровой адаптацией и инновационным потенциалом. SEM-модели продемонстрировали, что цифровая адаптация выступает значимым опосредующим звеном, усиливающим влияние ресурсных факторов на инновационный потенциал, особенно в секторе малого и среднего бизнеса. Это подтверждает необходимость включения цифровых характеристик в систему прогнозирования и управления инновационным развитием.</w:t>
      </w:r>
    </w:p>
    <w:p w14:paraId="5957587D" w14:textId="21B4EE36" w:rsidR="00C8034B" w:rsidRPr="00C8034B" w:rsidRDefault="00C8034B" w:rsidP="00C8034B">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sidRPr="00C8034B">
        <w:rPr>
          <w:rFonts w:ascii="Times New Roman" w:hAnsi="Times New Roman" w:cs="Times New Roman"/>
          <w:sz w:val="28"/>
          <w:szCs w:val="28"/>
        </w:rPr>
        <w:t xml:space="preserve">Применение мультигруппового структурного моделирования (Multi-Group SEM) позволило выявить различия в механизмах формирования инновационного потенциала для крупных, средних и малых предприятий. Для крупных предприятий ключевыми остаются материально-технические и управленческие ресурсы; для средних </w:t>
      </w:r>
      <w:r w:rsidR="00FA42F5">
        <w:rPr>
          <w:rFonts w:ascii="Times New Roman" w:hAnsi="Times New Roman" w:cs="Times New Roman"/>
          <w:sz w:val="28"/>
          <w:szCs w:val="28"/>
        </w:rPr>
        <w:t>–</w:t>
      </w:r>
      <w:r w:rsidRPr="00C8034B">
        <w:rPr>
          <w:rFonts w:ascii="Times New Roman" w:hAnsi="Times New Roman" w:cs="Times New Roman"/>
          <w:sz w:val="28"/>
          <w:szCs w:val="28"/>
        </w:rPr>
        <w:t xml:space="preserve"> сбалансированная комбинация кадровых, технологических и цифровых факторов; для малых </w:t>
      </w:r>
      <w:r w:rsidR="00FA42F5">
        <w:rPr>
          <w:rFonts w:ascii="Times New Roman" w:hAnsi="Times New Roman" w:cs="Times New Roman"/>
          <w:sz w:val="28"/>
          <w:szCs w:val="28"/>
        </w:rPr>
        <w:t>–</w:t>
      </w:r>
      <w:r w:rsidRPr="00C8034B">
        <w:rPr>
          <w:rFonts w:ascii="Times New Roman" w:hAnsi="Times New Roman" w:cs="Times New Roman"/>
          <w:sz w:val="28"/>
          <w:szCs w:val="28"/>
        </w:rPr>
        <w:t xml:space="preserve"> цифровая зрелость, компенсирующая ограниченность капиталоёмких ресурсов. Эти различия имеют принципиальное значение для разработки адресных мер поддержки и формирования индивидуальных стратегий развития.</w:t>
      </w:r>
    </w:p>
    <w:p w14:paraId="38B5CF14" w14:textId="77777777" w:rsidR="00C8034B" w:rsidRDefault="00C8034B" w:rsidP="00C8034B">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sidRPr="00C8034B">
        <w:rPr>
          <w:rFonts w:ascii="Times New Roman" w:hAnsi="Times New Roman" w:cs="Times New Roman"/>
          <w:sz w:val="28"/>
          <w:szCs w:val="28"/>
        </w:rPr>
        <w:t>Завершающая часть исследования посвящена разработке проектных решений. На основе ресурсно-процессного подхода, результатов эконометрического анализа и дифференциации по размерным категориям предприятий была сформирована сводная матрица адресных рекомендаций, обеспечивающая практическое применение результатов диагностики. Эта матрица объединяет ресурсные блоки инновационного потенциала и процессные стадии инновационной деятельности, позволяя формировать индивидуальные траектории развития, направленные на устранение критических ограничений и усиление ключевых факторов инновационного роста.</w:t>
      </w:r>
    </w:p>
    <w:p w14:paraId="5D6AED95" w14:textId="5E2C1F0F" w:rsidR="00C8034B" w:rsidRDefault="00C8034B" w:rsidP="00C8034B">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sidRPr="00C8034B">
        <w:rPr>
          <w:rFonts w:ascii="Times New Roman" w:hAnsi="Times New Roman" w:cs="Times New Roman"/>
          <w:sz w:val="28"/>
          <w:szCs w:val="28"/>
        </w:rPr>
        <w:t>Суммируя полученные результаты, представляется возможным выделить ключевые научные положения, отражающие вклад диссертационного исследования в развитие теории, методологии и практики управления инновационным потенциалом.</w:t>
      </w:r>
    </w:p>
    <w:p w14:paraId="3E3F80A5" w14:textId="033485A8" w:rsidR="00613AFE" w:rsidRPr="00195CE4" w:rsidRDefault="00613AFE" w:rsidP="00C8034B">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i/>
          <w:sz w:val="28"/>
          <w:szCs w:val="28"/>
        </w:rPr>
      </w:pPr>
      <w:r w:rsidRPr="00F32E1D">
        <w:rPr>
          <w:rFonts w:ascii="Times New Roman" w:hAnsi="Times New Roman" w:cs="Times New Roman"/>
          <w:b/>
          <w:sz w:val="28"/>
          <w:szCs w:val="28"/>
        </w:rPr>
        <w:t>Краткие выводы по результатам диссертационного исследования</w:t>
      </w:r>
      <w:r w:rsidR="00FA42F5">
        <w:rPr>
          <w:rFonts w:ascii="Times New Roman" w:hAnsi="Times New Roman" w:cs="Times New Roman"/>
          <w:b/>
          <w:sz w:val="28"/>
          <w:szCs w:val="28"/>
          <w:lang w:val="kk-KZ"/>
        </w:rPr>
        <w:t>:</w:t>
      </w:r>
      <w:r>
        <w:rPr>
          <w:rFonts w:ascii="Times New Roman" w:hAnsi="Times New Roman" w:cs="Times New Roman"/>
          <w:b/>
          <w:sz w:val="28"/>
          <w:szCs w:val="28"/>
        </w:rPr>
        <w:t xml:space="preserve"> </w:t>
      </w:r>
    </w:p>
    <w:p w14:paraId="078A160F" w14:textId="77777777" w:rsidR="001C54CD" w:rsidRPr="001C54CD" w:rsidRDefault="001C54CD" w:rsidP="00B20582">
      <w:pPr>
        <w:pStyle w:val="a3"/>
        <w:widowControl w:val="0"/>
        <w:numPr>
          <w:ilvl w:val="0"/>
          <w:numId w:val="41"/>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54CD">
        <w:rPr>
          <w:rFonts w:ascii="Times New Roman" w:hAnsi="Times New Roman" w:cs="Times New Roman"/>
          <w:sz w:val="28"/>
          <w:szCs w:val="28"/>
        </w:rPr>
        <w:t>Уточнена экономическая сущность предпринимательских структур как субъектов стратегической адаптации и инновационного обновления, что позволило расширить теоретическую рамку анализа их потенциала в условиях цифровой трансформации.</w:t>
      </w:r>
    </w:p>
    <w:p w14:paraId="6DFD13BC" w14:textId="77777777" w:rsidR="001C54CD" w:rsidRPr="001C54CD" w:rsidRDefault="001C54CD" w:rsidP="00B20582">
      <w:pPr>
        <w:pStyle w:val="a3"/>
        <w:widowControl w:val="0"/>
        <w:numPr>
          <w:ilvl w:val="0"/>
          <w:numId w:val="41"/>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54CD">
        <w:rPr>
          <w:rFonts w:ascii="Times New Roman" w:hAnsi="Times New Roman" w:cs="Times New Roman"/>
          <w:sz w:val="28"/>
          <w:szCs w:val="28"/>
        </w:rPr>
        <w:t>Разработана авторская структурно-компонентная модель инновационного потенциала, включающая шесть блоков, впервые объединившая цифровую адаптацию как медиирующий и компенсаторный фактор, усиливающий влияние внутренних ресурсов.</w:t>
      </w:r>
    </w:p>
    <w:p w14:paraId="72FC4267" w14:textId="77777777" w:rsidR="001C54CD" w:rsidRPr="001C54CD" w:rsidRDefault="001C54CD" w:rsidP="00B20582">
      <w:pPr>
        <w:pStyle w:val="a3"/>
        <w:widowControl w:val="0"/>
        <w:numPr>
          <w:ilvl w:val="0"/>
          <w:numId w:val="41"/>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54CD">
        <w:rPr>
          <w:rFonts w:ascii="Times New Roman" w:hAnsi="Times New Roman" w:cs="Times New Roman"/>
          <w:sz w:val="28"/>
          <w:szCs w:val="28"/>
        </w:rPr>
        <w:t xml:space="preserve">Обоснована методологическая рамка анализа, интегрирующая ресурсно-процессный, институциональный и системно-управленческий подходы, что </w:t>
      </w:r>
      <w:r w:rsidRPr="001C54CD">
        <w:rPr>
          <w:rFonts w:ascii="Times New Roman" w:hAnsi="Times New Roman" w:cs="Times New Roman"/>
          <w:sz w:val="28"/>
          <w:szCs w:val="28"/>
        </w:rPr>
        <w:lastRenderedPageBreak/>
        <w:t>позволило перейти от фрагментарных оценок к системному проектированию потенциала.</w:t>
      </w:r>
    </w:p>
    <w:p w14:paraId="6E2D3C68" w14:textId="77777777" w:rsidR="001C54CD" w:rsidRPr="001C54CD" w:rsidRDefault="001C54CD" w:rsidP="00B20582">
      <w:pPr>
        <w:pStyle w:val="a3"/>
        <w:widowControl w:val="0"/>
        <w:numPr>
          <w:ilvl w:val="0"/>
          <w:numId w:val="41"/>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54CD">
        <w:rPr>
          <w:rFonts w:ascii="Times New Roman" w:hAnsi="Times New Roman" w:cs="Times New Roman"/>
          <w:sz w:val="28"/>
          <w:szCs w:val="28"/>
        </w:rPr>
        <w:t>Установлены причинно-следственные связи между внутренними ресурсами и инновационной активностью с помощью многогруппового SEM-моделирования. Подтверждена значимость управленческих и технологических ресурсов как ядра потенциала.</w:t>
      </w:r>
    </w:p>
    <w:p w14:paraId="5D0CF7AB" w14:textId="288C3E3F" w:rsidR="001C54CD" w:rsidRPr="001C54CD" w:rsidRDefault="001C54CD" w:rsidP="00B20582">
      <w:pPr>
        <w:pStyle w:val="a3"/>
        <w:widowControl w:val="0"/>
        <w:numPr>
          <w:ilvl w:val="0"/>
          <w:numId w:val="41"/>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54CD">
        <w:rPr>
          <w:rFonts w:ascii="Times New Roman" w:hAnsi="Times New Roman" w:cs="Times New Roman"/>
          <w:sz w:val="28"/>
          <w:szCs w:val="28"/>
        </w:rPr>
        <w:t>Эмпирически доказана значимость индивидуальных цифровых компетенций, в то время как формализованные HR-практики оказались статистически незначимыми, что указывает на институциональные пробелы в управлении человеческим капиталом.</w:t>
      </w:r>
    </w:p>
    <w:p w14:paraId="1D0300FE" w14:textId="77777777" w:rsidR="001C54CD" w:rsidRPr="001C54CD" w:rsidRDefault="001C54CD" w:rsidP="00B20582">
      <w:pPr>
        <w:pStyle w:val="a3"/>
        <w:widowControl w:val="0"/>
        <w:numPr>
          <w:ilvl w:val="0"/>
          <w:numId w:val="41"/>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54CD">
        <w:rPr>
          <w:rFonts w:ascii="Times New Roman" w:hAnsi="Times New Roman" w:cs="Times New Roman"/>
          <w:sz w:val="28"/>
          <w:szCs w:val="28"/>
        </w:rPr>
        <w:t>Количественно подтверждён эффект медиирования цифровой адаптации, особенно в малом бизнесе, где она выступает компенсатором ресурсной ограниченности (β = 0,203; p = 0,024).</w:t>
      </w:r>
    </w:p>
    <w:p w14:paraId="064BB2E1" w14:textId="77777777" w:rsidR="001C54CD" w:rsidRPr="001C54CD" w:rsidRDefault="001C54CD" w:rsidP="00B20582">
      <w:pPr>
        <w:pStyle w:val="a3"/>
        <w:widowControl w:val="0"/>
        <w:numPr>
          <w:ilvl w:val="0"/>
          <w:numId w:val="41"/>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54CD">
        <w:rPr>
          <w:rFonts w:ascii="Times New Roman" w:hAnsi="Times New Roman" w:cs="Times New Roman"/>
          <w:sz w:val="28"/>
          <w:szCs w:val="28"/>
        </w:rPr>
        <w:t>Выявлено институциональное неравенство в доступе к государственной поддержке: малые предприятия в 2,7 раза реже участвуют в программах по сравнению с крупными, что обусловлено высокими трансакционными издержками.</w:t>
      </w:r>
    </w:p>
    <w:p w14:paraId="014AC98B" w14:textId="4237F8BD" w:rsidR="001C54CD" w:rsidRPr="001C54CD" w:rsidRDefault="001C54CD" w:rsidP="00B20582">
      <w:pPr>
        <w:pStyle w:val="a3"/>
        <w:widowControl w:val="0"/>
        <w:numPr>
          <w:ilvl w:val="0"/>
          <w:numId w:val="41"/>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54CD">
        <w:rPr>
          <w:rFonts w:ascii="Times New Roman" w:hAnsi="Times New Roman" w:cs="Times New Roman"/>
          <w:sz w:val="28"/>
          <w:szCs w:val="28"/>
        </w:rPr>
        <w:t>Разработан интегральный индекс оценки инновационного потенциала с эмпирической калибровкой шкалы (по LCA), обеспечивающий статистически обоснованную диагностику и визуализацию критических зон развития.</w:t>
      </w:r>
    </w:p>
    <w:p w14:paraId="5D144A54" w14:textId="7BA796B5" w:rsidR="001C54CD" w:rsidRPr="001C54CD" w:rsidRDefault="001C54CD" w:rsidP="00B20582">
      <w:pPr>
        <w:pStyle w:val="a3"/>
        <w:widowControl w:val="0"/>
        <w:numPr>
          <w:ilvl w:val="0"/>
          <w:numId w:val="41"/>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54CD">
        <w:rPr>
          <w:rFonts w:ascii="Times New Roman" w:hAnsi="Times New Roman" w:cs="Times New Roman"/>
          <w:sz w:val="28"/>
          <w:szCs w:val="28"/>
        </w:rPr>
        <w:t>Предложена концептуальная модель управления человеческим капиталом и функциональная архитектура цифровой платформы</w:t>
      </w:r>
      <w:r w:rsidR="008B2B16">
        <w:rPr>
          <w:rFonts w:ascii="Times New Roman" w:hAnsi="Times New Roman" w:cs="Times New Roman"/>
          <w:sz w:val="28"/>
          <w:szCs w:val="28"/>
          <w:lang w:val="kk-KZ"/>
        </w:rPr>
        <w:t xml:space="preserve"> </w:t>
      </w:r>
      <w:r w:rsidR="008B2B16" w:rsidRPr="008B2B16">
        <w:rPr>
          <w:rFonts w:ascii="Times New Roman" w:hAnsi="Times New Roman" w:cs="Times New Roman"/>
          <w:sz w:val="28"/>
          <w:szCs w:val="28"/>
          <w:lang w:val="kk-KZ"/>
        </w:rPr>
        <w:t>(концептуальный уровень)</w:t>
      </w:r>
      <w:r w:rsidRPr="001C54CD">
        <w:rPr>
          <w:rFonts w:ascii="Times New Roman" w:hAnsi="Times New Roman" w:cs="Times New Roman"/>
          <w:sz w:val="28"/>
          <w:szCs w:val="28"/>
        </w:rPr>
        <w:t>, интегрирующая IP-Index, тепловую визуализацию и автоматизированную генерацию управленческих решений.</w:t>
      </w:r>
    </w:p>
    <w:p w14:paraId="571432EB" w14:textId="3D2B4B8E" w:rsidR="00613AFE" w:rsidRPr="009C1AB2" w:rsidRDefault="00613AFE" w:rsidP="008B2B16">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sidRPr="00F32E1D">
        <w:rPr>
          <w:rFonts w:ascii="Times New Roman" w:hAnsi="Times New Roman" w:cs="Times New Roman"/>
          <w:b/>
          <w:sz w:val="28"/>
          <w:szCs w:val="28"/>
        </w:rPr>
        <w:t>Оценка полноты решений поставленных задач.</w:t>
      </w:r>
      <w:r w:rsidRPr="009C1AB2">
        <w:rPr>
          <w:rFonts w:ascii="Times New Roman" w:hAnsi="Times New Roman" w:cs="Times New Roman"/>
          <w:i/>
          <w:sz w:val="28"/>
          <w:szCs w:val="28"/>
        </w:rPr>
        <w:t xml:space="preserve"> </w:t>
      </w:r>
      <w:r w:rsidR="001C54CD" w:rsidRPr="001C54CD">
        <w:rPr>
          <w:rFonts w:ascii="Times New Roman" w:hAnsi="Times New Roman" w:cs="Times New Roman"/>
          <w:sz w:val="28"/>
          <w:szCs w:val="28"/>
        </w:rPr>
        <w:t xml:space="preserve">Задачи, поставленные в диссертационном исследовании, полностью решены с использованием современных методов </w:t>
      </w:r>
      <w:r w:rsidR="00C8034B">
        <w:rPr>
          <w:rFonts w:ascii="Times New Roman" w:hAnsi="Times New Roman" w:cs="Times New Roman"/>
          <w:sz w:val="28"/>
          <w:szCs w:val="28"/>
        </w:rPr>
        <w:t>эконометрического моделирования</w:t>
      </w:r>
      <w:r w:rsidR="001C54CD" w:rsidRPr="001C54CD">
        <w:rPr>
          <w:rFonts w:ascii="Times New Roman" w:hAnsi="Times New Roman" w:cs="Times New Roman"/>
          <w:sz w:val="28"/>
          <w:szCs w:val="28"/>
        </w:rPr>
        <w:t>, системного анализа и факторно-кластерных подходов. Исследованы теоретические и прикладные аспекты формирования и проектирования инновационного потенциала предпринимательских структур с учётом цифровых и институциональных факторов. Проведено комплексное исследование внутренней структуры ИП и факторов её трансформации в инновационную активность. Разработаны практические рекомендации по управлению человеческим капиталом, преодолению институциональных барьеров и внедрению цифровых инструментов.</w:t>
      </w:r>
    </w:p>
    <w:p w14:paraId="4BC206DC" w14:textId="77777777" w:rsidR="007D2472" w:rsidRPr="007D2472" w:rsidRDefault="00613AFE" w:rsidP="007D2472">
      <w:pPr>
        <w:pStyle w:val="a3"/>
        <w:spacing w:after="0" w:line="240" w:lineRule="auto"/>
        <w:ind w:left="0" w:firstLine="567"/>
        <w:jc w:val="both"/>
        <w:rPr>
          <w:rFonts w:ascii="Times New Roman" w:hAnsi="Times New Roman" w:cs="Times New Roman"/>
          <w:sz w:val="28"/>
          <w:szCs w:val="28"/>
        </w:rPr>
      </w:pPr>
      <w:r w:rsidRPr="00F32E1D">
        <w:rPr>
          <w:rFonts w:ascii="Times New Roman" w:hAnsi="Times New Roman" w:cs="Times New Roman"/>
          <w:b/>
          <w:sz w:val="28"/>
          <w:szCs w:val="28"/>
        </w:rPr>
        <w:t>Рекомендации и исходные данные по конкретному использованию результатов</w:t>
      </w:r>
      <w:r w:rsidRPr="001C54CD">
        <w:rPr>
          <w:rFonts w:ascii="Times New Roman" w:hAnsi="Times New Roman" w:cs="Times New Roman"/>
          <w:b/>
          <w:sz w:val="28"/>
          <w:szCs w:val="28"/>
        </w:rPr>
        <w:t>.</w:t>
      </w:r>
      <w:r w:rsidRPr="001C54CD">
        <w:rPr>
          <w:rFonts w:ascii="Times New Roman" w:hAnsi="Times New Roman" w:cs="Times New Roman"/>
          <w:i/>
          <w:sz w:val="28"/>
          <w:szCs w:val="28"/>
        </w:rPr>
        <w:t xml:space="preserve"> </w:t>
      </w:r>
      <w:r w:rsidR="007D2472" w:rsidRPr="007D2472">
        <w:rPr>
          <w:rFonts w:ascii="Times New Roman" w:hAnsi="Times New Roman" w:cs="Times New Roman"/>
          <w:sz w:val="28"/>
          <w:szCs w:val="28"/>
        </w:rPr>
        <w:t>Результаты диссертационного исследования обладают высокой практической значимостью и могут быть использованы как на уровне государственных институтов развития, так и в деятельности предпринимательских структур, инфраструктурных организаций и образовательных учреждений. Предложенные методологические подходы, диагностические инструменты и проектные решения позволяют формировать научно обоснованные меры по повышению инновационной активности и развитию инновационного потенциала в условиях цифровой трансформации.</w:t>
      </w:r>
    </w:p>
    <w:p w14:paraId="7E6B2D0C" w14:textId="5164996F" w:rsidR="007D2472" w:rsidRPr="007D2472" w:rsidRDefault="007D2472" w:rsidP="007D2472">
      <w:pPr>
        <w:pStyle w:val="a3"/>
        <w:spacing w:after="0" w:line="240" w:lineRule="auto"/>
        <w:ind w:left="0" w:firstLine="567"/>
        <w:jc w:val="both"/>
        <w:rPr>
          <w:rFonts w:ascii="Times New Roman" w:hAnsi="Times New Roman" w:cs="Times New Roman"/>
          <w:sz w:val="28"/>
          <w:szCs w:val="28"/>
        </w:rPr>
      </w:pPr>
      <w:r w:rsidRPr="007D2472">
        <w:rPr>
          <w:rFonts w:ascii="Times New Roman" w:hAnsi="Times New Roman" w:cs="Times New Roman"/>
          <w:sz w:val="28"/>
          <w:szCs w:val="28"/>
        </w:rPr>
        <w:lastRenderedPageBreak/>
        <w:t xml:space="preserve">Материалы исследования могут быть применены в деятельности </w:t>
      </w:r>
      <w:r w:rsidR="001F5479">
        <w:rPr>
          <w:rFonts w:ascii="Times New Roman" w:hAnsi="Times New Roman" w:cs="Times New Roman"/>
          <w:sz w:val="28"/>
          <w:szCs w:val="28"/>
          <w:lang w:val="kk-KZ"/>
        </w:rPr>
        <w:t>МЦР</w:t>
      </w:r>
      <w:r w:rsidR="008B2B16">
        <w:rPr>
          <w:rFonts w:ascii="Times New Roman" w:hAnsi="Times New Roman" w:cs="Times New Roman"/>
          <w:sz w:val="28"/>
          <w:szCs w:val="28"/>
          <w:lang w:val="kk-KZ"/>
        </w:rPr>
        <w:t>И</w:t>
      </w:r>
      <w:r w:rsidRPr="007D2472">
        <w:rPr>
          <w:rFonts w:ascii="Times New Roman" w:hAnsi="Times New Roman" w:cs="Times New Roman"/>
          <w:sz w:val="28"/>
          <w:szCs w:val="28"/>
        </w:rPr>
        <w:t xml:space="preserve"> </w:t>
      </w:r>
      <w:r w:rsidR="001F5479">
        <w:rPr>
          <w:rFonts w:ascii="Times New Roman" w:hAnsi="Times New Roman" w:cs="Times New Roman"/>
          <w:sz w:val="28"/>
          <w:szCs w:val="28"/>
          <w:lang w:val="kk-KZ"/>
        </w:rPr>
        <w:t>РК</w:t>
      </w:r>
      <w:r w:rsidRPr="007D2472">
        <w:rPr>
          <w:rFonts w:ascii="Times New Roman" w:hAnsi="Times New Roman" w:cs="Times New Roman"/>
          <w:sz w:val="28"/>
          <w:szCs w:val="28"/>
        </w:rPr>
        <w:t xml:space="preserve">, а также национальных институтов развития </w:t>
      </w:r>
      <w:r w:rsidR="00FA42F5">
        <w:rPr>
          <w:rFonts w:ascii="Times New Roman" w:hAnsi="Times New Roman" w:cs="Times New Roman"/>
          <w:sz w:val="28"/>
          <w:szCs w:val="28"/>
        </w:rPr>
        <w:t>–</w:t>
      </w:r>
      <w:r w:rsidRPr="007D2472">
        <w:rPr>
          <w:rFonts w:ascii="Times New Roman" w:hAnsi="Times New Roman" w:cs="Times New Roman"/>
          <w:sz w:val="28"/>
          <w:szCs w:val="28"/>
        </w:rPr>
        <w:t xml:space="preserve"> Фонда «Даму», АО «QazInnovations», Astana Hub, </w:t>
      </w:r>
      <w:r w:rsidR="001F5479">
        <w:rPr>
          <w:rFonts w:ascii="Times New Roman" w:hAnsi="Times New Roman" w:cs="Times New Roman"/>
          <w:sz w:val="28"/>
          <w:szCs w:val="28"/>
          <w:lang w:val="kk-KZ"/>
        </w:rPr>
        <w:t>НПП</w:t>
      </w:r>
      <w:r w:rsidRPr="007D2472">
        <w:rPr>
          <w:rFonts w:ascii="Times New Roman" w:hAnsi="Times New Roman" w:cs="Times New Roman"/>
          <w:sz w:val="28"/>
          <w:szCs w:val="28"/>
        </w:rPr>
        <w:t xml:space="preserve"> «Атамекен» при разработке программ поддержки малого и среднего предпринимательства, формировании инструментов цифровизации, совершенствовании механизмов оценки инновационного потенциала и выявлении критических ресурсных ограничений. Методы диагностики и предложенные индикаторы могут использоваться при разработке региональных карт инновационного развития, мониторинге инновационной активности и оценке цифровой зрелости предприятий.</w:t>
      </w:r>
    </w:p>
    <w:p w14:paraId="17521540" w14:textId="73665A45" w:rsidR="007D2472" w:rsidRPr="007D2472" w:rsidRDefault="007D2472" w:rsidP="007D2472">
      <w:pPr>
        <w:pStyle w:val="a3"/>
        <w:spacing w:after="0" w:line="240" w:lineRule="auto"/>
        <w:ind w:left="0" w:firstLine="567"/>
        <w:jc w:val="both"/>
        <w:rPr>
          <w:rFonts w:ascii="Times New Roman" w:hAnsi="Times New Roman" w:cs="Times New Roman"/>
          <w:sz w:val="28"/>
          <w:szCs w:val="28"/>
        </w:rPr>
      </w:pPr>
      <w:r w:rsidRPr="007D2472">
        <w:rPr>
          <w:rFonts w:ascii="Times New Roman" w:hAnsi="Times New Roman" w:cs="Times New Roman"/>
          <w:sz w:val="28"/>
          <w:szCs w:val="28"/>
        </w:rPr>
        <w:t xml:space="preserve">В практической деятельности предпринимательских структур предложенные инструменты позволяют осуществлять комплексную оценку инновационного потенциала, выявлять зоны риска и ресурсные </w:t>
      </w:r>
      <w:r w:rsidR="001F5479">
        <w:rPr>
          <w:rFonts w:ascii="Times New Roman" w:hAnsi="Times New Roman" w:cs="Times New Roman"/>
          <w:sz w:val="28"/>
          <w:szCs w:val="28"/>
          <w:lang w:val="kk-KZ"/>
        </w:rPr>
        <w:t>критические</w:t>
      </w:r>
      <w:r w:rsidRPr="007D2472">
        <w:rPr>
          <w:rFonts w:ascii="Times New Roman" w:hAnsi="Times New Roman" w:cs="Times New Roman"/>
          <w:sz w:val="28"/>
          <w:szCs w:val="28"/>
        </w:rPr>
        <w:t xml:space="preserve"> места, строить индивидуальные траектории укрепления инновационных и цифровых компетенций, а также формировать стратегические решения по управлению человеческим капиталом, цифровой адаптацией и технологическим обновлением. Разработанная матрица адресных рекомендаций обеспечивает возможность применения целевых управленческих мер в зависимости от масштаба предприятия, уровня цифровой зрелости и институциональных условий.</w:t>
      </w:r>
    </w:p>
    <w:p w14:paraId="0D49D4D9" w14:textId="7AD03F90" w:rsidR="007D2472" w:rsidRPr="007D2472" w:rsidRDefault="007D2472" w:rsidP="007D2472">
      <w:pPr>
        <w:pStyle w:val="a3"/>
        <w:spacing w:after="0" w:line="240" w:lineRule="auto"/>
        <w:ind w:left="0" w:firstLine="567"/>
        <w:jc w:val="both"/>
        <w:rPr>
          <w:rFonts w:ascii="Times New Roman" w:hAnsi="Times New Roman" w:cs="Times New Roman"/>
          <w:sz w:val="28"/>
          <w:szCs w:val="28"/>
        </w:rPr>
      </w:pPr>
      <w:r w:rsidRPr="007D2472">
        <w:rPr>
          <w:rFonts w:ascii="Times New Roman" w:hAnsi="Times New Roman" w:cs="Times New Roman"/>
          <w:sz w:val="28"/>
          <w:szCs w:val="28"/>
        </w:rPr>
        <w:t>Существенное значение результаты исследования имеют и для образовательной деятельности. Отдельные элементы методологии, а также разработанные инструменты диагностики и анализа инновационного потенциала уже внедрены в учебную дисциплину «Эконометрика», читаемую автором в Восточно-Казахстанском техническом университете им. Д. Серикбаева. В дальнейшем материалы диссертации могут быть использованы при преподавании следующих дисциплин</w:t>
      </w:r>
      <w:r w:rsidR="001F5479">
        <w:rPr>
          <w:rFonts w:ascii="Times New Roman" w:hAnsi="Times New Roman" w:cs="Times New Roman"/>
          <w:sz w:val="28"/>
          <w:szCs w:val="28"/>
          <w:lang w:val="kk-KZ"/>
        </w:rPr>
        <w:t xml:space="preserve"> для образовательных программ бакалавриата и магистратуры экономического направления</w:t>
      </w:r>
      <w:r w:rsidRPr="007D2472">
        <w:rPr>
          <w:rFonts w:ascii="Times New Roman" w:hAnsi="Times New Roman" w:cs="Times New Roman"/>
          <w:sz w:val="28"/>
          <w:szCs w:val="28"/>
        </w:rPr>
        <w:t>:</w:t>
      </w:r>
      <w:r w:rsidR="001F5479">
        <w:rPr>
          <w:rFonts w:ascii="Times New Roman" w:hAnsi="Times New Roman" w:cs="Times New Roman"/>
          <w:sz w:val="28"/>
          <w:szCs w:val="28"/>
          <w:lang w:val="kk-KZ"/>
        </w:rPr>
        <w:t xml:space="preserve"> «</w:t>
      </w:r>
      <w:r w:rsidRPr="007D2472">
        <w:rPr>
          <w:rFonts w:ascii="Times New Roman" w:hAnsi="Times New Roman" w:cs="Times New Roman"/>
          <w:sz w:val="28"/>
          <w:szCs w:val="28"/>
        </w:rPr>
        <w:t>HR-менеджмент</w:t>
      </w:r>
      <w:r w:rsidR="001F5479">
        <w:rPr>
          <w:rFonts w:ascii="Times New Roman" w:hAnsi="Times New Roman" w:cs="Times New Roman"/>
          <w:sz w:val="28"/>
          <w:szCs w:val="28"/>
          <w:lang w:val="kk-KZ"/>
        </w:rPr>
        <w:t>»</w:t>
      </w:r>
      <w:r w:rsidRPr="007D2472">
        <w:rPr>
          <w:rFonts w:ascii="Times New Roman" w:hAnsi="Times New Roman" w:cs="Times New Roman"/>
          <w:sz w:val="28"/>
          <w:szCs w:val="28"/>
        </w:rPr>
        <w:t>,</w:t>
      </w:r>
      <w:r w:rsidR="001F5479">
        <w:rPr>
          <w:rFonts w:ascii="Times New Roman" w:hAnsi="Times New Roman" w:cs="Times New Roman"/>
          <w:sz w:val="28"/>
          <w:szCs w:val="28"/>
          <w:lang w:val="kk-KZ"/>
        </w:rPr>
        <w:t xml:space="preserve"> «</w:t>
      </w:r>
      <w:r w:rsidRPr="007D2472">
        <w:rPr>
          <w:rFonts w:ascii="Times New Roman" w:hAnsi="Times New Roman" w:cs="Times New Roman"/>
          <w:sz w:val="28"/>
          <w:szCs w:val="28"/>
        </w:rPr>
        <w:t>Анализ больших данных</w:t>
      </w:r>
      <w:r w:rsidR="001F5479">
        <w:rPr>
          <w:rFonts w:ascii="Times New Roman" w:hAnsi="Times New Roman" w:cs="Times New Roman"/>
          <w:sz w:val="28"/>
          <w:szCs w:val="28"/>
          <w:lang w:val="kk-KZ"/>
        </w:rPr>
        <w:t>»</w:t>
      </w:r>
      <w:r w:rsidRPr="007D2472">
        <w:rPr>
          <w:rFonts w:ascii="Times New Roman" w:hAnsi="Times New Roman" w:cs="Times New Roman"/>
          <w:sz w:val="28"/>
          <w:szCs w:val="28"/>
        </w:rPr>
        <w:t>,</w:t>
      </w:r>
      <w:r w:rsidR="001F5479">
        <w:rPr>
          <w:rFonts w:ascii="Times New Roman" w:hAnsi="Times New Roman" w:cs="Times New Roman"/>
          <w:sz w:val="28"/>
          <w:szCs w:val="28"/>
          <w:lang w:val="kk-KZ"/>
        </w:rPr>
        <w:t xml:space="preserve"> «</w:t>
      </w:r>
      <w:r w:rsidRPr="007D2472">
        <w:rPr>
          <w:rFonts w:ascii="Times New Roman" w:hAnsi="Times New Roman" w:cs="Times New Roman"/>
          <w:sz w:val="28"/>
          <w:szCs w:val="28"/>
        </w:rPr>
        <w:t>Анализ данных и моделирование экономики</w:t>
      </w:r>
      <w:r w:rsidR="001F5479">
        <w:rPr>
          <w:rFonts w:ascii="Times New Roman" w:hAnsi="Times New Roman" w:cs="Times New Roman"/>
          <w:sz w:val="28"/>
          <w:szCs w:val="28"/>
          <w:lang w:val="kk-KZ"/>
        </w:rPr>
        <w:t>»</w:t>
      </w:r>
      <w:r w:rsidRPr="007D2472">
        <w:rPr>
          <w:rFonts w:ascii="Times New Roman" w:hAnsi="Times New Roman" w:cs="Times New Roman"/>
          <w:sz w:val="28"/>
          <w:szCs w:val="28"/>
        </w:rPr>
        <w:t>,</w:t>
      </w:r>
      <w:r w:rsidR="001F5479">
        <w:rPr>
          <w:rFonts w:ascii="Times New Roman" w:hAnsi="Times New Roman" w:cs="Times New Roman"/>
          <w:sz w:val="28"/>
          <w:szCs w:val="28"/>
          <w:lang w:val="kk-KZ"/>
        </w:rPr>
        <w:t xml:space="preserve"> «</w:t>
      </w:r>
      <w:r w:rsidRPr="007D2472">
        <w:rPr>
          <w:rFonts w:ascii="Times New Roman" w:hAnsi="Times New Roman" w:cs="Times New Roman"/>
          <w:sz w:val="28"/>
          <w:szCs w:val="28"/>
        </w:rPr>
        <w:t>Инновационное предпринимательство</w:t>
      </w:r>
      <w:r w:rsidR="001F5479">
        <w:rPr>
          <w:rFonts w:ascii="Times New Roman" w:hAnsi="Times New Roman" w:cs="Times New Roman"/>
          <w:sz w:val="28"/>
          <w:szCs w:val="28"/>
          <w:lang w:val="kk-KZ"/>
        </w:rPr>
        <w:t>»</w:t>
      </w:r>
      <w:r w:rsidRPr="007D2472">
        <w:rPr>
          <w:rFonts w:ascii="Times New Roman" w:hAnsi="Times New Roman" w:cs="Times New Roman"/>
          <w:sz w:val="28"/>
          <w:szCs w:val="28"/>
        </w:rPr>
        <w:t>,</w:t>
      </w:r>
      <w:r w:rsidR="001F5479">
        <w:rPr>
          <w:rFonts w:ascii="Times New Roman" w:hAnsi="Times New Roman" w:cs="Times New Roman"/>
          <w:sz w:val="28"/>
          <w:szCs w:val="28"/>
          <w:lang w:val="kk-KZ"/>
        </w:rPr>
        <w:t xml:space="preserve"> «</w:t>
      </w:r>
      <w:r w:rsidRPr="007D2472">
        <w:rPr>
          <w:rFonts w:ascii="Times New Roman" w:hAnsi="Times New Roman" w:cs="Times New Roman"/>
          <w:sz w:val="28"/>
          <w:szCs w:val="28"/>
        </w:rPr>
        <w:t>Инновационный менеджмент</w:t>
      </w:r>
      <w:r w:rsidR="001F5479">
        <w:rPr>
          <w:rFonts w:ascii="Times New Roman" w:hAnsi="Times New Roman" w:cs="Times New Roman"/>
          <w:sz w:val="28"/>
          <w:szCs w:val="28"/>
          <w:lang w:val="kk-KZ"/>
        </w:rPr>
        <w:t>»</w:t>
      </w:r>
      <w:r w:rsidRPr="007D2472">
        <w:rPr>
          <w:rFonts w:ascii="Times New Roman" w:hAnsi="Times New Roman" w:cs="Times New Roman"/>
          <w:sz w:val="28"/>
          <w:szCs w:val="28"/>
        </w:rPr>
        <w:t>,</w:t>
      </w:r>
      <w:r w:rsidR="001F5479">
        <w:rPr>
          <w:rFonts w:ascii="Times New Roman" w:hAnsi="Times New Roman" w:cs="Times New Roman"/>
          <w:sz w:val="28"/>
          <w:szCs w:val="28"/>
          <w:lang w:val="kk-KZ"/>
        </w:rPr>
        <w:t xml:space="preserve"> «</w:t>
      </w:r>
      <w:r w:rsidRPr="007D2472">
        <w:rPr>
          <w:rFonts w:ascii="Times New Roman" w:hAnsi="Times New Roman" w:cs="Times New Roman"/>
          <w:sz w:val="28"/>
          <w:szCs w:val="28"/>
        </w:rPr>
        <w:t>Количественные методы и финансовые вычисления</w:t>
      </w:r>
      <w:r w:rsidR="001F5479">
        <w:rPr>
          <w:rFonts w:ascii="Times New Roman" w:hAnsi="Times New Roman" w:cs="Times New Roman"/>
          <w:sz w:val="28"/>
          <w:szCs w:val="28"/>
          <w:lang w:val="kk-KZ"/>
        </w:rPr>
        <w:t>»</w:t>
      </w:r>
      <w:r w:rsidRPr="007D2472">
        <w:rPr>
          <w:rFonts w:ascii="Times New Roman" w:hAnsi="Times New Roman" w:cs="Times New Roman"/>
          <w:sz w:val="28"/>
          <w:szCs w:val="28"/>
        </w:rPr>
        <w:t>,</w:t>
      </w:r>
      <w:r w:rsidR="001F5479">
        <w:rPr>
          <w:rFonts w:ascii="Times New Roman" w:hAnsi="Times New Roman" w:cs="Times New Roman"/>
          <w:sz w:val="28"/>
          <w:szCs w:val="28"/>
          <w:lang w:val="kk-KZ"/>
        </w:rPr>
        <w:t xml:space="preserve"> «</w:t>
      </w:r>
      <w:r w:rsidRPr="007D2472">
        <w:rPr>
          <w:rFonts w:ascii="Times New Roman" w:hAnsi="Times New Roman" w:cs="Times New Roman"/>
          <w:sz w:val="28"/>
          <w:szCs w:val="28"/>
        </w:rPr>
        <w:t>Математическое обеспечение финансовых решений</w:t>
      </w:r>
      <w:r w:rsidR="001F5479">
        <w:rPr>
          <w:rFonts w:ascii="Times New Roman" w:hAnsi="Times New Roman" w:cs="Times New Roman"/>
          <w:sz w:val="28"/>
          <w:szCs w:val="28"/>
          <w:lang w:val="kk-KZ"/>
        </w:rPr>
        <w:t>»</w:t>
      </w:r>
      <w:r w:rsidRPr="007D2472">
        <w:rPr>
          <w:rFonts w:ascii="Times New Roman" w:hAnsi="Times New Roman" w:cs="Times New Roman"/>
          <w:sz w:val="28"/>
          <w:szCs w:val="28"/>
        </w:rPr>
        <w:t>,</w:t>
      </w:r>
      <w:r w:rsidR="001F5479">
        <w:rPr>
          <w:rFonts w:ascii="Times New Roman" w:hAnsi="Times New Roman" w:cs="Times New Roman"/>
          <w:sz w:val="28"/>
          <w:szCs w:val="28"/>
          <w:lang w:val="kk-KZ"/>
        </w:rPr>
        <w:t xml:space="preserve"> «</w:t>
      </w:r>
      <w:r w:rsidRPr="007D2472">
        <w:rPr>
          <w:rFonts w:ascii="Times New Roman" w:hAnsi="Times New Roman" w:cs="Times New Roman"/>
          <w:sz w:val="28"/>
          <w:szCs w:val="28"/>
        </w:rPr>
        <w:t>Математико-статистический анализ экономических процессов</w:t>
      </w:r>
      <w:r w:rsidR="001F5479">
        <w:rPr>
          <w:rFonts w:ascii="Times New Roman" w:hAnsi="Times New Roman" w:cs="Times New Roman"/>
          <w:sz w:val="28"/>
          <w:szCs w:val="28"/>
          <w:lang w:val="kk-KZ"/>
        </w:rPr>
        <w:t>»</w:t>
      </w:r>
      <w:r w:rsidRPr="007D2472">
        <w:rPr>
          <w:rFonts w:ascii="Times New Roman" w:hAnsi="Times New Roman" w:cs="Times New Roman"/>
          <w:sz w:val="28"/>
          <w:szCs w:val="28"/>
        </w:rPr>
        <w:t>,</w:t>
      </w:r>
      <w:r w:rsidR="001F5479">
        <w:rPr>
          <w:rFonts w:ascii="Times New Roman" w:hAnsi="Times New Roman" w:cs="Times New Roman"/>
          <w:sz w:val="28"/>
          <w:szCs w:val="28"/>
          <w:lang w:val="kk-KZ"/>
        </w:rPr>
        <w:t xml:space="preserve"> «</w:t>
      </w:r>
      <w:r w:rsidRPr="007D2472">
        <w:rPr>
          <w:rFonts w:ascii="Times New Roman" w:hAnsi="Times New Roman" w:cs="Times New Roman"/>
          <w:sz w:val="28"/>
          <w:szCs w:val="28"/>
        </w:rPr>
        <w:t>Методы научных исследований</w:t>
      </w:r>
      <w:r w:rsidR="001F5479">
        <w:rPr>
          <w:rFonts w:ascii="Times New Roman" w:hAnsi="Times New Roman" w:cs="Times New Roman"/>
          <w:sz w:val="28"/>
          <w:szCs w:val="28"/>
          <w:lang w:val="kk-KZ"/>
        </w:rPr>
        <w:t>»</w:t>
      </w:r>
      <w:r w:rsidRPr="007D2472">
        <w:rPr>
          <w:rFonts w:ascii="Times New Roman" w:hAnsi="Times New Roman" w:cs="Times New Roman"/>
          <w:sz w:val="28"/>
          <w:szCs w:val="28"/>
        </w:rPr>
        <w:t>,</w:t>
      </w:r>
      <w:r w:rsidR="001F5479">
        <w:rPr>
          <w:rFonts w:ascii="Times New Roman" w:hAnsi="Times New Roman" w:cs="Times New Roman"/>
          <w:sz w:val="28"/>
          <w:szCs w:val="28"/>
          <w:lang w:val="kk-KZ"/>
        </w:rPr>
        <w:t xml:space="preserve"> «</w:t>
      </w:r>
      <w:r w:rsidRPr="007D2472">
        <w:rPr>
          <w:rFonts w:ascii="Times New Roman" w:hAnsi="Times New Roman" w:cs="Times New Roman"/>
          <w:sz w:val="28"/>
          <w:szCs w:val="28"/>
        </w:rPr>
        <w:t>Статистические методы в управлении</w:t>
      </w:r>
      <w:r w:rsidR="001F5479">
        <w:rPr>
          <w:rFonts w:ascii="Times New Roman" w:hAnsi="Times New Roman" w:cs="Times New Roman"/>
          <w:sz w:val="28"/>
          <w:szCs w:val="28"/>
          <w:lang w:val="kk-KZ"/>
        </w:rPr>
        <w:t>»</w:t>
      </w:r>
      <w:r w:rsidRPr="007D2472">
        <w:rPr>
          <w:rFonts w:ascii="Times New Roman" w:hAnsi="Times New Roman" w:cs="Times New Roman"/>
          <w:sz w:val="28"/>
          <w:szCs w:val="28"/>
        </w:rPr>
        <w:t>,</w:t>
      </w:r>
      <w:r w:rsidR="001F5479">
        <w:rPr>
          <w:rFonts w:ascii="Times New Roman" w:hAnsi="Times New Roman" w:cs="Times New Roman"/>
          <w:sz w:val="28"/>
          <w:szCs w:val="28"/>
          <w:lang w:val="kk-KZ"/>
        </w:rPr>
        <w:t xml:space="preserve"> «</w:t>
      </w:r>
      <w:r w:rsidRPr="007D2472">
        <w:rPr>
          <w:rFonts w:ascii="Times New Roman" w:hAnsi="Times New Roman" w:cs="Times New Roman"/>
          <w:sz w:val="28"/>
          <w:szCs w:val="28"/>
        </w:rPr>
        <w:t>Стратегия и планирование в цифровой среде</w:t>
      </w:r>
      <w:r w:rsidR="001F5479">
        <w:rPr>
          <w:rFonts w:ascii="Times New Roman" w:hAnsi="Times New Roman" w:cs="Times New Roman"/>
          <w:sz w:val="28"/>
          <w:szCs w:val="28"/>
          <w:lang w:val="kk-KZ"/>
        </w:rPr>
        <w:t>»</w:t>
      </w:r>
      <w:r w:rsidRPr="007D2472">
        <w:rPr>
          <w:rFonts w:ascii="Times New Roman" w:hAnsi="Times New Roman" w:cs="Times New Roman"/>
          <w:sz w:val="28"/>
          <w:szCs w:val="28"/>
        </w:rPr>
        <w:t>,</w:t>
      </w:r>
      <w:r w:rsidR="001F5479">
        <w:rPr>
          <w:rFonts w:ascii="Times New Roman" w:hAnsi="Times New Roman" w:cs="Times New Roman"/>
          <w:sz w:val="28"/>
          <w:szCs w:val="28"/>
          <w:lang w:val="kk-KZ"/>
        </w:rPr>
        <w:t xml:space="preserve"> «</w:t>
      </w:r>
      <w:r w:rsidRPr="007D2472">
        <w:rPr>
          <w:rFonts w:ascii="Times New Roman" w:hAnsi="Times New Roman" w:cs="Times New Roman"/>
          <w:sz w:val="28"/>
          <w:szCs w:val="28"/>
        </w:rPr>
        <w:t>Управление инновациями</w:t>
      </w:r>
      <w:r w:rsidR="001F5479">
        <w:rPr>
          <w:rFonts w:ascii="Times New Roman" w:hAnsi="Times New Roman" w:cs="Times New Roman"/>
          <w:sz w:val="28"/>
          <w:szCs w:val="28"/>
          <w:lang w:val="kk-KZ"/>
        </w:rPr>
        <w:t>»</w:t>
      </w:r>
      <w:r w:rsidRPr="007D2472">
        <w:rPr>
          <w:rFonts w:ascii="Times New Roman" w:hAnsi="Times New Roman" w:cs="Times New Roman"/>
          <w:sz w:val="28"/>
          <w:szCs w:val="28"/>
        </w:rPr>
        <w:t>.</w:t>
      </w:r>
    </w:p>
    <w:p w14:paraId="3CF2397D" w14:textId="4E0C4BF7" w:rsidR="00613AFE" w:rsidRPr="001C54CD" w:rsidRDefault="007D2472" w:rsidP="007D2472">
      <w:pPr>
        <w:pStyle w:val="a3"/>
        <w:spacing w:after="0" w:line="240" w:lineRule="auto"/>
        <w:ind w:left="0" w:firstLine="567"/>
        <w:jc w:val="both"/>
        <w:rPr>
          <w:rFonts w:ascii="Times New Roman" w:hAnsi="Times New Roman" w:cs="Times New Roman"/>
          <w:sz w:val="28"/>
          <w:szCs w:val="28"/>
          <w:lang w:val="kk-KZ"/>
        </w:rPr>
      </w:pPr>
      <w:r w:rsidRPr="007D2472">
        <w:rPr>
          <w:rFonts w:ascii="Times New Roman" w:hAnsi="Times New Roman" w:cs="Times New Roman"/>
          <w:sz w:val="28"/>
          <w:szCs w:val="28"/>
        </w:rPr>
        <w:t>Использование результатов диссертации в образовательной практике позволяет формировать компетенции будущих специалистов в области инновационного менеджмента, управления данными, цифровой экономики и анализа предпринимательских систем.</w:t>
      </w:r>
    </w:p>
    <w:p w14:paraId="485B8FB1" w14:textId="07B8162C" w:rsidR="001F5479" w:rsidRPr="001F5479" w:rsidRDefault="00613AFE" w:rsidP="001F5479">
      <w:pPr>
        <w:widowControl w:val="0"/>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F32E1D">
        <w:rPr>
          <w:rFonts w:ascii="Times New Roman" w:hAnsi="Times New Roman" w:cs="Times New Roman"/>
          <w:b/>
          <w:sz w:val="28"/>
          <w:szCs w:val="28"/>
        </w:rPr>
        <w:t>Оценка научного уровня выполненной работы в сравнении с лучшими достижениями в данной области.</w:t>
      </w:r>
      <w:r w:rsidRPr="009C1AB2">
        <w:rPr>
          <w:rFonts w:ascii="Times New Roman" w:hAnsi="Times New Roman" w:cs="Times New Roman"/>
          <w:sz w:val="28"/>
          <w:szCs w:val="28"/>
        </w:rPr>
        <w:t xml:space="preserve"> </w:t>
      </w:r>
      <w:r w:rsidR="001F5479" w:rsidRPr="001F5479">
        <w:rPr>
          <w:rFonts w:ascii="Times New Roman" w:hAnsi="Times New Roman" w:cs="Times New Roman"/>
          <w:sz w:val="28"/>
          <w:szCs w:val="28"/>
        </w:rPr>
        <w:t xml:space="preserve">Научный уровень диссертационного исследования определяется сочетанием теоретической глубины, методологической строгости и масштабной эмпирической проверки полученных результатов. В работе представлено авторское концептуальное видение категории «инновационный потенциал», расширенное за счёт включения </w:t>
      </w:r>
      <w:r w:rsidR="001F5479" w:rsidRPr="001F5479">
        <w:rPr>
          <w:rFonts w:ascii="Times New Roman" w:hAnsi="Times New Roman" w:cs="Times New Roman"/>
          <w:sz w:val="28"/>
          <w:szCs w:val="28"/>
        </w:rPr>
        <w:lastRenderedPageBreak/>
        <w:t xml:space="preserve">цифровой адаптации как системного, медиирующего и компенсаторного фактора. Такой подход соответствует современным международным тенденциям анализа инновационной динамики и учитывает вызовы цифровизации, обозначенные в исследованиях </w:t>
      </w:r>
      <w:r w:rsidR="001F5479" w:rsidRPr="00B637C0">
        <w:rPr>
          <w:rFonts w:ascii="Times New Roman" w:eastAsia="Times New Roman" w:hAnsi="Times New Roman" w:cs="Times New Roman"/>
          <w:bCs/>
          <w:sz w:val="28"/>
          <w:szCs w:val="28"/>
          <w:lang w:eastAsia="ru-RU"/>
        </w:rPr>
        <w:t>ОЭСР</w:t>
      </w:r>
      <w:r w:rsidR="001F5479" w:rsidRPr="001F5479">
        <w:rPr>
          <w:rFonts w:ascii="Times New Roman" w:hAnsi="Times New Roman" w:cs="Times New Roman"/>
          <w:sz w:val="28"/>
          <w:szCs w:val="28"/>
        </w:rPr>
        <w:t xml:space="preserve">, </w:t>
      </w:r>
      <w:r w:rsidR="001F5479">
        <w:rPr>
          <w:rFonts w:ascii="Times New Roman" w:hAnsi="Times New Roman" w:cs="Times New Roman"/>
          <w:sz w:val="28"/>
          <w:szCs w:val="28"/>
          <w:lang w:val="kk-KZ"/>
        </w:rPr>
        <w:t>Всемирного банка</w:t>
      </w:r>
      <w:r w:rsidR="001F5479" w:rsidRPr="001F5479">
        <w:rPr>
          <w:rFonts w:ascii="Times New Roman" w:hAnsi="Times New Roman" w:cs="Times New Roman"/>
          <w:sz w:val="28"/>
          <w:szCs w:val="28"/>
        </w:rPr>
        <w:t xml:space="preserve"> и Европейской комиссии.</w:t>
      </w:r>
    </w:p>
    <w:p w14:paraId="69CBA11C" w14:textId="77777777" w:rsidR="001F5479" w:rsidRPr="001F5479" w:rsidRDefault="001F5479" w:rsidP="001F5479">
      <w:pPr>
        <w:widowControl w:val="0"/>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1F5479">
        <w:rPr>
          <w:rFonts w:ascii="Times New Roman" w:hAnsi="Times New Roman" w:cs="Times New Roman"/>
          <w:sz w:val="28"/>
          <w:szCs w:val="28"/>
        </w:rPr>
        <w:t>Предложенная трактовка инновационного потенциала преодолевает ограниченность традиционных ресурсных и функциональных концепций, формируя многослойную конструкцию, отражающую реальную логику инновационного развития в условиях цифровой экономики. В рамках исследования разработан модифицированный интегральный индекс оценки инновационного потенциала, учитывающий цифровые, институциональные, кадровые и технологические характеристики, что является новым для отечественной научной школы. Индекс обладает высокой статистической валидностью, подтверждённой процедурами эксплораторного факторного анализа, регрессионного анализа и структурного моделирования уравнений. Такой уровень верификации сопоставим с практиками ведущих мировых исследований в области инновационной экономики.</w:t>
      </w:r>
    </w:p>
    <w:p w14:paraId="0242D609" w14:textId="77777777" w:rsidR="001F5479" w:rsidRPr="001F5479" w:rsidRDefault="001F5479" w:rsidP="001F5479">
      <w:pPr>
        <w:widowControl w:val="0"/>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1F5479">
        <w:rPr>
          <w:rFonts w:ascii="Times New Roman" w:hAnsi="Times New Roman" w:cs="Times New Roman"/>
          <w:sz w:val="28"/>
          <w:szCs w:val="28"/>
        </w:rPr>
        <w:t>Разработанные методики анализа и визуализации инновационного потенциала, включая ресурсно-процессную архитектуру, тепловые карты диагностических зон и матрицу адресных рекомендаций, основаны на принципах политики, основанной на доказательствах (evidence-based policy) и управления, основанного на данных (data-driven management). Они теоретически обоснованы, статистически подтверждены и апробированы на крупной выборке казахстанских предприятий, что существенно превышает масштаб и уровень эмпирической базы большинства аналогичных отечественных исследований.</w:t>
      </w:r>
    </w:p>
    <w:p w14:paraId="4DA091C4" w14:textId="77777777" w:rsidR="001F5479" w:rsidRPr="001F5479" w:rsidRDefault="001F5479" w:rsidP="001F5479">
      <w:pPr>
        <w:widowControl w:val="0"/>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z w:val="28"/>
          <w:szCs w:val="28"/>
        </w:rPr>
      </w:pPr>
      <w:r w:rsidRPr="001F5479">
        <w:rPr>
          <w:rFonts w:ascii="Times New Roman" w:hAnsi="Times New Roman" w:cs="Times New Roman"/>
          <w:sz w:val="28"/>
          <w:szCs w:val="28"/>
        </w:rPr>
        <w:t>Проведённый обзор научной литературы показал отсутствие комплексных исследований по цифровому проектированию инновационного потенциала предпринимательских структур в Казахстане, а также отсутствие моделей, учитывающих медиирующие эффекты цифровой зрелости. В этой связи диссертация восполняет значимый концептуальный и методологический пробел, предлагая новые подходы, гармонизированные с международными исследованиями в области инновационного менеджмента, цифровой трансформации и стратегического развития предприятий.</w:t>
      </w:r>
    </w:p>
    <w:p w14:paraId="58B264C9" w14:textId="6DEE03A7" w:rsidR="00613AFE" w:rsidRPr="00BE682C" w:rsidRDefault="001F5479" w:rsidP="001F5479">
      <w:pPr>
        <w:widowControl w:val="0"/>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color w:val="5B9BD5" w:themeColor="accent1"/>
          <w:sz w:val="28"/>
          <w:szCs w:val="28"/>
        </w:rPr>
      </w:pPr>
      <w:r w:rsidRPr="001F5479">
        <w:rPr>
          <w:rFonts w:ascii="Times New Roman" w:hAnsi="Times New Roman" w:cs="Times New Roman"/>
          <w:sz w:val="28"/>
          <w:szCs w:val="28"/>
        </w:rPr>
        <w:t>В совокупности теоретическая новизна разработанных подходов, методологическая комплексность, глубина эмпирической проверки и высокая прикладная значимость позволяют охарактеризовать исследование как соответствующее современным мировым научным стандартам. Полученные результаты представляют собой существенный вклад в развитие теории инновационного развития, методологии оценки инновационного потенциала и практики государственной инновационной политики Республики Казахстан.</w:t>
      </w:r>
    </w:p>
    <w:p w14:paraId="03F226D5" w14:textId="77777777" w:rsidR="00613AFE" w:rsidRDefault="00613AFE" w:rsidP="0052009A">
      <w:pPr>
        <w:tabs>
          <w:tab w:val="left" w:pos="851"/>
        </w:tabs>
        <w:spacing w:after="0" w:line="240" w:lineRule="auto"/>
        <w:ind w:firstLine="567"/>
        <w:jc w:val="both"/>
        <w:rPr>
          <w:rFonts w:ascii="Times New Roman" w:hAnsi="Times New Roman" w:cs="Times New Roman"/>
          <w:sz w:val="28"/>
          <w:szCs w:val="28"/>
          <w:lang w:val="kk-KZ"/>
        </w:rPr>
      </w:pPr>
    </w:p>
    <w:p w14:paraId="21107135" w14:textId="6EBD984C" w:rsidR="009D2F87" w:rsidRDefault="009D2F87">
      <w:pPr>
        <w:rPr>
          <w:rFonts w:ascii="Times New Roman" w:hAnsi="Times New Roman" w:cs="Times New Roman"/>
          <w:sz w:val="28"/>
          <w:szCs w:val="28"/>
        </w:rPr>
      </w:pPr>
      <w:r>
        <w:rPr>
          <w:rFonts w:ascii="Times New Roman" w:hAnsi="Times New Roman" w:cs="Times New Roman"/>
          <w:sz w:val="28"/>
          <w:szCs w:val="28"/>
        </w:rPr>
        <w:br w:type="page"/>
      </w:r>
    </w:p>
    <w:p w14:paraId="7A889058" w14:textId="24DECD31" w:rsidR="002F33D0" w:rsidRPr="00613AFE" w:rsidRDefault="009D2F87" w:rsidP="00845EA2">
      <w:pPr>
        <w:tabs>
          <w:tab w:val="left" w:pos="851"/>
        </w:tabs>
        <w:spacing w:after="0" w:line="240" w:lineRule="auto"/>
        <w:jc w:val="center"/>
        <w:rPr>
          <w:rFonts w:ascii="Times New Roman" w:hAnsi="Times New Roman" w:cs="Times New Roman"/>
          <w:b/>
          <w:sz w:val="28"/>
          <w:szCs w:val="28"/>
          <w:lang w:val="kk-KZ"/>
        </w:rPr>
      </w:pPr>
      <w:r w:rsidRPr="00613AFE">
        <w:rPr>
          <w:rFonts w:ascii="Times New Roman" w:hAnsi="Times New Roman" w:cs="Times New Roman"/>
          <w:b/>
          <w:sz w:val="28"/>
          <w:szCs w:val="28"/>
        </w:rPr>
        <w:lastRenderedPageBreak/>
        <w:t>СПИСОК</w:t>
      </w:r>
      <w:r w:rsidRPr="00613AFE">
        <w:rPr>
          <w:rFonts w:ascii="Times New Roman" w:hAnsi="Times New Roman" w:cs="Times New Roman"/>
          <w:b/>
          <w:sz w:val="28"/>
          <w:szCs w:val="28"/>
          <w:lang w:val="en-US"/>
        </w:rPr>
        <w:t xml:space="preserve"> </w:t>
      </w:r>
      <w:r w:rsidRPr="00613AFE">
        <w:rPr>
          <w:rFonts w:ascii="Times New Roman" w:hAnsi="Times New Roman" w:cs="Times New Roman"/>
          <w:b/>
          <w:sz w:val="28"/>
          <w:szCs w:val="28"/>
        </w:rPr>
        <w:t>ИСПОЛЬЗОВАННЫХ</w:t>
      </w:r>
      <w:r w:rsidRPr="00613AFE">
        <w:rPr>
          <w:rFonts w:ascii="Times New Roman" w:hAnsi="Times New Roman" w:cs="Times New Roman"/>
          <w:b/>
          <w:sz w:val="28"/>
          <w:szCs w:val="28"/>
          <w:lang w:val="en-US"/>
        </w:rPr>
        <w:t xml:space="preserve"> </w:t>
      </w:r>
      <w:r w:rsidRPr="00613AFE">
        <w:rPr>
          <w:rFonts w:ascii="Times New Roman" w:hAnsi="Times New Roman" w:cs="Times New Roman"/>
          <w:b/>
          <w:sz w:val="28"/>
          <w:szCs w:val="28"/>
        </w:rPr>
        <w:t>ИСТОЧНИКОВ</w:t>
      </w:r>
    </w:p>
    <w:p w14:paraId="0ED3CE81" w14:textId="45FEA485" w:rsidR="002F33D0" w:rsidRPr="00937878" w:rsidRDefault="002F33D0" w:rsidP="00845EA2">
      <w:pPr>
        <w:tabs>
          <w:tab w:val="left" w:pos="851"/>
        </w:tabs>
        <w:spacing w:after="0" w:line="240" w:lineRule="auto"/>
        <w:jc w:val="both"/>
        <w:rPr>
          <w:rFonts w:ascii="Times New Roman" w:hAnsi="Times New Roman" w:cs="Times New Roman"/>
          <w:sz w:val="28"/>
          <w:szCs w:val="28"/>
          <w:lang w:val="en-US"/>
        </w:rPr>
      </w:pPr>
    </w:p>
    <w:p w14:paraId="7BB1CB19" w14:textId="77777777" w:rsidR="00543580" w:rsidRPr="000F3C80" w:rsidRDefault="00543580" w:rsidP="000F3C80">
      <w:pPr>
        <w:pStyle w:val="af2"/>
        <w:numPr>
          <w:ilvl w:val="0"/>
          <w:numId w:val="72"/>
        </w:numPr>
        <w:tabs>
          <w:tab w:val="left" w:pos="854"/>
        </w:tabs>
        <w:spacing w:before="0" w:beforeAutospacing="0" w:after="0" w:afterAutospacing="0"/>
        <w:ind w:left="0" w:firstLine="567"/>
        <w:jc w:val="both"/>
        <w:rPr>
          <w:sz w:val="28"/>
          <w:szCs w:val="28"/>
          <w:lang w:val="en-US"/>
        </w:rPr>
      </w:pPr>
      <w:r w:rsidRPr="000F3C80">
        <w:rPr>
          <w:sz w:val="28"/>
          <w:szCs w:val="28"/>
          <w:lang w:val="en-US"/>
        </w:rPr>
        <w:t xml:space="preserve">Cantillon R. </w:t>
      </w:r>
      <w:r w:rsidRPr="000F3C80">
        <w:rPr>
          <w:rStyle w:val="af4"/>
          <w:i w:val="0"/>
          <w:sz w:val="28"/>
          <w:szCs w:val="28"/>
          <w:lang w:val="en-US"/>
        </w:rPr>
        <w:t>Essay on the nature of trade in general</w:t>
      </w:r>
      <w:r w:rsidRPr="000F3C80">
        <w:rPr>
          <w:sz w:val="28"/>
          <w:szCs w:val="28"/>
          <w:lang w:val="en-US"/>
        </w:rPr>
        <w:t>. – Indianapolis: Liberty Fund, 1755. – 324 p.</w:t>
      </w:r>
    </w:p>
    <w:p w14:paraId="6EC96CE6" w14:textId="77777777" w:rsidR="00543580" w:rsidRPr="000F3C80" w:rsidRDefault="00543580" w:rsidP="000F3C80">
      <w:pPr>
        <w:pStyle w:val="af2"/>
        <w:numPr>
          <w:ilvl w:val="0"/>
          <w:numId w:val="72"/>
        </w:numPr>
        <w:tabs>
          <w:tab w:val="left" w:pos="854"/>
        </w:tabs>
        <w:spacing w:before="0" w:beforeAutospacing="0" w:after="0" w:afterAutospacing="0"/>
        <w:ind w:left="0" w:firstLine="567"/>
        <w:jc w:val="both"/>
        <w:rPr>
          <w:sz w:val="28"/>
          <w:szCs w:val="28"/>
          <w:lang w:val="en-US"/>
        </w:rPr>
      </w:pPr>
      <w:r w:rsidRPr="000F3C80">
        <w:rPr>
          <w:sz w:val="28"/>
          <w:szCs w:val="28"/>
          <w:lang w:val="en-US"/>
        </w:rPr>
        <w:t xml:space="preserve">Schumpeter J. </w:t>
      </w:r>
      <w:r w:rsidRPr="000F3C80">
        <w:rPr>
          <w:rStyle w:val="af4"/>
          <w:i w:val="0"/>
          <w:sz w:val="28"/>
          <w:szCs w:val="28"/>
          <w:lang w:val="en-US"/>
        </w:rPr>
        <w:t>The theory of economic development: An inquiry into profits, capital, credit, interest, and the business cycle</w:t>
      </w:r>
      <w:r w:rsidRPr="000F3C80">
        <w:rPr>
          <w:sz w:val="28"/>
          <w:szCs w:val="28"/>
          <w:lang w:val="en-US"/>
        </w:rPr>
        <w:t>. – Cambridge, MA: Harvard University Press, 1934. – 255 p.</w:t>
      </w:r>
    </w:p>
    <w:p w14:paraId="4063A645" w14:textId="77777777" w:rsidR="00543580" w:rsidRPr="000F3C80" w:rsidRDefault="00543580" w:rsidP="000F3C80">
      <w:pPr>
        <w:pStyle w:val="af2"/>
        <w:numPr>
          <w:ilvl w:val="0"/>
          <w:numId w:val="72"/>
        </w:numPr>
        <w:tabs>
          <w:tab w:val="left" w:pos="854"/>
        </w:tabs>
        <w:spacing w:before="0" w:beforeAutospacing="0" w:after="0" w:afterAutospacing="0"/>
        <w:ind w:left="0" w:firstLine="567"/>
        <w:jc w:val="both"/>
        <w:rPr>
          <w:sz w:val="28"/>
          <w:szCs w:val="28"/>
          <w:lang w:val="en-US"/>
        </w:rPr>
      </w:pPr>
      <w:r w:rsidRPr="000F3C80">
        <w:rPr>
          <w:sz w:val="28"/>
          <w:szCs w:val="28"/>
          <w:lang w:val="en-US"/>
        </w:rPr>
        <w:t xml:space="preserve">Drucker P. F. </w:t>
      </w:r>
      <w:r w:rsidRPr="000F3C80">
        <w:rPr>
          <w:rStyle w:val="af4"/>
          <w:i w:val="0"/>
          <w:sz w:val="28"/>
          <w:szCs w:val="28"/>
          <w:lang w:val="en-US"/>
        </w:rPr>
        <w:t>Innovation and entrepreneurship</w:t>
      </w:r>
      <w:r w:rsidRPr="000F3C80">
        <w:rPr>
          <w:sz w:val="28"/>
          <w:szCs w:val="28"/>
          <w:lang w:val="en-US"/>
        </w:rPr>
        <w:t>. – New York: HarperCollins, 1985. – 277 p.</w:t>
      </w:r>
    </w:p>
    <w:p w14:paraId="49EE8280" w14:textId="77777777" w:rsidR="00543580" w:rsidRPr="000F3C80" w:rsidRDefault="00543580" w:rsidP="000F3C80">
      <w:pPr>
        <w:pStyle w:val="af2"/>
        <w:numPr>
          <w:ilvl w:val="0"/>
          <w:numId w:val="72"/>
        </w:numPr>
        <w:tabs>
          <w:tab w:val="left" w:pos="854"/>
        </w:tabs>
        <w:spacing w:before="0" w:beforeAutospacing="0" w:after="0" w:afterAutospacing="0"/>
        <w:ind w:left="0" w:firstLine="567"/>
        <w:jc w:val="both"/>
        <w:rPr>
          <w:sz w:val="28"/>
          <w:szCs w:val="28"/>
          <w:lang w:val="en-US"/>
        </w:rPr>
      </w:pPr>
      <w:r w:rsidRPr="000F3C80">
        <w:rPr>
          <w:sz w:val="28"/>
          <w:szCs w:val="28"/>
          <w:lang w:val="en-US"/>
        </w:rPr>
        <w:t xml:space="preserve">Porter M. E. </w:t>
      </w:r>
      <w:r w:rsidRPr="000F3C80">
        <w:rPr>
          <w:rStyle w:val="af4"/>
          <w:i w:val="0"/>
          <w:sz w:val="28"/>
          <w:szCs w:val="28"/>
          <w:lang w:val="en-US"/>
        </w:rPr>
        <w:t>The competitive advantage of nations</w:t>
      </w:r>
      <w:r w:rsidRPr="000F3C80">
        <w:rPr>
          <w:sz w:val="28"/>
          <w:szCs w:val="28"/>
          <w:lang w:val="en-US"/>
        </w:rPr>
        <w:t>. – New York: Free Press, 1990. – 896 p.</w:t>
      </w:r>
    </w:p>
    <w:p w14:paraId="5E1155BE" w14:textId="7777777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 xml:space="preserve">Chesbrough H. </w:t>
      </w:r>
      <w:r w:rsidRPr="000F3C80">
        <w:rPr>
          <w:rStyle w:val="af4"/>
          <w:i w:val="0"/>
          <w:sz w:val="28"/>
          <w:szCs w:val="28"/>
          <w:lang w:val="en-US"/>
        </w:rPr>
        <w:t>Open innovation results: Going beyond the hype and getting down to business</w:t>
      </w:r>
      <w:r w:rsidRPr="000F3C80">
        <w:rPr>
          <w:i/>
          <w:sz w:val="28"/>
          <w:szCs w:val="28"/>
          <w:lang w:val="en-US"/>
        </w:rPr>
        <w:t xml:space="preserve">. </w:t>
      </w:r>
      <w:r w:rsidRPr="000F3C80">
        <w:rPr>
          <w:sz w:val="28"/>
          <w:szCs w:val="28"/>
          <w:lang w:val="en-US"/>
        </w:rPr>
        <w:t>– Oxford: Oxford University Press, 2019. – 240 p.</w:t>
      </w:r>
    </w:p>
    <w:p w14:paraId="5A1353C8" w14:textId="1082698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t>Алехина О. Ф., Артюшкова А. Ю., Корякина Т. В., Иода Ю. В. Новые векторы и ограничения в развитии предпринимательских структур в новых экономических реалиях // Известия Юго-Западного государственного университета. Серия: Экономика. Социология. Менеджмент. – 2023. – Т. 13. – № 1. – С. 102</w:t>
      </w:r>
      <w:r w:rsidR="00FD5797" w:rsidRPr="000F3C80">
        <w:rPr>
          <w:sz w:val="28"/>
          <w:szCs w:val="28"/>
        </w:rPr>
        <w:t>-</w:t>
      </w:r>
      <w:r w:rsidRPr="000F3C80">
        <w:rPr>
          <w:sz w:val="28"/>
          <w:szCs w:val="28"/>
        </w:rPr>
        <w:t>115.</w:t>
      </w:r>
    </w:p>
    <w:p w14:paraId="3281FFDE" w14:textId="228A9370"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t>Байзулаев С. А., Гергова З. Х., Гузиева Л. М., Ягумова З. Н. Новые предпринимательские структуры и их роль в развитии региональной промышленности // Московский экономический журнал. – 2022. – Т. 7. – № 12. – С. 1</w:t>
      </w:r>
      <w:r w:rsidR="00FD5797" w:rsidRPr="000F3C80">
        <w:rPr>
          <w:sz w:val="28"/>
          <w:szCs w:val="28"/>
        </w:rPr>
        <w:t>-</w:t>
      </w:r>
      <w:r w:rsidRPr="000F3C80">
        <w:rPr>
          <w:sz w:val="28"/>
          <w:szCs w:val="28"/>
        </w:rPr>
        <w:t>12.</w:t>
      </w:r>
    </w:p>
    <w:p w14:paraId="4041A3D1" w14:textId="322628AE"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t>Касимгазинова А. М., Бабажанова Ж., Сагындыкова Р. Е., Шойбакова Е. О., Тахтаева Р. Ш. Развитие инновационной инфраструктуры предпринимательства в Республике Казахстан // Вестник РОО Национальной академии наук Республики Казахстан. – 2024. – Т. 410. – № 4. – С. 439</w:t>
      </w:r>
      <w:r w:rsidR="00FD5797" w:rsidRPr="000F3C80">
        <w:rPr>
          <w:sz w:val="28"/>
          <w:szCs w:val="28"/>
        </w:rPr>
        <w:t>-</w:t>
      </w:r>
      <w:r w:rsidRPr="000F3C80">
        <w:rPr>
          <w:sz w:val="28"/>
          <w:szCs w:val="28"/>
        </w:rPr>
        <w:t>453.</w:t>
      </w:r>
    </w:p>
    <w:p w14:paraId="31365D4C" w14:textId="2BE77428"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Fernandes A. J., Ferreira J. J. Entrepreneurial ecosystems and networks: A literature review and research agenda // Review of Managerial Science. – 2022. – Vol. 16. – No. 1. – P. 189</w:t>
      </w:r>
      <w:r w:rsidR="00FD5797" w:rsidRPr="000F3C80">
        <w:rPr>
          <w:sz w:val="28"/>
          <w:szCs w:val="28"/>
          <w:lang w:val="en-US"/>
        </w:rPr>
        <w:t>-</w:t>
      </w:r>
      <w:r w:rsidRPr="000F3C80">
        <w:rPr>
          <w:sz w:val="28"/>
          <w:szCs w:val="28"/>
          <w:lang w:val="en-US"/>
        </w:rPr>
        <w:t>247.</w:t>
      </w:r>
    </w:p>
    <w:p w14:paraId="0DA5F452" w14:textId="01EA5760" w:rsidR="00543580" w:rsidRPr="000F3C80" w:rsidRDefault="00543580" w:rsidP="000F3C80">
      <w:pPr>
        <w:pStyle w:val="af2"/>
        <w:numPr>
          <w:ilvl w:val="0"/>
          <w:numId w:val="72"/>
        </w:numPr>
        <w:tabs>
          <w:tab w:val="left" w:pos="426"/>
          <w:tab w:val="left" w:pos="993"/>
        </w:tabs>
        <w:spacing w:before="0" w:beforeAutospacing="0" w:after="0" w:afterAutospacing="0"/>
        <w:ind w:left="0" w:firstLine="567"/>
        <w:jc w:val="both"/>
        <w:rPr>
          <w:sz w:val="28"/>
          <w:szCs w:val="28"/>
          <w:lang w:val="en-US"/>
        </w:rPr>
      </w:pPr>
      <w:r w:rsidRPr="000F3C80">
        <w:rPr>
          <w:sz w:val="28"/>
          <w:szCs w:val="28"/>
          <w:lang w:val="en-US"/>
        </w:rPr>
        <w:t>Fischer B., Meissner D., Vonortas N., Guerrero M. Spatial features of entrepreneurial ecosystems // Journal of Business Research. – 2022. – Vol. 147. – P. 27</w:t>
      </w:r>
      <w:r w:rsidR="00FD5797" w:rsidRPr="000F3C80">
        <w:rPr>
          <w:sz w:val="28"/>
          <w:szCs w:val="28"/>
          <w:lang w:val="en-US"/>
        </w:rPr>
        <w:t>-</w:t>
      </w:r>
      <w:r w:rsidRPr="000F3C80">
        <w:rPr>
          <w:sz w:val="28"/>
          <w:szCs w:val="28"/>
          <w:lang w:val="en-US"/>
        </w:rPr>
        <w:t>36.</w:t>
      </w:r>
    </w:p>
    <w:p w14:paraId="329A9ABF" w14:textId="06391441"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Grandori A. Entrepreneurial governance and the nature of the entrepreneurial firm // Small Business Economics. – 2024. – Vol. 63. – No. 4. – P. 1503</w:t>
      </w:r>
      <w:r w:rsidR="00FD5797" w:rsidRPr="000F3C80">
        <w:rPr>
          <w:sz w:val="28"/>
          <w:szCs w:val="28"/>
          <w:lang w:val="en-US"/>
        </w:rPr>
        <w:t>-</w:t>
      </w:r>
      <w:r w:rsidRPr="000F3C80">
        <w:rPr>
          <w:sz w:val="28"/>
          <w:szCs w:val="28"/>
          <w:lang w:val="en-US"/>
        </w:rPr>
        <w:t>1516.</w:t>
      </w:r>
    </w:p>
    <w:p w14:paraId="702F6AA0" w14:textId="5AFE6BD0"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Spigel B. The relational organization of entrepreneurial ecosystems // Entrepreneurship Theory and Practice. – 2017. – Vol. 41. – No. 1. – P. 49</w:t>
      </w:r>
      <w:r w:rsidR="00FD5797" w:rsidRPr="000F3C80">
        <w:rPr>
          <w:sz w:val="28"/>
          <w:szCs w:val="28"/>
          <w:lang w:val="en-US"/>
        </w:rPr>
        <w:t>-</w:t>
      </w:r>
      <w:r w:rsidRPr="000F3C80">
        <w:rPr>
          <w:sz w:val="28"/>
          <w:szCs w:val="28"/>
          <w:lang w:val="en-US"/>
        </w:rPr>
        <w:t>72.</w:t>
      </w:r>
    </w:p>
    <w:p w14:paraId="661A62C6" w14:textId="47BB038D"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t>Головина Т. А., Авдеева И. Л. Инновационная деятельность предпринимательских структур в условиях риска и неопределенности // Деловой вестник предпринимателя. – 2022. – Т. 7. – № 1. – С. 43</w:t>
      </w:r>
      <w:r w:rsidR="00FD5797" w:rsidRPr="000F3C80">
        <w:rPr>
          <w:sz w:val="28"/>
          <w:szCs w:val="28"/>
        </w:rPr>
        <w:t>-</w:t>
      </w:r>
      <w:r w:rsidRPr="000F3C80">
        <w:rPr>
          <w:sz w:val="28"/>
          <w:szCs w:val="28"/>
        </w:rPr>
        <w:t>50.</w:t>
      </w:r>
    </w:p>
    <w:p w14:paraId="1D4C4071" w14:textId="4C7422DB"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t>Литау Е. А., Сологуб А. Н. Управление развитием экологически ориентированных предпринимательских структур в условиях цифровой трансформации // Научный журнал НИУ ИТМО. Серия: Экономика и экологический менеджмент. – 2023. – № 4. – С. 46</w:t>
      </w:r>
      <w:r w:rsidR="00FD5797" w:rsidRPr="000F3C80">
        <w:rPr>
          <w:sz w:val="28"/>
          <w:szCs w:val="28"/>
        </w:rPr>
        <w:t>-</w:t>
      </w:r>
      <w:r w:rsidRPr="000F3C80">
        <w:rPr>
          <w:sz w:val="28"/>
          <w:szCs w:val="28"/>
        </w:rPr>
        <w:t>56.</w:t>
      </w:r>
    </w:p>
    <w:p w14:paraId="1150E1DB" w14:textId="6F9A0ADE"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lastRenderedPageBreak/>
        <w:t>Самайбекова З. К. Цифровые технологии в стратегическом управлении персоналом инновационного развития предпринимательских структур // Экономика промышленности. – 2024. – Т. 17. – № 1. – С. 40</w:t>
      </w:r>
      <w:r w:rsidR="00FD5797" w:rsidRPr="000F3C80">
        <w:rPr>
          <w:sz w:val="28"/>
          <w:szCs w:val="28"/>
        </w:rPr>
        <w:t>-</w:t>
      </w:r>
      <w:r w:rsidRPr="000F3C80">
        <w:rPr>
          <w:sz w:val="28"/>
          <w:szCs w:val="28"/>
        </w:rPr>
        <w:t>49.</w:t>
      </w:r>
    </w:p>
    <w:p w14:paraId="66F547E0" w14:textId="7777777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Elia G., Margherita A., Passiante G. Digital entrepreneurship ecosystem: How digital technologies and collective intelligence are reshaping the entrepreneurial process // Technological Forecasting and Social Change. – 2020. – Vol. 150. – P. 119791.</w:t>
      </w:r>
    </w:p>
    <w:p w14:paraId="6AD35ADA" w14:textId="7825C68C"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t>Кулагина Н. А., Чепикова Е. М., Мугутдинов Р. М. Цифровые аспекты комплексной диагностики инновационного потенциала предпринимательских структур // Известия Юго-Западного государственного университета. Серия: Экономика. Социология. Менеджмент. – 2021. – Т. 11. – № 6. – С. 65</w:t>
      </w:r>
      <w:r w:rsidR="00FD5797" w:rsidRPr="000F3C80">
        <w:rPr>
          <w:sz w:val="28"/>
          <w:szCs w:val="28"/>
        </w:rPr>
        <w:t>-</w:t>
      </w:r>
      <w:r w:rsidRPr="000F3C80">
        <w:rPr>
          <w:sz w:val="28"/>
          <w:szCs w:val="28"/>
        </w:rPr>
        <w:t>77.</w:t>
      </w:r>
    </w:p>
    <w:p w14:paraId="49514E69" w14:textId="55526CD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t>Лактионов Г. А. Экономическая устойчивость предпринимательских структур // Journal of Monetary Economics and Management. – 2024. – № 2. – С. 237</w:t>
      </w:r>
      <w:r w:rsidR="00FD5797" w:rsidRPr="000F3C80">
        <w:rPr>
          <w:sz w:val="28"/>
          <w:szCs w:val="28"/>
        </w:rPr>
        <w:t>-</w:t>
      </w:r>
      <w:r w:rsidRPr="000F3C80">
        <w:rPr>
          <w:sz w:val="28"/>
          <w:szCs w:val="28"/>
        </w:rPr>
        <w:t>241.</w:t>
      </w:r>
    </w:p>
    <w:p w14:paraId="4F39FDAB" w14:textId="5078E8C5"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t>Леонтьева Л. С., Чурашкина А. В. Сущность и особенности стратегического развития предпринимательских структур // Вестник Российского экономического университета имени Г. В. Плеханова. – 2019. – № 3. – С. 103</w:t>
      </w:r>
      <w:r w:rsidR="00FD5797" w:rsidRPr="000F3C80">
        <w:rPr>
          <w:sz w:val="28"/>
          <w:szCs w:val="28"/>
        </w:rPr>
        <w:t>-</w:t>
      </w:r>
      <w:r w:rsidRPr="000F3C80">
        <w:rPr>
          <w:sz w:val="28"/>
          <w:szCs w:val="28"/>
        </w:rPr>
        <w:t>113.</w:t>
      </w:r>
    </w:p>
    <w:p w14:paraId="7EC555B2" w14:textId="40D6750B"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t>Самат Н., Саденова А. М. Кәсіпорынның инновациялық әлеуетін жобалау негіздері // Қазақстанның инновациялық дамуына жастардың шығармашылығы: студенттердің, магистранттардың және жас ғалымдардың ІХ Халықаралық ғылыми-техн</w:t>
      </w:r>
      <w:r w:rsidR="00B948F3" w:rsidRPr="000F3C80">
        <w:rPr>
          <w:sz w:val="28"/>
          <w:szCs w:val="28"/>
        </w:rPr>
        <w:t>икалық конференция материалдары</w:t>
      </w:r>
      <w:r w:rsidRPr="000F3C80">
        <w:rPr>
          <w:sz w:val="28"/>
          <w:szCs w:val="28"/>
        </w:rPr>
        <w:t xml:space="preserve">. – Өскемен: Д. Серікбаев атындағы Шығыс Қазақстан техникалық университеті, 2023. – </w:t>
      </w:r>
      <w:r w:rsidR="00B948F3" w:rsidRPr="000F3C80">
        <w:rPr>
          <w:sz w:val="28"/>
          <w:szCs w:val="28"/>
          <w:lang w:val="kk-KZ"/>
        </w:rPr>
        <w:t>Б</w:t>
      </w:r>
      <w:r w:rsidRPr="000F3C80">
        <w:rPr>
          <w:sz w:val="28"/>
          <w:szCs w:val="28"/>
        </w:rPr>
        <w:t>. 180</w:t>
      </w:r>
      <w:r w:rsidR="00FD5797" w:rsidRPr="000F3C80">
        <w:rPr>
          <w:sz w:val="28"/>
          <w:szCs w:val="28"/>
        </w:rPr>
        <w:t>-</w:t>
      </w:r>
      <w:r w:rsidRPr="000F3C80">
        <w:rPr>
          <w:sz w:val="28"/>
          <w:szCs w:val="28"/>
        </w:rPr>
        <w:t>184.</w:t>
      </w:r>
    </w:p>
    <w:p w14:paraId="73757FED" w14:textId="2591543B"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t>Писарев И. В. Взаимосвязь понятий «инновационная активность» и «инновационная деятельность» // Вестник Омского университета. Серия: Экономика. – 2025. – Т. 23. – № 1. – С. 107</w:t>
      </w:r>
      <w:r w:rsidR="00FD5797" w:rsidRPr="000F3C80">
        <w:rPr>
          <w:sz w:val="28"/>
          <w:szCs w:val="28"/>
        </w:rPr>
        <w:t>-</w:t>
      </w:r>
      <w:r w:rsidRPr="000F3C80">
        <w:rPr>
          <w:sz w:val="28"/>
          <w:szCs w:val="28"/>
        </w:rPr>
        <w:t>115.</w:t>
      </w:r>
    </w:p>
    <w:p w14:paraId="7DB9A772" w14:textId="3F65E4DA"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t>Андрошина И. С., Зотова Д. В., Каранфил Д. Х., Белова А. А. Инновационный потенциал энергетических компаний как фактор роста их стоимости // Вестник Академии знаний. – 2024. – Т. 65. – № 5. – С. 52</w:t>
      </w:r>
      <w:r w:rsidR="00FD5797" w:rsidRPr="000F3C80">
        <w:rPr>
          <w:sz w:val="28"/>
          <w:szCs w:val="28"/>
        </w:rPr>
        <w:t>-</w:t>
      </w:r>
      <w:r w:rsidRPr="000F3C80">
        <w:rPr>
          <w:sz w:val="28"/>
          <w:szCs w:val="28"/>
        </w:rPr>
        <w:t>55.</w:t>
      </w:r>
    </w:p>
    <w:p w14:paraId="5659C676" w14:textId="4373BE2B"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t>Бондалетова Н. Ф., Греченкова Д. Н. Инновационный потенциал как путь повышения инвестиционной привлекательности предприятия // Вестник Алтайской академии экономики и права. – 2023. – Т. 1. – № 4. – С. 27</w:t>
      </w:r>
      <w:r w:rsidR="00FD5797" w:rsidRPr="000F3C80">
        <w:rPr>
          <w:sz w:val="28"/>
          <w:szCs w:val="28"/>
        </w:rPr>
        <w:t>-</w:t>
      </w:r>
      <w:r w:rsidRPr="000F3C80">
        <w:rPr>
          <w:sz w:val="28"/>
          <w:szCs w:val="28"/>
        </w:rPr>
        <w:t>31.</w:t>
      </w:r>
    </w:p>
    <w:p w14:paraId="4D1F750F" w14:textId="01B0E2F3"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t>Маковецкая Е. Н., Плотников Д. С. Роль инноваций в современном бизнесе // Economics, Business, Theory and Practice. – 2025. – Т. 4. – № 122. – С. 230</w:t>
      </w:r>
      <w:r w:rsidR="00FD5797" w:rsidRPr="000F3C80">
        <w:rPr>
          <w:sz w:val="28"/>
          <w:szCs w:val="28"/>
        </w:rPr>
        <w:t>-</w:t>
      </w:r>
      <w:r w:rsidRPr="000F3C80">
        <w:rPr>
          <w:sz w:val="28"/>
          <w:szCs w:val="28"/>
        </w:rPr>
        <w:t>234.</w:t>
      </w:r>
    </w:p>
    <w:p w14:paraId="4ADA9245" w14:textId="7777777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OECD. Competition and innovation: A theoretical perspective. – Paris: OECD Publishing, 2022. – 68 p.</w:t>
      </w:r>
    </w:p>
    <w:p w14:paraId="3E2A4865" w14:textId="0167FFAD"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t>Толстых Т. О., Клюка Ф. О. Инновационный потенциал проектно-ориентированных предприятий // Модели, системы, сети в экономике, технике, природе и обществе. – 2022. – № 1. – С. 63</w:t>
      </w:r>
      <w:r w:rsidR="00FD5797" w:rsidRPr="000F3C80">
        <w:rPr>
          <w:sz w:val="28"/>
          <w:szCs w:val="28"/>
        </w:rPr>
        <w:t>-</w:t>
      </w:r>
      <w:r w:rsidRPr="000F3C80">
        <w:rPr>
          <w:sz w:val="28"/>
          <w:szCs w:val="28"/>
        </w:rPr>
        <w:t>72.</w:t>
      </w:r>
    </w:p>
    <w:p w14:paraId="772810AC" w14:textId="00565FE2"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Azaryan E. M., Bessarabov V. O., Melent’eva O. V. Innovative potential of business environment development in the virtual market at the digitalization stage // Economic Analysis: Theory and Practice. – 2024. – Vol. 23. – No. 9. – P. 1687</w:t>
      </w:r>
      <w:r w:rsidR="00FD5797" w:rsidRPr="000F3C80">
        <w:rPr>
          <w:sz w:val="28"/>
          <w:szCs w:val="28"/>
          <w:lang w:val="en-US"/>
        </w:rPr>
        <w:t>-</w:t>
      </w:r>
      <w:r w:rsidRPr="000F3C80">
        <w:rPr>
          <w:sz w:val="28"/>
          <w:szCs w:val="28"/>
          <w:lang w:val="en-US"/>
        </w:rPr>
        <w:t>1699.</w:t>
      </w:r>
    </w:p>
    <w:p w14:paraId="57148959" w14:textId="23DE0062"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lastRenderedPageBreak/>
        <w:t>Ding J., Liu B., Wang J., Qiao P., Zhu Z. Digitalization of the business environment and innovation efficiency of Chinese ICT firms // Journal of Organizational and End User Computing. – 2023. – Vol. 35. – No. 3. – P. 1</w:t>
      </w:r>
      <w:r w:rsidR="00FD5797" w:rsidRPr="000F3C80">
        <w:rPr>
          <w:sz w:val="28"/>
          <w:szCs w:val="28"/>
          <w:lang w:val="en-US"/>
        </w:rPr>
        <w:t>-</w:t>
      </w:r>
      <w:r w:rsidRPr="000F3C80">
        <w:rPr>
          <w:sz w:val="28"/>
          <w:szCs w:val="28"/>
          <w:lang w:val="en-US"/>
        </w:rPr>
        <w:t>25.</w:t>
      </w:r>
    </w:p>
    <w:p w14:paraId="49E606B4" w14:textId="7898D2EE"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Hrynko T., Hilorme T. Development of innovative business structures in the digital society // Economics, Finance and Law. – 2024. – No. 10. – P. 47</w:t>
      </w:r>
      <w:r w:rsidR="00FD5797" w:rsidRPr="000F3C80">
        <w:rPr>
          <w:sz w:val="28"/>
          <w:szCs w:val="28"/>
          <w:lang w:val="en-US"/>
        </w:rPr>
        <w:t>-</w:t>
      </w:r>
      <w:r w:rsidRPr="000F3C80">
        <w:rPr>
          <w:sz w:val="28"/>
          <w:szCs w:val="28"/>
          <w:lang w:val="en-US"/>
        </w:rPr>
        <w:t>50.</w:t>
      </w:r>
    </w:p>
    <w:p w14:paraId="189C0C66" w14:textId="7777777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Gayer A. V., Pronichkin S. V., Tropin D. V., Chernyshova Y. S. Dynamic and integrative capabilities for digital transformation of innovative and institutional potential // IOP Conference Series: Earth and Environmental Science. – 2022. – Vol. 1069. – No. 1. – P. 012026.</w:t>
      </w:r>
    </w:p>
    <w:p w14:paraId="359452D6" w14:textId="3C97E4CF"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Turgunov M., Karimov O. Issues of development and improvement of the innovation strategy of enterprises // American Journal of Social Science and Humanity Research. – 2023. – Vol. 3. – No. 2. – P. 116</w:t>
      </w:r>
      <w:r w:rsidR="00FD5797" w:rsidRPr="000F3C80">
        <w:rPr>
          <w:sz w:val="28"/>
          <w:szCs w:val="28"/>
          <w:lang w:val="en-US"/>
        </w:rPr>
        <w:t>-</w:t>
      </w:r>
      <w:r w:rsidRPr="000F3C80">
        <w:rPr>
          <w:sz w:val="28"/>
          <w:szCs w:val="28"/>
          <w:lang w:val="en-US"/>
        </w:rPr>
        <w:t>120.</w:t>
      </w:r>
    </w:p>
    <w:p w14:paraId="163AB4E9" w14:textId="3461F721"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 xml:space="preserve">Shpomer T., Reus R., Voloshyn S. Investment attractiveness of agricultural machinery manufacturing: Financial, institutional and technological aspects // Scientific Bulletin of Polissia. – 2025. – </w:t>
      </w:r>
      <w:r w:rsidR="00B948F3" w:rsidRPr="000F3C80">
        <w:rPr>
          <w:sz w:val="28"/>
          <w:szCs w:val="28"/>
          <w:lang w:val="en-US"/>
        </w:rPr>
        <w:t>Vol. 3</w:t>
      </w:r>
      <w:r w:rsidR="00B948F3" w:rsidRPr="000F3C80">
        <w:rPr>
          <w:sz w:val="28"/>
          <w:szCs w:val="28"/>
          <w:lang w:val="kk-KZ"/>
        </w:rPr>
        <w:t xml:space="preserve">0 – </w:t>
      </w:r>
      <w:r w:rsidRPr="000F3C80">
        <w:rPr>
          <w:sz w:val="28"/>
          <w:szCs w:val="28"/>
          <w:lang w:val="en-US"/>
        </w:rPr>
        <w:t>N</w:t>
      </w:r>
      <w:r w:rsidR="00B948F3" w:rsidRPr="000F3C80">
        <w:rPr>
          <w:sz w:val="28"/>
          <w:szCs w:val="28"/>
          <w:lang w:val="en-US"/>
        </w:rPr>
        <w:t>o. 1</w:t>
      </w:r>
      <w:r w:rsidRPr="000F3C80">
        <w:rPr>
          <w:sz w:val="28"/>
          <w:szCs w:val="28"/>
          <w:lang w:val="en-US"/>
        </w:rPr>
        <w:t>. – P. 248</w:t>
      </w:r>
      <w:r w:rsidR="00FD5797" w:rsidRPr="000F3C80">
        <w:rPr>
          <w:sz w:val="28"/>
          <w:szCs w:val="28"/>
          <w:lang w:val="en-US"/>
        </w:rPr>
        <w:t>-</w:t>
      </w:r>
      <w:r w:rsidRPr="000F3C80">
        <w:rPr>
          <w:sz w:val="28"/>
          <w:szCs w:val="28"/>
          <w:lang w:val="en-US"/>
        </w:rPr>
        <w:t>262.</w:t>
      </w:r>
    </w:p>
    <w:p w14:paraId="653B07F6" w14:textId="7777777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Cao N., Liu B., Wang J. How does digital transformation affect the conversion of R&amp;D investment into green technological innovation in enterprises? // Economics, Business and Management. – 2025. – Vol. 3. – No. 1. – P. 85.</w:t>
      </w:r>
    </w:p>
    <w:p w14:paraId="24AD66D9" w14:textId="7777777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Alwali J., Alwali W., Yahya S. Digital health transformation and innovation behavior: Examining the role of technological readiness and dynamic capabilities in public hospitals // International Journal of Innovation Science. – 2025.</w:t>
      </w:r>
    </w:p>
    <w:p w14:paraId="2B4F5DB0" w14:textId="7777777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Austin A., Alataş S., Agbonifi D. Financing eco-innovation in an emerging economy: The role of internal resources, external support and government in Turkish SMEs // Sustainable Development. – 2025.</w:t>
      </w:r>
    </w:p>
    <w:p w14:paraId="1EC9EE06" w14:textId="7777777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Golder U., Barua S. The dynamic linkage between fintech venture capital funding, bank credit flows, and equity market movement: Evidence from a global perspective // Financial Innovation. – 2025. – Vol. 11. – No. 1. – P. 120.</w:t>
      </w:r>
    </w:p>
    <w:p w14:paraId="43BD21CA" w14:textId="712F9569"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Zhang Q., Guo Y. Subsidy push or market pull? A policy response of venture capital investment to the Belt and Road Initiative // Applied Economics. – 2025. – P. 1</w:t>
      </w:r>
      <w:r w:rsidR="00FD5797" w:rsidRPr="000F3C80">
        <w:rPr>
          <w:sz w:val="28"/>
          <w:szCs w:val="28"/>
          <w:lang w:val="en-US"/>
        </w:rPr>
        <w:t>-</w:t>
      </w:r>
      <w:r w:rsidRPr="000F3C80">
        <w:rPr>
          <w:sz w:val="28"/>
          <w:szCs w:val="28"/>
          <w:lang w:val="en-US"/>
        </w:rPr>
        <w:t>15.</w:t>
      </w:r>
    </w:p>
    <w:p w14:paraId="49C61268" w14:textId="00F67973"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Pavliuk T., Polusmiak Y., Onyshchenko O. Strategic restructuring of Ukrainian enterprises: Innovation, EU standards and venture financing as key drivers for European market integration // Baltic Journal of Economic Studies. – 2025. – Vol. 11. – No. 3. – P. 409</w:t>
      </w:r>
      <w:r w:rsidR="00FD5797" w:rsidRPr="000F3C80">
        <w:rPr>
          <w:sz w:val="28"/>
          <w:szCs w:val="28"/>
          <w:lang w:val="en-US"/>
        </w:rPr>
        <w:t>-</w:t>
      </w:r>
      <w:r w:rsidRPr="000F3C80">
        <w:rPr>
          <w:sz w:val="28"/>
          <w:szCs w:val="28"/>
          <w:lang w:val="en-US"/>
        </w:rPr>
        <w:t>417.</w:t>
      </w:r>
    </w:p>
    <w:p w14:paraId="4EBCF952" w14:textId="7777777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Laoha R., Deesongkram M., Rudto N. Gamification-based engineering design process instructional model to enhance digital innovation creativity skills for upper secondary school students // Journal of Education and Learning. – 2025. – Vol. 15. – No. 1. – P. 319.</w:t>
      </w:r>
    </w:p>
    <w:p w14:paraId="42B59AF3" w14:textId="73DF47FD"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Setyadi D., Soesanto R. H., Hidayat D., Dosinaeng W. B. N., Mampouw H. L. The digital cognitive partner: A 4P framework analysis of prospective teacher creativity in the age of AI // Journal of Mathematics and Science Education. – 2025. – Vol. 26. – No. 3. – P. 1958</w:t>
      </w:r>
      <w:r w:rsidR="00FD5797" w:rsidRPr="000F3C80">
        <w:rPr>
          <w:sz w:val="28"/>
          <w:szCs w:val="28"/>
          <w:lang w:val="en-US"/>
        </w:rPr>
        <w:t>-</w:t>
      </w:r>
      <w:r w:rsidRPr="000F3C80">
        <w:rPr>
          <w:sz w:val="28"/>
          <w:szCs w:val="28"/>
          <w:lang w:val="en-US"/>
        </w:rPr>
        <w:t>1987.</w:t>
      </w:r>
    </w:p>
    <w:p w14:paraId="4C064627" w14:textId="4C2CBBC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lastRenderedPageBreak/>
        <w:t>Sözbilir F., Kaya S. The impact of social capital on innovative behaviour as a reflection of creativity: The case of education sector // Creativity Studies. – 2025. – Vol. 18. – No. 2. – P. 538</w:t>
      </w:r>
      <w:r w:rsidR="00FD5797" w:rsidRPr="000F3C80">
        <w:rPr>
          <w:sz w:val="28"/>
          <w:szCs w:val="28"/>
          <w:lang w:val="en-US"/>
        </w:rPr>
        <w:t>-</w:t>
      </w:r>
      <w:r w:rsidRPr="000F3C80">
        <w:rPr>
          <w:sz w:val="28"/>
          <w:szCs w:val="28"/>
          <w:lang w:val="en-US"/>
        </w:rPr>
        <w:t>557.</w:t>
      </w:r>
    </w:p>
    <w:p w14:paraId="27BE12E5" w14:textId="31BA1CDD"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Shafiq Z., Jan T. The impact of digital transformation on education // Social Science Review: Multidisciplinary Journal. – 2025. – Special Issue. – P. 271</w:t>
      </w:r>
      <w:r w:rsidR="00FD5797" w:rsidRPr="000F3C80">
        <w:rPr>
          <w:sz w:val="28"/>
          <w:szCs w:val="28"/>
          <w:lang w:val="en-US"/>
        </w:rPr>
        <w:t>-</w:t>
      </w:r>
      <w:r w:rsidRPr="000F3C80">
        <w:rPr>
          <w:sz w:val="28"/>
          <w:szCs w:val="28"/>
          <w:lang w:val="en-US"/>
        </w:rPr>
        <w:t>278.</w:t>
      </w:r>
    </w:p>
    <w:p w14:paraId="41E7B508" w14:textId="2A59EB41"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Nurpatwikanto W., Fikrianoor K., Rolanisa P. E., Ulfa D. M., Latoe V. A., Handayani W. Knowledge sharing among lecturers: Evidence from Indonesia // Journal of Indonesian Economy and Business. – 2025. – Vol. 40. – No. 3.</w:t>
      </w:r>
      <w:r w:rsidR="004826D6" w:rsidRPr="000F3C80">
        <w:rPr>
          <w:sz w:val="28"/>
          <w:szCs w:val="28"/>
          <w:lang w:val="kk-KZ"/>
        </w:rPr>
        <w:t xml:space="preserve"> – </w:t>
      </w:r>
      <w:r w:rsidR="004826D6" w:rsidRPr="000F3C80">
        <w:rPr>
          <w:sz w:val="28"/>
          <w:szCs w:val="28"/>
          <w:lang w:val="en-US"/>
        </w:rPr>
        <w:t xml:space="preserve">P. </w:t>
      </w:r>
      <w:r w:rsidR="004826D6" w:rsidRPr="000F3C80">
        <w:rPr>
          <w:sz w:val="28"/>
          <w:szCs w:val="28"/>
          <w:lang w:val="kk-KZ"/>
        </w:rPr>
        <w:t>443-460.</w:t>
      </w:r>
    </w:p>
    <w:p w14:paraId="7118C593" w14:textId="0D3BE609"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Sayyadi M., Provitera M. Digitize your knowledge-powered culture to double the impact of A.I. // Business Information Review. – 2025.</w:t>
      </w:r>
      <w:r w:rsidR="004826D6" w:rsidRPr="000F3C80">
        <w:rPr>
          <w:sz w:val="28"/>
          <w:szCs w:val="28"/>
          <w:lang w:val="kk-KZ"/>
        </w:rPr>
        <w:t xml:space="preserve"> </w:t>
      </w:r>
      <w:r w:rsidR="004826D6" w:rsidRPr="000F3C80">
        <w:rPr>
          <w:sz w:val="28"/>
          <w:szCs w:val="28"/>
          <w:lang w:val="en-US"/>
        </w:rPr>
        <w:t xml:space="preserve">– Vol. </w:t>
      </w:r>
      <w:r w:rsidR="004826D6" w:rsidRPr="000F3C80">
        <w:rPr>
          <w:sz w:val="28"/>
          <w:szCs w:val="28"/>
          <w:lang w:val="kk-KZ"/>
        </w:rPr>
        <w:t>42</w:t>
      </w:r>
      <w:r w:rsidR="004826D6" w:rsidRPr="000F3C80">
        <w:rPr>
          <w:sz w:val="28"/>
          <w:szCs w:val="28"/>
          <w:lang w:val="en-US"/>
        </w:rPr>
        <w:t xml:space="preserve">. – No. </w:t>
      </w:r>
      <w:r w:rsidR="004826D6" w:rsidRPr="000F3C80">
        <w:rPr>
          <w:sz w:val="28"/>
          <w:szCs w:val="28"/>
          <w:lang w:val="kk-KZ"/>
        </w:rPr>
        <w:t>4</w:t>
      </w:r>
      <w:r w:rsidR="004826D6" w:rsidRPr="000F3C80">
        <w:rPr>
          <w:sz w:val="28"/>
          <w:szCs w:val="28"/>
          <w:lang w:val="en-US"/>
        </w:rPr>
        <w:t>.</w:t>
      </w:r>
      <w:r w:rsidR="004826D6" w:rsidRPr="000F3C80">
        <w:rPr>
          <w:sz w:val="28"/>
          <w:szCs w:val="28"/>
          <w:lang w:val="kk-KZ"/>
        </w:rPr>
        <w:t xml:space="preserve"> </w:t>
      </w:r>
    </w:p>
    <w:p w14:paraId="5E609827" w14:textId="3B9A9C5B"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t>Михненко П. А., Ермакова М. В. Подходы к внедрению системы управления знаниями: опыт АО «Объединенная двигателестроительная корпорация» // Управленческие науки. – 2025. – Т. 15. – № 3. – С. 98</w:t>
      </w:r>
      <w:r w:rsidR="00FD5797" w:rsidRPr="000F3C80">
        <w:rPr>
          <w:sz w:val="28"/>
          <w:szCs w:val="28"/>
        </w:rPr>
        <w:t>-</w:t>
      </w:r>
      <w:r w:rsidRPr="000F3C80">
        <w:rPr>
          <w:sz w:val="28"/>
          <w:szCs w:val="28"/>
        </w:rPr>
        <w:t>107.</w:t>
      </w:r>
    </w:p>
    <w:p w14:paraId="3ABA04D5" w14:textId="467A8638"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 xml:space="preserve">Najeeb S. H. Digital culture and its impact on knowledge concealment: A survey study from the perspective of social media users // Khazayin Economic and Administrative Sciences. – 2025. – </w:t>
      </w:r>
      <w:r w:rsidR="004826D6" w:rsidRPr="000F3C80">
        <w:rPr>
          <w:sz w:val="28"/>
          <w:szCs w:val="28"/>
          <w:lang w:val="en-US"/>
        </w:rPr>
        <w:t xml:space="preserve">Vol. </w:t>
      </w:r>
      <w:r w:rsidR="004826D6" w:rsidRPr="000F3C80">
        <w:rPr>
          <w:sz w:val="28"/>
          <w:szCs w:val="28"/>
          <w:lang w:val="kk-KZ"/>
        </w:rPr>
        <w:t>2</w:t>
      </w:r>
      <w:r w:rsidR="004826D6" w:rsidRPr="000F3C80">
        <w:rPr>
          <w:sz w:val="28"/>
          <w:szCs w:val="28"/>
          <w:lang w:val="en-US"/>
        </w:rPr>
        <w:t>. – No. 3.</w:t>
      </w:r>
      <w:r w:rsidR="004826D6" w:rsidRPr="000F3C80">
        <w:rPr>
          <w:sz w:val="28"/>
          <w:szCs w:val="28"/>
          <w:lang w:val="kk-KZ"/>
        </w:rPr>
        <w:t xml:space="preserve"> – </w:t>
      </w:r>
      <w:r w:rsidRPr="000F3C80">
        <w:rPr>
          <w:sz w:val="28"/>
          <w:szCs w:val="28"/>
          <w:lang w:val="en-US"/>
        </w:rPr>
        <w:t>P. 71</w:t>
      </w:r>
      <w:r w:rsidR="00FD5797" w:rsidRPr="000F3C80">
        <w:rPr>
          <w:sz w:val="28"/>
          <w:szCs w:val="28"/>
          <w:lang w:val="en-US"/>
        </w:rPr>
        <w:t>-</w:t>
      </w:r>
      <w:r w:rsidRPr="000F3C80">
        <w:rPr>
          <w:sz w:val="28"/>
          <w:szCs w:val="28"/>
          <w:lang w:val="en-US"/>
        </w:rPr>
        <w:t>92.</w:t>
      </w:r>
    </w:p>
    <w:p w14:paraId="0D58321A" w14:textId="6B476E6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Bobro N. Assessing the maturity of the digital university architecture as an institutional model for education transformation // Journal of Economics, Finance and Management Studies. – 2025. – Vol. 8. – No. 9.</w:t>
      </w:r>
      <w:r w:rsidR="004826D6" w:rsidRPr="000F3C80">
        <w:rPr>
          <w:sz w:val="28"/>
          <w:szCs w:val="28"/>
          <w:lang w:val="kk-KZ"/>
        </w:rPr>
        <w:t xml:space="preserve"> – </w:t>
      </w:r>
      <w:r w:rsidR="004826D6" w:rsidRPr="000F3C80">
        <w:rPr>
          <w:sz w:val="28"/>
          <w:szCs w:val="28"/>
          <w:lang w:val="en-US"/>
        </w:rPr>
        <w:t xml:space="preserve">P. </w:t>
      </w:r>
      <w:r w:rsidR="004826D6" w:rsidRPr="000F3C80">
        <w:rPr>
          <w:sz w:val="28"/>
          <w:szCs w:val="28"/>
          <w:lang w:val="kk-KZ"/>
        </w:rPr>
        <w:t>6285-6292</w:t>
      </w:r>
    </w:p>
    <w:p w14:paraId="0B86D74E" w14:textId="0F3B9876"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Tang X., Fillip K. Z. Communication pathways in multilevel governance: A review of digital innovation and public value // Review of Communication Research. – 2025. – Vol. 13. – Special Issue. – P. 196</w:t>
      </w:r>
      <w:r w:rsidR="00FD5797" w:rsidRPr="000F3C80">
        <w:rPr>
          <w:sz w:val="28"/>
          <w:szCs w:val="28"/>
          <w:lang w:val="en-US"/>
        </w:rPr>
        <w:t>-</w:t>
      </w:r>
      <w:r w:rsidRPr="000F3C80">
        <w:rPr>
          <w:sz w:val="28"/>
          <w:szCs w:val="28"/>
          <w:lang w:val="en-US"/>
        </w:rPr>
        <w:t>210.</w:t>
      </w:r>
    </w:p>
    <w:p w14:paraId="4EFE863B" w14:textId="09E12A8B"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Nehoda S. F. Formation of a cluster innovative business model in the context of ensuring sustainable development // Journal of Strategic Economic Research. – 2025. – No. 2. – P. 81</w:t>
      </w:r>
      <w:r w:rsidR="00FD5797" w:rsidRPr="000F3C80">
        <w:rPr>
          <w:sz w:val="28"/>
          <w:szCs w:val="28"/>
          <w:lang w:val="en-US"/>
        </w:rPr>
        <w:t>-</w:t>
      </w:r>
      <w:r w:rsidRPr="000F3C80">
        <w:rPr>
          <w:sz w:val="28"/>
          <w:szCs w:val="28"/>
          <w:lang w:val="en-US"/>
        </w:rPr>
        <w:t>86.</w:t>
      </w:r>
    </w:p>
    <w:p w14:paraId="1570566F" w14:textId="23FD2A16"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Farmakis T., Doukidis G., Pramatari K., Krasonikolakis I. Digital transformation, digital organisational culture and business model innovation: Evidence from trade, service and manufacturing firms in Greece // EuroMed Journal of Business. – 2025. – P. 1</w:t>
      </w:r>
      <w:r w:rsidR="00FD5797" w:rsidRPr="000F3C80">
        <w:rPr>
          <w:sz w:val="28"/>
          <w:szCs w:val="28"/>
          <w:lang w:val="en-US"/>
        </w:rPr>
        <w:t>-</w:t>
      </w:r>
      <w:r w:rsidRPr="000F3C80">
        <w:rPr>
          <w:sz w:val="28"/>
          <w:szCs w:val="28"/>
          <w:lang w:val="en-US"/>
        </w:rPr>
        <w:t>24.</w:t>
      </w:r>
    </w:p>
    <w:p w14:paraId="11B0A15D" w14:textId="2E95E65A"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t>Лясников Н. В., Лясникова Ю. В., Серебренников С. С., Харитонов С. С. Внедрение инновационных технологий на основе автоматизации и роботизации производства предпринимательских структур промышленности // Экономика и управление. – 2025. – Т. 31. – № 8. – С. 1079</w:t>
      </w:r>
      <w:r w:rsidR="00FD5797" w:rsidRPr="000F3C80">
        <w:rPr>
          <w:sz w:val="28"/>
          <w:szCs w:val="28"/>
        </w:rPr>
        <w:t>-</w:t>
      </w:r>
      <w:r w:rsidRPr="000F3C80">
        <w:rPr>
          <w:sz w:val="28"/>
          <w:szCs w:val="28"/>
        </w:rPr>
        <w:t>1090.</w:t>
      </w:r>
    </w:p>
    <w:p w14:paraId="402B39BD" w14:textId="23AE7DF1"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Baula O. V. Features of the influence of the modern environment on the innovative development of integrated structures of enterprise interaction in wartime conditions // Journal of Strategic Economic Research. – 2025. – No. 2. – P. 29</w:t>
      </w:r>
      <w:r w:rsidR="00FD5797" w:rsidRPr="000F3C80">
        <w:rPr>
          <w:sz w:val="28"/>
          <w:szCs w:val="28"/>
          <w:lang w:val="en-US"/>
        </w:rPr>
        <w:t>-</w:t>
      </w:r>
      <w:r w:rsidRPr="000F3C80">
        <w:rPr>
          <w:sz w:val="28"/>
          <w:szCs w:val="28"/>
          <w:lang w:val="en-US"/>
        </w:rPr>
        <w:t>33.</w:t>
      </w:r>
    </w:p>
    <w:p w14:paraId="5552D00A" w14:textId="7777777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Corrales Castillo E. J., Ramírez Tarazona J. V., Arana Flórez R. The culture of innovation in companies in the agricultural sector in Valle del Cauca – Colombia: A look from the foresight approach // Cuadernos de Administración. – 2025. – Vol. 41. – No. 83. – P. e20114503.</w:t>
      </w:r>
    </w:p>
    <w:p w14:paraId="6503FB4E" w14:textId="0AEAA87E"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Agustina E., Nelson A., Setyawan A. Factors influencing organizational resilience: Mediating roles of adaptive culture and learning // Journal of Business, Management and Banking. – 2025. – Vol. 11. – No. 2. – P. 307</w:t>
      </w:r>
      <w:r w:rsidR="00FD5797" w:rsidRPr="000F3C80">
        <w:rPr>
          <w:sz w:val="28"/>
          <w:szCs w:val="28"/>
          <w:lang w:val="en-US"/>
        </w:rPr>
        <w:t>-</w:t>
      </w:r>
      <w:r w:rsidRPr="000F3C80">
        <w:rPr>
          <w:sz w:val="28"/>
          <w:szCs w:val="28"/>
          <w:lang w:val="en-US"/>
        </w:rPr>
        <w:t>328.</w:t>
      </w:r>
    </w:p>
    <w:p w14:paraId="64CCB9D9" w14:textId="45F1033D"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lastRenderedPageBreak/>
        <w:t>Anguelov K., Stoyanova T. Assessment of factors influencing market leadership and innovation of FinTech companies in the digital economy // Economic, Ecology and Socium. – 2025. – Vol. 9. – No. 3. – P. 93</w:t>
      </w:r>
      <w:r w:rsidR="00FD5797" w:rsidRPr="000F3C80">
        <w:rPr>
          <w:sz w:val="28"/>
          <w:szCs w:val="28"/>
          <w:lang w:val="en-US"/>
        </w:rPr>
        <w:t>-</w:t>
      </w:r>
      <w:r w:rsidRPr="000F3C80">
        <w:rPr>
          <w:sz w:val="28"/>
          <w:szCs w:val="28"/>
          <w:lang w:val="en-US"/>
        </w:rPr>
        <w:t>109.</w:t>
      </w:r>
    </w:p>
    <w:p w14:paraId="1D02A3DC" w14:textId="7777777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Tang L., Wang S., Ji J., Yin S., Yasrab R., Zhou C. Integrating structured time-series modeling and ensemble learning for strategic performance forecasting // Algorithms. – 2025. – Vol. 18. – No. 10. – P. 611.</w:t>
      </w:r>
    </w:p>
    <w:p w14:paraId="0954E33A" w14:textId="7777777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Wang W., Li Z., Meng Q. Digital transformation drivers, technologies, and pathways in agricultural product supply chains: A comprehensive literature review // Applied Sciences. – 2025. – Vol. 15. – No. 19. – P. 10487.</w:t>
      </w:r>
    </w:p>
    <w:p w14:paraId="189DD34F" w14:textId="1918B18C"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Kusuma A. P. H., Jumantoro T. R. P. Harnessing digital transformation to accelerate sustainable investment through environmental, social, and governance integration (ESG) // Veteran Law Review. – 2025. – Vol. 8. – No. 1. – P. 28</w:t>
      </w:r>
      <w:r w:rsidR="00FD5797" w:rsidRPr="000F3C80">
        <w:rPr>
          <w:sz w:val="28"/>
          <w:szCs w:val="28"/>
          <w:lang w:val="en-US"/>
        </w:rPr>
        <w:t>-</w:t>
      </w:r>
      <w:r w:rsidRPr="000F3C80">
        <w:rPr>
          <w:sz w:val="28"/>
          <w:szCs w:val="28"/>
          <w:lang w:val="en-US"/>
        </w:rPr>
        <w:t>44.</w:t>
      </w:r>
    </w:p>
    <w:p w14:paraId="79C029C1" w14:textId="2E591C8D"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t>Саденова А. М., Рахимова С. А. Основные направления проектирования инновационного потенциала предпринимательских структур с учетом критериев результативности и эффективности // Материалы международной научной конференции молодых ученых, аспирантов, студентов и школьников «XXI Сатпаевские чтения». – Павлодар: Торайгыров университет, 2021. – С. 133</w:t>
      </w:r>
      <w:r w:rsidR="004826D6" w:rsidRPr="000F3C80">
        <w:rPr>
          <w:sz w:val="28"/>
          <w:szCs w:val="28"/>
          <w:lang w:val="kk-KZ"/>
        </w:rPr>
        <w:t>-</w:t>
      </w:r>
      <w:r w:rsidRPr="000F3C80">
        <w:rPr>
          <w:sz w:val="28"/>
          <w:szCs w:val="28"/>
        </w:rPr>
        <w:t>137.</w:t>
      </w:r>
    </w:p>
    <w:p w14:paraId="5C0EC9D2" w14:textId="14DFE8DA"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t>Саденова А. М., Рахимова С. А. Инновационный потенциал предпринимательских структур: понятие, подходы и методы его проектирования // Экономическая серия Вестника ЕНУ имени Л. Н. Гумилева. – 2019. – № 2. – С. 138</w:t>
      </w:r>
      <w:r w:rsidR="004826D6" w:rsidRPr="000F3C80">
        <w:rPr>
          <w:sz w:val="28"/>
          <w:szCs w:val="28"/>
          <w:lang w:val="kk-KZ"/>
        </w:rPr>
        <w:t>-</w:t>
      </w:r>
      <w:r w:rsidRPr="000F3C80">
        <w:rPr>
          <w:sz w:val="28"/>
          <w:szCs w:val="28"/>
        </w:rPr>
        <w:t>150.</w:t>
      </w:r>
    </w:p>
    <w:p w14:paraId="3E616F1B" w14:textId="5F997096" w:rsidR="00543580" w:rsidRPr="000F3C80" w:rsidRDefault="004826D6"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Farmakis</w:t>
      </w:r>
      <w:r w:rsidR="00543580" w:rsidRPr="000F3C80">
        <w:rPr>
          <w:sz w:val="28"/>
          <w:szCs w:val="28"/>
          <w:lang w:val="en-US"/>
        </w:rPr>
        <w:t>. Digital transformation and resilient business models: Unlocking competitive advantage in post-pandemic SMEs // Journal of Economics and Management Sciences. – 2025. – P. 1</w:t>
      </w:r>
      <w:r w:rsidRPr="000F3C80">
        <w:rPr>
          <w:sz w:val="28"/>
          <w:szCs w:val="28"/>
          <w:lang w:val="kk-KZ"/>
        </w:rPr>
        <w:t>-24</w:t>
      </w:r>
      <w:r w:rsidR="00543580" w:rsidRPr="000F3C80">
        <w:rPr>
          <w:sz w:val="28"/>
          <w:szCs w:val="28"/>
          <w:lang w:val="en-US"/>
        </w:rPr>
        <w:t>.</w:t>
      </w:r>
    </w:p>
    <w:p w14:paraId="3AF03547" w14:textId="6A7AF10F"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Chaerul M., et al. Training and education for UMKM actors related to digital marketing strategies and business financial management in Paropo Village, Panakukang District, Makassar City // Journal of University Community Empowerment Provision. – 2025. – Vol. 5. – No. 3. – P. 97</w:t>
      </w:r>
      <w:r w:rsidR="004826D6" w:rsidRPr="000F3C80">
        <w:rPr>
          <w:sz w:val="28"/>
          <w:szCs w:val="28"/>
          <w:lang w:val="kk-KZ"/>
        </w:rPr>
        <w:t>-</w:t>
      </w:r>
      <w:r w:rsidRPr="000F3C80">
        <w:rPr>
          <w:sz w:val="28"/>
          <w:szCs w:val="28"/>
          <w:lang w:val="en-US"/>
        </w:rPr>
        <w:t>104.</w:t>
      </w:r>
    </w:p>
    <w:p w14:paraId="2C38AFCC" w14:textId="585298FF"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Nayra N., Sunarto D. J., Tiananda N., Rahmania S. Kampung tangguh bencana era digital: Akselerasi ekonomi dan layanan sosial berbasis teknologi // Prima Abdika: Jurnal Pengabdian Masyarakat. – 2025. – Vol. 5. – No. 3. – P. 550</w:t>
      </w:r>
      <w:r w:rsidR="004826D6" w:rsidRPr="000F3C80">
        <w:rPr>
          <w:sz w:val="28"/>
          <w:szCs w:val="28"/>
          <w:lang w:val="kk-KZ"/>
        </w:rPr>
        <w:t>-</w:t>
      </w:r>
      <w:r w:rsidRPr="000F3C80">
        <w:rPr>
          <w:sz w:val="28"/>
          <w:szCs w:val="28"/>
          <w:lang w:val="en-US"/>
        </w:rPr>
        <w:t>559.</w:t>
      </w:r>
    </w:p>
    <w:p w14:paraId="15BCF822" w14:textId="7777777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Bindeeba D. S., Tukamushaba E. K., Bakashaba R. How digital capabilities and credit access influence green innovation performance in small and medium enterprises in resource constrained settings // Discover Sustainability. – 2025. – Vol. 6. – No. 1. – P. 955.</w:t>
      </w:r>
    </w:p>
    <w:p w14:paraId="0D87EDB9" w14:textId="653A5EB0"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Leso B. H., Nogueira Cortimiglia M., Ghezzi A., Rangone A. Operationalizing digital transformation: A capability-based maturity model // Proceedings of the European Conference on Innovation and Entrepreneurship. – 2025. – Vol. 20. – No. 1. – P. 387</w:t>
      </w:r>
      <w:r w:rsidR="004826D6" w:rsidRPr="000F3C80">
        <w:rPr>
          <w:sz w:val="28"/>
          <w:szCs w:val="28"/>
          <w:lang w:val="kk-KZ"/>
        </w:rPr>
        <w:t>-</w:t>
      </w:r>
      <w:r w:rsidRPr="000F3C80">
        <w:rPr>
          <w:sz w:val="28"/>
          <w:szCs w:val="28"/>
          <w:lang w:val="en-US"/>
        </w:rPr>
        <w:t>397.</w:t>
      </w:r>
    </w:p>
    <w:p w14:paraId="32B77C9E" w14:textId="7777777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Liu X., Xie Y. Ambidextrous market orientation and digital business model innovation // Sustainability. – 2025. – Vol. 17. – No. 19. – P. 8633.</w:t>
      </w:r>
    </w:p>
    <w:p w14:paraId="44348BE5" w14:textId="7B51EB8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Li X. The path for digital transformation of enterprise business management // Advances in Economics, Management and Political Sciences. – 2025. – Vol. 216. – No. 1. – P. 159</w:t>
      </w:r>
      <w:r w:rsidR="004826D6" w:rsidRPr="000F3C80">
        <w:rPr>
          <w:sz w:val="28"/>
          <w:szCs w:val="28"/>
          <w:lang w:val="kk-KZ"/>
        </w:rPr>
        <w:t>-</w:t>
      </w:r>
      <w:r w:rsidRPr="000F3C80">
        <w:rPr>
          <w:sz w:val="28"/>
          <w:szCs w:val="28"/>
          <w:lang w:val="en-US"/>
        </w:rPr>
        <w:t>164.</w:t>
      </w:r>
    </w:p>
    <w:p w14:paraId="2EE7A982" w14:textId="00BFA33D"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lastRenderedPageBreak/>
        <w:t xml:space="preserve">Blagojević S., Kecman A. Impact of digital transformation on the efficiency of business communication in hybrid work environments // Economic and Entrepreneurship Management Research. – 2025. – </w:t>
      </w:r>
      <w:r w:rsidR="004826D6" w:rsidRPr="000F3C80">
        <w:rPr>
          <w:sz w:val="28"/>
          <w:szCs w:val="28"/>
          <w:lang w:val="en-US"/>
        </w:rPr>
        <w:t xml:space="preserve">Vol. </w:t>
      </w:r>
      <w:r w:rsidR="004826D6" w:rsidRPr="000F3C80">
        <w:rPr>
          <w:sz w:val="28"/>
          <w:szCs w:val="28"/>
          <w:lang w:val="kk-KZ"/>
        </w:rPr>
        <w:t>4</w:t>
      </w:r>
      <w:r w:rsidR="004826D6" w:rsidRPr="000F3C80">
        <w:rPr>
          <w:sz w:val="28"/>
          <w:szCs w:val="28"/>
          <w:lang w:val="en-US"/>
        </w:rPr>
        <w:t xml:space="preserve">. – No. </w:t>
      </w:r>
      <w:r w:rsidR="004826D6" w:rsidRPr="000F3C80">
        <w:rPr>
          <w:sz w:val="28"/>
          <w:szCs w:val="28"/>
          <w:lang w:val="kk-KZ"/>
        </w:rPr>
        <w:t>1</w:t>
      </w:r>
      <w:r w:rsidR="004826D6" w:rsidRPr="000F3C80">
        <w:rPr>
          <w:sz w:val="28"/>
          <w:szCs w:val="28"/>
          <w:lang w:val="en-US"/>
        </w:rPr>
        <w:t xml:space="preserve">. – </w:t>
      </w:r>
      <w:r w:rsidRPr="000F3C80">
        <w:rPr>
          <w:sz w:val="28"/>
          <w:szCs w:val="28"/>
          <w:lang w:val="en-US"/>
        </w:rPr>
        <w:t>P. 24.</w:t>
      </w:r>
    </w:p>
    <w:p w14:paraId="085EA77D" w14:textId="69459591"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Kostev R. GIS-based assessment model of resilient management and monitoring of water resources // Economic, Ecology and Socium. – 2025. – Vol. 9. – No. 3. – P. 33</w:t>
      </w:r>
      <w:r w:rsidR="004826D6" w:rsidRPr="000F3C80">
        <w:rPr>
          <w:sz w:val="28"/>
          <w:szCs w:val="28"/>
          <w:lang w:val="kk-KZ"/>
        </w:rPr>
        <w:t>-</w:t>
      </w:r>
      <w:r w:rsidRPr="000F3C80">
        <w:rPr>
          <w:sz w:val="28"/>
          <w:szCs w:val="28"/>
          <w:lang w:val="en-US"/>
        </w:rPr>
        <w:t>47.</w:t>
      </w:r>
    </w:p>
    <w:p w14:paraId="324C0FEC" w14:textId="1D775F5A"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Stigliani I., Corley K. G., Gioia D. Thinking differently about thinking theoretically: Developing a design-centered approach to organizational theorizing // Journal of Management Inquiry. – 2025.</w:t>
      </w:r>
      <w:r w:rsidR="0074670F" w:rsidRPr="000F3C80">
        <w:rPr>
          <w:sz w:val="28"/>
          <w:szCs w:val="28"/>
          <w:lang w:val="kk-KZ"/>
        </w:rPr>
        <w:t xml:space="preserve"> </w:t>
      </w:r>
      <w:r w:rsidR="0074670F" w:rsidRPr="000F3C80">
        <w:rPr>
          <w:sz w:val="28"/>
          <w:szCs w:val="28"/>
          <w:lang w:val="en-US"/>
        </w:rPr>
        <w:t xml:space="preserve">– P. </w:t>
      </w:r>
      <w:r w:rsidR="0074670F" w:rsidRPr="000F3C80">
        <w:rPr>
          <w:sz w:val="28"/>
          <w:szCs w:val="28"/>
          <w:lang w:val="kk-KZ"/>
        </w:rPr>
        <w:t>1-18</w:t>
      </w:r>
      <w:r w:rsidR="0074670F" w:rsidRPr="000F3C80">
        <w:rPr>
          <w:sz w:val="28"/>
          <w:szCs w:val="28"/>
          <w:lang w:val="en-US"/>
        </w:rPr>
        <w:t>.</w:t>
      </w:r>
    </w:p>
    <w:p w14:paraId="2B0B9C57" w14:textId="3B1C6548"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 xml:space="preserve">Houessou B., Gardoni M., Rioux M. Adapting ISO 55000 principles for healthcare: A case study on CT scanner life cycle management in a Quebec public hospital // </w:t>
      </w:r>
      <w:r w:rsidR="0074670F" w:rsidRPr="000F3C80">
        <w:rPr>
          <w:sz w:val="28"/>
          <w:szCs w:val="28"/>
          <w:lang w:val="en-US"/>
        </w:rPr>
        <w:t>11th International Conference on Modeling, Optimization and Simulation - MOSIM’16</w:t>
      </w:r>
      <w:r w:rsidR="0074670F" w:rsidRPr="000F3C80">
        <w:rPr>
          <w:sz w:val="28"/>
          <w:szCs w:val="28"/>
          <w:lang w:val="kk-KZ"/>
        </w:rPr>
        <w:t xml:space="preserve">. – </w:t>
      </w:r>
      <w:r w:rsidR="0074670F" w:rsidRPr="000F3C80">
        <w:rPr>
          <w:sz w:val="28"/>
          <w:szCs w:val="28"/>
          <w:lang w:val="en-US"/>
        </w:rPr>
        <w:t>August 22-24</w:t>
      </w:r>
      <w:r w:rsidR="0074670F" w:rsidRPr="000F3C80">
        <w:rPr>
          <w:sz w:val="28"/>
          <w:szCs w:val="28"/>
          <w:lang w:val="kk-KZ"/>
        </w:rPr>
        <w:t xml:space="preserve">. – </w:t>
      </w:r>
      <w:r w:rsidR="0074670F" w:rsidRPr="000F3C80">
        <w:rPr>
          <w:sz w:val="28"/>
          <w:szCs w:val="28"/>
          <w:lang w:val="en-US"/>
        </w:rPr>
        <w:t>Montréal, Québec, Canada</w:t>
      </w:r>
      <w:r w:rsidRPr="000F3C80">
        <w:rPr>
          <w:sz w:val="28"/>
          <w:szCs w:val="28"/>
          <w:lang w:val="en-US"/>
        </w:rPr>
        <w:t>. – 2025. – P. 1894</w:t>
      </w:r>
      <w:r w:rsidR="00FD5797" w:rsidRPr="000F3C80">
        <w:rPr>
          <w:sz w:val="28"/>
          <w:szCs w:val="28"/>
          <w:lang w:val="en-US"/>
        </w:rPr>
        <w:t>-</w:t>
      </w:r>
      <w:r w:rsidRPr="000F3C80">
        <w:rPr>
          <w:sz w:val="28"/>
          <w:szCs w:val="28"/>
          <w:lang w:val="en-US"/>
        </w:rPr>
        <w:t>1897.</w:t>
      </w:r>
    </w:p>
    <w:p w14:paraId="777973A5" w14:textId="41A419E4"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 xml:space="preserve">Emek U., Yardimci Bozdoğan E. B. </w:t>
      </w:r>
      <w:r w:rsidR="0074670F" w:rsidRPr="000F3C80">
        <w:rPr>
          <w:sz w:val="28"/>
          <w:szCs w:val="28"/>
          <w:lang w:val="en-US"/>
        </w:rPr>
        <w:t>Project cycle management of Canal İstanbul Project</w:t>
      </w:r>
      <w:r w:rsidRPr="000F3C80">
        <w:rPr>
          <w:sz w:val="28"/>
          <w:szCs w:val="28"/>
          <w:lang w:val="en-US"/>
        </w:rPr>
        <w:t xml:space="preserve"> // Journal of Business Research – Turk. – 2025.</w:t>
      </w:r>
      <w:r w:rsidR="0074670F" w:rsidRPr="000F3C80">
        <w:rPr>
          <w:sz w:val="28"/>
          <w:szCs w:val="28"/>
          <w:lang w:val="kk-KZ"/>
        </w:rPr>
        <w:t xml:space="preserve"> </w:t>
      </w:r>
      <w:r w:rsidR="0074670F" w:rsidRPr="000F3C80">
        <w:rPr>
          <w:sz w:val="28"/>
          <w:szCs w:val="28"/>
          <w:lang w:val="en-US"/>
        </w:rPr>
        <w:t xml:space="preserve">– Vol. </w:t>
      </w:r>
      <w:r w:rsidR="0074670F" w:rsidRPr="000F3C80">
        <w:rPr>
          <w:sz w:val="28"/>
          <w:szCs w:val="28"/>
          <w:lang w:val="kk-KZ"/>
        </w:rPr>
        <w:t>17</w:t>
      </w:r>
      <w:r w:rsidR="0074670F" w:rsidRPr="000F3C80">
        <w:rPr>
          <w:sz w:val="28"/>
          <w:szCs w:val="28"/>
          <w:lang w:val="en-US"/>
        </w:rPr>
        <w:t xml:space="preserve">. – No. </w:t>
      </w:r>
      <w:r w:rsidR="0074670F" w:rsidRPr="000F3C80">
        <w:rPr>
          <w:sz w:val="28"/>
          <w:szCs w:val="28"/>
          <w:lang w:val="kk-KZ"/>
        </w:rPr>
        <w:t>3</w:t>
      </w:r>
      <w:r w:rsidR="0074670F" w:rsidRPr="000F3C80">
        <w:rPr>
          <w:sz w:val="28"/>
          <w:szCs w:val="28"/>
          <w:lang w:val="en-US"/>
        </w:rPr>
        <w:t>. – P. 2641-2658.</w:t>
      </w:r>
    </w:p>
    <w:p w14:paraId="09566A12" w14:textId="7777777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Chen Y. Construction and practical verification of a “risk–collaboration–digitalization” trinity project management model for cardiovascular and cerebrovascular innovative drug R&amp;D // Modern Health Science. – 2025. – Vol. 8. – No. 3. – P. 56.</w:t>
      </w:r>
    </w:p>
    <w:p w14:paraId="532FE205" w14:textId="1B1C0795"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rPr>
        <w:t>Харчук</w:t>
      </w:r>
      <w:r w:rsidRPr="000F3C80">
        <w:rPr>
          <w:sz w:val="28"/>
          <w:szCs w:val="28"/>
          <w:lang w:val="en-US"/>
        </w:rPr>
        <w:t xml:space="preserve"> </w:t>
      </w:r>
      <w:r w:rsidRPr="000F3C80">
        <w:rPr>
          <w:sz w:val="28"/>
          <w:szCs w:val="28"/>
        </w:rPr>
        <w:t>Т</w:t>
      </w:r>
      <w:r w:rsidRPr="000F3C80">
        <w:rPr>
          <w:sz w:val="28"/>
          <w:szCs w:val="28"/>
          <w:lang w:val="en-US"/>
        </w:rPr>
        <w:t xml:space="preserve">. </w:t>
      </w:r>
      <w:r w:rsidRPr="000F3C80">
        <w:rPr>
          <w:sz w:val="28"/>
          <w:szCs w:val="28"/>
        </w:rPr>
        <w:t>В</w:t>
      </w:r>
      <w:r w:rsidRPr="000F3C80">
        <w:rPr>
          <w:sz w:val="28"/>
          <w:szCs w:val="28"/>
          <w:lang w:val="en-US"/>
        </w:rPr>
        <w:t xml:space="preserve">., </w:t>
      </w:r>
      <w:r w:rsidRPr="000F3C80">
        <w:rPr>
          <w:sz w:val="28"/>
          <w:szCs w:val="28"/>
        </w:rPr>
        <w:t>Заяц</w:t>
      </w:r>
      <w:r w:rsidRPr="000F3C80">
        <w:rPr>
          <w:sz w:val="28"/>
          <w:szCs w:val="28"/>
          <w:lang w:val="en-US"/>
        </w:rPr>
        <w:t xml:space="preserve"> </w:t>
      </w:r>
      <w:r w:rsidRPr="000F3C80">
        <w:rPr>
          <w:sz w:val="28"/>
          <w:szCs w:val="28"/>
        </w:rPr>
        <w:t>О</w:t>
      </w:r>
      <w:r w:rsidRPr="000F3C80">
        <w:rPr>
          <w:sz w:val="28"/>
          <w:szCs w:val="28"/>
          <w:lang w:val="en-US"/>
        </w:rPr>
        <w:t xml:space="preserve">. </w:t>
      </w:r>
      <w:r w:rsidRPr="000F3C80">
        <w:rPr>
          <w:sz w:val="28"/>
          <w:szCs w:val="28"/>
        </w:rPr>
        <w:t>В</w:t>
      </w:r>
      <w:r w:rsidRPr="000F3C80">
        <w:rPr>
          <w:sz w:val="28"/>
          <w:szCs w:val="28"/>
          <w:lang w:val="en-US"/>
        </w:rPr>
        <w:t xml:space="preserve">., </w:t>
      </w:r>
      <w:r w:rsidRPr="000F3C80">
        <w:rPr>
          <w:sz w:val="28"/>
          <w:szCs w:val="28"/>
        </w:rPr>
        <w:t>Білик</w:t>
      </w:r>
      <w:r w:rsidRPr="000F3C80">
        <w:rPr>
          <w:sz w:val="28"/>
          <w:szCs w:val="28"/>
          <w:lang w:val="en-US"/>
        </w:rPr>
        <w:t xml:space="preserve"> </w:t>
      </w:r>
      <w:r w:rsidRPr="000F3C80">
        <w:rPr>
          <w:sz w:val="28"/>
          <w:szCs w:val="28"/>
        </w:rPr>
        <w:t>О</w:t>
      </w:r>
      <w:r w:rsidRPr="000F3C80">
        <w:rPr>
          <w:sz w:val="28"/>
          <w:szCs w:val="28"/>
          <w:lang w:val="en-US"/>
        </w:rPr>
        <w:t xml:space="preserve">. </w:t>
      </w:r>
      <w:r w:rsidRPr="000F3C80">
        <w:rPr>
          <w:sz w:val="28"/>
          <w:szCs w:val="28"/>
        </w:rPr>
        <w:t>А</w:t>
      </w:r>
      <w:r w:rsidRPr="000F3C80">
        <w:rPr>
          <w:sz w:val="28"/>
          <w:szCs w:val="28"/>
          <w:lang w:val="en-US"/>
        </w:rPr>
        <w:t xml:space="preserve">., </w:t>
      </w:r>
      <w:r w:rsidRPr="000F3C80">
        <w:rPr>
          <w:sz w:val="28"/>
          <w:szCs w:val="28"/>
        </w:rPr>
        <w:t>Андросович</w:t>
      </w:r>
      <w:r w:rsidRPr="000F3C80">
        <w:rPr>
          <w:sz w:val="28"/>
          <w:szCs w:val="28"/>
          <w:lang w:val="en-US"/>
        </w:rPr>
        <w:t xml:space="preserve"> </w:t>
      </w:r>
      <w:r w:rsidRPr="000F3C80">
        <w:rPr>
          <w:sz w:val="28"/>
          <w:szCs w:val="28"/>
        </w:rPr>
        <w:t>І</w:t>
      </w:r>
      <w:r w:rsidRPr="000F3C80">
        <w:rPr>
          <w:sz w:val="28"/>
          <w:szCs w:val="28"/>
          <w:lang w:val="en-US"/>
        </w:rPr>
        <w:t xml:space="preserve">. </w:t>
      </w:r>
      <w:r w:rsidRPr="000F3C80">
        <w:rPr>
          <w:sz w:val="28"/>
          <w:szCs w:val="28"/>
        </w:rPr>
        <w:t>І</w:t>
      </w:r>
      <w:r w:rsidRPr="000F3C80">
        <w:rPr>
          <w:sz w:val="28"/>
          <w:szCs w:val="28"/>
          <w:lang w:val="en-US"/>
        </w:rPr>
        <w:t xml:space="preserve">. </w:t>
      </w:r>
      <w:r w:rsidRPr="000F3C80">
        <w:rPr>
          <w:sz w:val="28"/>
          <w:szCs w:val="28"/>
        </w:rPr>
        <w:t>Стратегії</w:t>
      </w:r>
      <w:r w:rsidRPr="000F3C80">
        <w:rPr>
          <w:sz w:val="28"/>
          <w:szCs w:val="28"/>
          <w:lang w:val="en-US"/>
        </w:rPr>
        <w:t xml:space="preserve"> </w:t>
      </w:r>
      <w:r w:rsidRPr="000F3C80">
        <w:rPr>
          <w:sz w:val="28"/>
          <w:szCs w:val="28"/>
        </w:rPr>
        <w:t>управління</w:t>
      </w:r>
      <w:r w:rsidRPr="000F3C80">
        <w:rPr>
          <w:sz w:val="28"/>
          <w:szCs w:val="28"/>
          <w:lang w:val="en-US"/>
        </w:rPr>
        <w:t xml:space="preserve"> </w:t>
      </w:r>
      <w:r w:rsidRPr="000F3C80">
        <w:rPr>
          <w:sz w:val="28"/>
          <w:szCs w:val="28"/>
        </w:rPr>
        <w:t>бізнесом</w:t>
      </w:r>
      <w:r w:rsidRPr="000F3C80">
        <w:rPr>
          <w:sz w:val="28"/>
          <w:szCs w:val="28"/>
          <w:lang w:val="en-US"/>
        </w:rPr>
        <w:t xml:space="preserve"> </w:t>
      </w:r>
      <w:r w:rsidRPr="000F3C80">
        <w:rPr>
          <w:sz w:val="28"/>
          <w:szCs w:val="28"/>
        </w:rPr>
        <w:t>та</w:t>
      </w:r>
      <w:r w:rsidRPr="000F3C80">
        <w:rPr>
          <w:sz w:val="28"/>
          <w:szCs w:val="28"/>
          <w:lang w:val="en-US"/>
        </w:rPr>
        <w:t xml:space="preserve"> </w:t>
      </w:r>
      <w:r w:rsidRPr="000F3C80">
        <w:rPr>
          <w:sz w:val="28"/>
          <w:szCs w:val="28"/>
        </w:rPr>
        <w:t>інноваційний</w:t>
      </w:r>
      <w:r w:rsidRPr="000F3C80">
        <w:rPr>
          <w:sz w:val="28"/>
          <w:szCs w:val="28"/>
          <w:lang w:val="en-US"/>
        </w:rPr>
        <w:t xml:space="preserve"> </w:t>
      </w:r>
      <w:r w:rsidRPr="000F3C80">
        <w:rPr>
          <w:sz w:val="28"/>
          <w:szCs w:val="28"/>
        </w:rPr>
        <w:t>менеджмент</w:t>
      </w:r>
      <w:r w:rsidRPr="000F3C80">
        <w:rPr>
          <w:sz w:val="28"/>
          <w:szCs w:val="28"/>
          <w:lang w:val="en-US"/>
        </w:rPr>
        <w:t xml:space="preserve"> </w:t>
      </w:r>
      <w:r w:rsidRPr="000F3C80">
        <w:rPr>
          <w:sz w:val="28"/>
          <w:szCs w:val="28"/>
        </w:rPr>
        <w:t>підприємств</w:t>
      </w:r>
      <w:r w:rsidRPr="000F3C80">
        <w:rPr>
          <w:sz w:val="28"/>
          <w:szCs w:val="28"/>
          <w:lang w:val="en-US"/>
        </w:rPr>
        <w:t xml:space="preserve"> </w:t>
      </w:r>
      <w:r w:rsidRPr="000F3C80">
        <w:rPr>
          <w:sz w:val="28"/>
          <w:szCs w:val="28"/>
        </w:rPr>
        <w:t>на</w:t>
      </w:r>
      <w:r w:rsidRPr="000F3C80">
        <w:rPr>
          <w:sz w:val="28"/>
          <w:szCs w:val="28"/>
          <w:lang w:val="en-US"/>
        </w:rPr>
        <w:t xml:space="preserve"> </w:t>
      </w:r>
      <w:r w:rsidRPr="000F3C80">
        <w:rPr>
          <w:sz w:val="28"/>
          <w:szCs w:val="28"/>
        </w:rPr>
        <w:t>ринку</w:t>
      </w:r>
      <w:r w:rsidRPr="000F3C80">
        <w:rPr>
          <w:sz w:val="28"/>
          <w:szCs w:val="28"/>
          <w:lang w:val="en-US"/>
        </w:rPr>
        <w:t xml:space="preserve"> </w:t>
      </w:r>
      <w:r w:rsidRPr="000F3C80">
        <w:rPr>
          <w:sz w:val="28"/>
          <w:szCs w:val="28"/>
        </w:rPr>
        <w:t>інвестицій</w:t>
      </w:r>
      <w:r w:rsidRPr="000F3C80">
        <w:rPr>
          <w:sz w:val="28"/>
          <w:szCs w:val="28"/>
          <w:lang w:val="en-US"/>
        </w:rPr>
        <w:t xml:space="preserve"> // </w:t>
      </w:r>
      <w:r w:rsidRPr="000F3C80">
        <w:rPr>
          <w:sz w:val="28"/>
          <w:szCs w:val="28"/>
        </w:rPr>
        <w:t>Актуальні</w:t>
      </w:r>
      <w:r w:rsidRPr="000F3C80">
        <w:rPr>
          <w:sz w:val="28"/>
          <w:szCs w:val="28"/>
          <w:lang w:val="en-US"/>
        </w:rPr>
        <w:t xml:space="preserve"> </w:t>
      </w:r>
      <w:r w:rsidRPr="000F3C80">
        <w:rPr>
          <w:sz w:val="28"/>
          <w:szCs w:val="28"/>
        </w:rPr>
        <w:t>проблеми</w:t>
      </w:r>
      <w:r w:rsidRPr="000F3C80">
        <w:rPr>
          <w:sz w:val="28"/>
          <w:szCs w:val="28"/>
          <w:lang w:val="en-US"/>
        </w:rPr>
        <w:t xml:space="preserve"> </w:t>
      </w:r>
      <w:r w:rsidRPr="000F3C80">
        <w:rPr>
          <w:sz w:val="28"/>
          <w:szCs w:val="28"/>
        </w:rPr>
        <w:t>економіки</w:t>
      </w:r>
      <w:r w:rsidRPr="000F3C80">
        <w:rPr>
          <w:sz w:val="28"/>
          <w:szCs w:val="28"/>
          <w:lang w:val="en-US"/>
        </w:rPr>
        <w:t xml:space="preserve">. – 2025. – № 6 (288). – </w:t>
      </w:r>
      <w:r w:rsidRPr="000F3C80">
        <w:rPr>
          <w:sz w:val="28"/>
          <w:szCs w:val="28"/>
        </w:rPr>
        <w:t>С</w:t>
      </w:r>
      <w:r w:rsidRPr="000F3C80">
        <w:rPr>
          <w:sz w:val="28"/>
          <w:szCs w:val="28"/>
          <w:lang w:val="en-US"/>
        </w:rPr>
        <w:t>. 203</w:t>
      </w:r>
      <w:r w:rsidR="00FD5797" w:rsidRPr="000F3C80">
        <w:rPr>
          <w:sz w:val="28"/>
          <w:szCs w:val="28"/>
          <w:lang w:val="en-US"/>
        </w:rPr>
        <w:t>-</w:t>
      </w:r>
      <w:r w:rsidRPr="000F3C80">
        <w:rPr>
          <w:sz w:val="28"/>
          <w:szCs w:val="28"/>
          <w:lang w:val="en-US"/>
        </w:rPr>
        <w:t>217.</w:t>
      </w:r>
    </w:p>
    <w:p w14:paraId="6EFEBD78" w14:textId="7D4486ED"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rPr>
        <w:t>Котвицька</w:t>
      </w:r>
      <w:r w:rsidRPr="000F3C80">
        <w:rPr>
          <w:sz w:val="28"/>
          <w:szCs w:val="28"/>
          <w:lang w:val="en-US"/>
        </w:rPr>
        <w:t xml:space="preserve"> </w:t>
      </w:r>
      <w:r w:rsidRPr="000F3C80">
        <w:rPr>
          <w:sz w:val="28"/>
          <w:szCs w:val="28"/>
        </w:rPr>
        <w:t>Н</w:t>
      </w:r>
      <w:r w:rsidRPr="000F3C80">
        <w:rPr>
          <w:sz w:val="28"/>
          <w:szCs w:val="28"/>
          <w:lang w:val="en-US"/>
        </w:rPr>
        <w:t xml:space="preserve">. </w:t>
      </w:r>
      <w:r w:rsidRPr="000F3C80">
        <w:rPr>
          <w:sz w:val="28"/>
          <w:szCs w:val="28"/>
        </w:rPr>
        <w:t>М</w:t>
      </w:r>
      <w:r w:rsidRPr="000F3C80">
        <w:rPr>
          <w:sz w:val="28"/>
          <w:szCs w:val="28"/>
          <w:lang w:val="en-US"/>
        </w:rPr>
        <w:t xml:space="preserve">., </w:t>
      </w:r>
      <w:r w:rsidRPr="000F3C80">
        <w:rPr>
          <w:sz w:val="28"/>
          <w:szCs w:val="28"/>
        </w:rPr>
        <w:t>Овсієнко</w:t>
      </w:r>
      <w:r w:rsidRPr="000F3C80">
        <w:rPr>
          <w:sz w:val="28"/>
          <w:szCs w:val="28"/>
          <w:lang w:val="en-US"/>
        </w:rPr>
        <w:t xml:space="preserve"> </w:t>
      </w:r>
      <w:r w:rsidRPr="000F3C80">
        <w:rPr>
          <w:sz w:val="28"/>
          <w:szCs w:val="28"/>
        </w:rPr>
        <w:t>Н</w:t>
      </w:r>
      <w:r w:rsidRPr="000F3C80">
        <w:rPr>
          <w:sz w:val="28"/>
          <w:szCs w:val="28"/>
          <w:lang w:val="en-US"/>
        </w:rPr>
        <w:t xml:space="preserve">. </w:t>
      </w:r>
      <w:r w:rsidRPr="000F3C80">
        <w:rPr>
          <w:sz w:val="28"/>
          <w:szCs w:val="28"/>
        </w:rPr>
        <w:t>В</w:t>
      </w:r>
      <w:r w:rsidRPr="000F3C80">
        <w:rPr>
          <w:sz w:val="28"/>
          <w:szCs w:val="28"/>
          <w:lang w:val="en-US"/>
        </w:rPr>
        <w:t xml:space="preserve">., </w:t>
      </w:r>
      <w:r w:rsidRPr="000F3C80">
        <w:rPr>
          <w:sz w:val="28"/>
          <w:szCs w:val="28"/>
        </w:rPr>
        <w:t>Шарова</w:t>
      </w:r>
      <w:r w:rsidRPr="000F3C80">
        <w:rPr>
          <w:sz w:val="28"/>
          <w:szCs w:val="28"/>
          <w:lang w:val="en-US"/>
        </w:rPr>
        <w:t xml:space="preserve"> </w:t>
      </w:r>
      <w:r w:rsidRPr="000F3C80">
        <w:rPr>
          <w:sz w:val="28"/>
          <w:szCs w:val="28"/>
        </w:rPr>
        <w:t>С</w:t>
      </w:r>
      <w:r w:rsidRPr="000F3C80">
        <w:rPr>
          <w:sz w:val="28"/>
          <w:szCs w:val="28"/>
          <w:lang w:val="en-US"/>
        </w:rPr>
        <w:t xml:space="preserve">. </w:t>
      </w:r>
      <w:r w:rsidRPr="000F3C80">
        <w:rPr>
          <w:sz w:val="28"/>
          <w:szCs w:val="28"/>
        </w:rPr>
        <w:t>В</w:t>
      </w:r>
      <w:r w:rsidRPr="000F3C80">
        <w:rPr>
          <w:sz w:val="28"/>
          <w:szCs w:val="28"/>
          <w:lang w:val="en-US"/>
        </w:rPr>
        <w:t xml:space="preserve">. </w:t>
      </w:r>
      <w:r w:rsidRPr="000F3C80">
        <w:rPr>
          <w:sz w:val="28"/>
          <w:szCs w:val="28"/>
        </w:rPr>
        <w:t>Інноваційний</w:t>
      </w:r>
      <w:r w:rsidRPr="000F3C80">
        <w:rPr>
          <w:sz w:val="28"/>
          <w:szCs w:val="28"/>
          <w:lang w:val="en-US"/>
        </w:rPr>
        <w:t xml:space="preserve"> </w:t>
      </w:r>
      <w:r w:rsidRPr="000F3C80">
        <w:rPr>
          <w:sz w:val="28"/>
          <w:szCs w:val="28"/>
        </w:rPr>
        <w:t>розвиток</w:t>
      </w:r>
      <w:r w:rsidRPr="000F3C80">
        <w:rPr>
          <w:sz w:val="28"/>
          <w:szCs w:val="28"/>
          <w:lang w:val="en-US"/>
        </w:rPr>
        <w:t xml:space="preserve"> </w:t>
      </w:r>
      <w:r w:rsidRPr="000F3C80">
        <w:rPr>
          <w:sz w:val="28"/>
          <w:szCs w:val="28"/>
        </w:rPr>
        <w:t>підприємств</w:t>
      </w:r>
      <w:r w:rsidRPr="000F3C80">
        <w:rPr>
          <w:sz w:val="28"/>
          <w:szCs w:val="28"/>
          <w:lang w:val="en-US"/>
        </w:rPr>
        <w:t xml:space="preserve"> </w:t>
      </w:r>
      <w:r w:rsidRPr="000F3C80">
        <w:rPr>
          <w:sz w:val="28"/>
          <w:szCs w:val="28"/>
        </w:rPr>
        <w:t>фармацевтичної</w:t>
      </w:r>
      <w:r w:rsidRPr="000F3C80">
        <w:rPr>
          <w:sz w:val="28"/>
          <w:szCs w:val="28"/>
          <w:lang w:val="en-US"/>
        </w:rPr>
        <w:t xml:space="preserve"> </w:t>
      </w:r>
      <w:r w:rsidRPr="000F3C80">
        <w:rPr>
          <w:sz w:val="28"/>
          <w:szCs w:val="28"/>
        </w:rPr>
        <w:t>сфери</w:t>
      </w:r>
      <w:r w:rsidRPr="000F3C80">
        <w:rPr>
          <w:sz w:val="28"/>
          <w:szCs w:val="28"/>
          <w:lang w:val="en-US"/>
        </w:rPr>
        <w:t xml:space="preserve">: </w:t>
      </w:r>
      <w:r w:rsidRPr="000F3C80">
        <w:rPr>
          <w:sz w:val="28"/>
          <w:szCs w:val="28"/>
        </w:rPr>
        <w:t>підходи</w:t>
      </w:r>
      <w:r w:rsidRPr="000F3C80">
        <w:rPr>
          <w:sz w:val="28"/>
          <w:szCs w:val="28"/>
          <w:lang w:val="en-US"/>
        </w:rPr>
        <w:t xml:space="preserve"> </w:t>
      </w:r>
      <w:r w:rsidRPr="000F3C80">
        <w:rPr>
          <w:sz w:val="28"/>
          <w:szCs w:val="28"/>
        </w:rPr>
        <w:t>до</w:t>
      </w:r>
      <w:r w:rsidRPr="000F3C80">
        <w:rPr>
          <w:sz w:val="28"/>
          <w:szCs w:val="28"/>
          <w:lang w:val="en-US"/>
        </w:rPr>
        <w:t xml:space="preserve"> </w:t>
      </w:r>
      <w:r w:rsidRPr="000F3C80">
        <w:rPr>
          <w:sz w:val="28"/>
          <w:szCs w:val="28"/>
        </w:rPr>
        <w:t>управління</w:t>
      </w:r>
      <w:r w:rsidRPr="000F3C80">
        <w:rPr>
          <w:sz w:val="28"/>
          <w:szCs w:val="28"/>
          <w:lang w:val="en-US"/>
        </w:rPr>
        <w:t xml:space="preserve"> </w:t>
      </w:r>
      <w:r w:rsidRPr="000F3C80">
        <w:rPr>
          <w:sz w:val="28"/>
          <w:szCs w:val="28"/>
        </w:rPr>
        <w:t>та</w:t>
      </w:r>
      <w:r w:rsidRPr="000F3C80">
        <w:rPr>
          <w:sz w:val="28"/>
          <w:szCs w:val="28"/>
          <w:lang w:val="en-US"/>
        </w:rPr>
        <w:t xml:space="preserve"> </w:t>
      </w:r>
      <w:r w:rsidRPr="000F3C80">
        <w:rPr>
          <w:sz w:val="28"/>
          <w:szCs w:val="28"/>
        </w:rPr>
        <w:t>механізми</w:t>
      </w:r>
      <w:r w:rsidRPr="000F3C80">
        <w:rPr>
          <w:sz w:val="28"/>
          <w:szCs w:val="28"/>
          <w:lang w:val="en-US"/>
        </w:rPr>
        <w:t xml:space="preserve"> </w:t>
      </w:r>
      <w:r w:rsidRPr="000F3C80">
        <w:rPr>
          <w:sz w:val="28"/>
          <w:szCs w:val="28"/>
        </w:rPr>
        <w:t>реалізації</w:t>
      </w:r>
      <w:r w:rsidRPr="000F3C80">
        <w:rPr>
          <w:sz w:val="28"/>
          <w:szCs w:val="28"/>
          <w:lang w:val="en-US"/>
        </w:rPr>
        <w:t xml:space="preserve"> // </w:t>
      </w:r>
      <w:r w:rsidRPr="000F3C80">
        <w:rPr>
          <w:sz w:val="28"/>
          <w:szCs w:val="28"/>
        </w:rPr>
        <w:t>Бізнес</w:t>
      </w:r>
      <w:r w:rsidRPr="000F3C80">
        <w:rPr>
          <w:sz w:val="28"/>
          <w:szCs w:val="28"/>
          <w:lang w:val="en-US"/>
        </w:rPr>
        <w:t>-</w:t>
      </w:r>
      <w:r w:rsidRPr="000F3C80">
        <w:rPr>
          <w:sz w:val="28"/>
          <w:szCs w:val="28"/>
        </w:rPr>
        <w:t>навігатор</w:t>
      </w:r>
      <w:r w:rsidRPr="000F3C80">
        <w:rPr>
          <w:sz w:val="28"/>
          <w:szCs w:val="28"/>
          <w:lang w:val="en-US"/>
        </w:rPr>
        <w:t xml:space="preserve">. – 2025. – </w:t>
      </w:r>
      <w:r w:rsidRPr="000F3C80">
        <w:rPr>
          <w:sz w:val="28"/>
          <w:szCs w:val="28"/>
        </w:rPr>
        <w:t>Т</w:t>
      </w:r>
      <w:r w:rsidRPr="000F3C80">
        <w:rPr>
          <w:sz w:val="28"/>
          <w:szCs w:val="28"/>
          <w:lang w:val="en-US"/>
        </w:rPr>
        <w:t xml:space="preserve">. 3. – № 80. – </w:t>
      </w:r>
      <w:r w:rsidRPr="000F3C80">
        <w:rPr>
          <w:sz w:val="28"/>
          <w:szCs w:val="28"/>
        </w:rPr>
        <w:t>С</w:t>
      </w:r>
      <w:r w:rsidRPr="000F3C80">
        <w:rPr>
          <w:sz w:val="28"/>
          <w:szCs w:val="28"/>
          <w:lang w:val="en-US"/>
        </w:rPr>
        <w:t>. 587</w:t>
      </w:r>
      <w:r w:rsidR="00FD5797" w:rsidRPr="000F3C80">
        <w:rPr>
          <w:sz w:val="28"/>
          <w:szCs w:val="28"/>
          <w:lang w:val="en-US"/>
        </w:rPr>
        <w:t>-</w:t>
      </w:r>
      <w:r w:rsidRPr="000F3C80">
        <w:rPr>
          <w:sz w:val="28"/>
          <w:szCs w:val="28"/>
          <w:lang w:val="en-US"/>
        </w:rPr>
        <w:t>593.</w:t>
      </w:r>
    </w:p>
    <w:p w14:paraId="3DB794C3" w14:textId="1743A123"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García-Díaz M., Špacírová Z., García-Mochón L., Espín J. Mechanisms considering public investment in pricing and reimbursement decisions of medicines and other health technologies: A scoping review // Applied Health Economics and Health Policy. – 202</w:t>
      </w:r>
      <w:r w:rsidR="0074670F" w:rsidRPr="000F3C80">
        <w:rPr>
          <w:sz w:val="28"/>
          <w:szCs w:val="28"/>
          <w:lang w:val="kk-KZ"/>
        </w:rPr>
        <w:t>6</w:t>
      </w:r>
      <w:r w:rsidRPr="000F3C80">
        <w:rPr>
          <w:sz w:val="28"/>
          <w:szCs w:val="28"/>
          <w:lang w:val="en-US"/>
        </w:rPr>
        <w:t>.</w:t>
      </w:r>
      <w:r w:rsidR="0074670F" w:rsidRPr="000F3C80">
        <w:rPr>
          <w:sz w:val="28"/>
          <w:szCs w:val="28"/>
          <w:lang w:val="kk-KZ"/>
        </w:rPr>
        <w:t xml:space="preserve"> </w:t>
      </w:r>
      <w:r w:rsidR="0074670F" w:rsidRPr="000F3C80">
        <w:rPr>
          <w:sz w:val="28"/>
          <w:szCs w:val="28"/>
          <w:lang w:val="en-US"/>
        </w:rPr>
        <w:t xml:space="preserve">– Vol. </w:t>
      </w:r>
      <w:r w:rsidR="0074670F" w:rsidRPr="000F3C80">
        <w:rPr>
          <w:sz w:val="28"/>
          <w:szCs w:val="28"/>
          <w:lang w:val="kk-KZ"/>
        </w:rPr>
        <w:t>24</w:t>
      </w:r>
      <w:r w:rsidR="0074670F" w:rsidRPr="000F3C80">
        <w:rPr>
          <w:sz w:val="28"/>
          <w:szCs w:val="28"/>
          <w:lang w:val="en-US"/>
        </w:rPr>
        <w:t xml:space="preserve">. – No. 3. – P. </w:t>
      </w:r>
      <w:r w:rsidR="0074670F" w:rsidRPr="000F3C80">
        <w:rPr>
          <w:sz w:val="28"/>
          <w:szCs w:val="28"/>
          <w:lang w:val="kk-KZ"/>
        </w:rPr>
        <w:t>131-146</w:t>
      </w:r>
      <w:r w:rsidR="0074670F" w:rsidRPr="000F3C80">
        <w:rPr>
          <w:sz w:val="28"/>
          <w:szCs w:val="28"/>
          <w:lang w:val="en-US"/>
        </w:rPr>
        <w:t>.</w:t>
      </w:r>
    </w:p>
    <w:p w14:paraId="46D2D388" w14:textId="79C67AF2"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t>Аскеров Э. М., Тагиров М. Р., Полюдова Д. А. Цифровая трансформация как инструмент развития инновационных механизмов управления в организациях // Экономика и управление: проблемы решения. – 2025. – Т. 3. – № 11. – С. 263</w:t>
      </w:r>
      <w:r w:rsidR="00FD5797" w:rsidRPr="000F3C80">
        <w:rPr>
          <w:sz w:val="28"/>
          <w:szCs w:val="28"/>
        </w:rPr>
        <w:t>-</w:t>
      </w:r>
      <w:r w:rsidRPr="000F3C80">
        <w:rPr>
          <w:sz w:val="28"/>
          <w:szCs w:val="28"/>
        </w:rPr>
        <w:t>271.</w:t>
      </w:r>
    </w:p>
    <w:p w14:paraId="2109E851" w14:textId="7777777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Khamphouvan S., Dalasy C., Phengphachanh V., Sengsuly X., Phonesavanh T. The impact of digital technology on the performance of micro, small, and medium enterprises in Champasack Province // International Journal of Multidisciplinary Research. – 2025. – Vol. 7. – No. 5. – P. 56600.</w:t>
      </w:r>
    </w:p>
    <w:p w14:paraId="14223216" w14:textId="236680F0"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Larabi C. Linking innovation capability, strategic orientation, and strategic renewal to sustainable performance: A dynamic capabilities perspective in Saudi small and medium enterprises // Business Strategy and the Environment. – 2025.</w:t>
      </w:r>
      <w:r w:rsidR="0074670F" w:rsidRPr="000F3C80">
        <w:rPr>
          <w:sz w:val="28"/>
          <w:szCs w:val="28"/>
          <w:lang w:val="kk-KZ"/>
        </w:rPr>
        <w:t xml:space="preserve"> </w:t>
      </w:r>
      <w:r w:rsidR="007740F4" w:rsidRPr="000F3C80">
        <w:rPr>
          <w:sz w:val="28"/>
          <w:szCs w:val="28"/>
          <w:lang w:val="en-US"/>
        </w:rPr>
        <w:t xml:space="preserve">– Vol. </w:t>
      </w:r>
      <w:r w:rsidR="007740F4" w:rsidRPr="000F3C80">
        <w:rPr>
          <w:sz w:val="28"/>
          <w:szCs w:val="28"/>
          <w:lang w:val="kk-KZ"/>
        </w:rPr>
        <w:t>35</w:t>
      </w:r>
      <w:r w:rsidR="007740F4" w:rsidRPr="000F3C80">
        <w:rPr>
          <w:sz w:val="28"/>
          <w:szCs w:val="28"/>
          <w:lang w:val="en-US"/>
        </w:rPr>
        <w:t xml:space="preserve">. – No. </w:t>
      </w:r>
      <w:r w:rsidR="007740F4" w:rsidRPr="000F3C80">
        <w:rPr>
          <w:sz w:val="28"/>
          <w:szCs w:val="28"/>
          <w:lang w:val="kk-KZ"/>
        </w:rPr>
        <w:t>1</w:t>
      </w:r>
      <w:r w:rsidR="007740F4" w:rsidRPr="000F3C80">
        <w:rPr>
          <w:sz w:val="28"/>
          <w:szCs w:val="28"/>
          <w:lang w:val="en-US"/>
        </w:rPr>
        <w:t xml:space="preserve">. – P. </w:t>
      </w:r>
      <w:r w:rsidR="0074670F" w:rsidRPr="000F3C80">
        <w:rPr>
          <w:sz w:val="28"/>
          <w:szCs w:val="28"/>
          <w:lang w:val="kk-KZ"/>
        </w:rPr>
        <w:t>1255-1271</w:t>
      </w:r>
    </w:p>
    <w:p w14:paraId="7EE8347B" w14:textId="77FDBD4D"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lastRenderedPageBreak/>
        <w:t>Raza D. Exploring the adoption and impact of digital payment system on small and medium enterprises in rural Pakistan // International Journal of Economics, Business and Accounting Research. – 2025. – Vol. 9. – No. 3.</w:t>
      </w:r>
      <w:r w:rsidR="007740F4" w:rsidRPr="000F3C80">
        <w:rPr>
          <w:sz w:val="28"/>
          <w:szCs w:val="28"/>
          <w:lang w:val="kk-KZ"/>
        </w:rPr>
        <w:t xml:space="preserve"> </w:t>
      </w:r>
      <w:r w:rsidR="007740F4" w:rsidRPr="000F3C80">
        <w:rPr>
          <w:sz w:val="28"/>
          <w:szCs w:val="28"/>
          <w:lang w:val="en-US"/>
        </w:rPr>
        <w:t xml:space="preserve">– P. </w:t>
      </w:r>
      <w:r w:rsidR="007740F4" w:rsidRPr="000F3C80">
        <w:rPr>
          <w:sz w:val="28"/>
          <w:szCs w:val="28"/>
          <w:lang w:val="kk-KZ"/>
        </w:rPr>
        <w:t>562-572</w:t>
      </w:r>
    </w:p>
    <w:p w14:paraId="2D323F42" w14:textId="78C1A06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t>Гоненко Д. В. Средний бизнес в России: институциональные ограничения, цифровые возможности и перспективы роста // Проблемы экономики и юридической практики. – 2025. – Т. 21. – № 4. – С. 208</w:t>
      </w:r>
      <w:r w:rsidR="00FD5797" w:rsidRPr="000F3C80">
        <w:rPr>
          <w:sz w:val="28"/>
          <w:szCs w:val="28"/>
        </w:rPr>
        <w:t>-</w:t>
      </w:r>
      <w:r w:rsidRPr="000F3C80">
        <w:rPr>
          <w:sz w:val="28"/>
          <w:szCs w:val="28"/>
        </w:rPr>
        <w:t>215.</w:t>
      </w:r>
    </w:p>
    <w:p w14:paraId="7BB18217" w14:textId="020B1C23"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t>Повна С. В. Управління цифровими інноваціями на промислових підприємствах: аналіз міжнародного і національного досвіду // Науковий вісник Полісся. – 2025. – Т. 30. – № 1. – С. 401</w:t>
      </w:r>
      <w:r w:rsidR="00FD5797" w:rsidRPr="000F3C80">
        <w:rPr>
          <w:sz w:val="28"/>
          <w:szCs w:val="28"/>
        </w:rPr>
        <w:t>-</w:t>
      </w:r>
      <w:r w:rsidRPr="000F3C80">
        <w:rPr>
          <w:sz w:val="28"/>
          <w:szCs w:val="28"/>
        </w:rPr>
        <w:t>412.</w:t>
      </w:r>
    </w:p>
    <w:p w14:paraId="63D8B89F" w14:textId="03A12C6E"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Sudiyono S., Nurcahyo S. A., Widagdo T. H. Strategic innovation quality: Technological innovation capability model to improve competitive advantage and human resource performance of tourism industry // Journal of Economic and Business Research. – 2025. – Vol. 10. – No. 2. – P. 135</w:t>
      </w:r>
      <w:r w:rsidR="00FD5797" w:rsidRPr="000F3C80">
        <w:rPr>
          <w:sz w:val="28"/>
          <w:szCs w:val="28"/>
          <w:lang w:val="en-US"/>
        </w:rPr>
        <w:t>-</w:t>
      </w:r>
      <w:r w:rsidRPr="000F3C80">
        <w:rPr>
          <w:sz w:val="28"/>
          <w:szCs w:val="28"/>
          <w:lang w:val="en-US"/>
        </w:rPr>
        <w:t>150.</w:t>
      </w:r>
    </w:p>
    <w:p w14:paraId="0C2F86CE" w14:textId="6696D9F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Berning S., Gerritse P., Schraagen J. M., Van Koningsveld M. R., Rakhorst-Oudendijk M. Method for designing operational management concepts for low-crewed surface vessels // Proceedings of the Human Factors and Ergonomics Society Annual Meeting. – 2025.</w:t>
      </w:r>
      <w:r w:rsidR="007740F4" w:rsidRPr="000F3C80">
        <w:rPr>
          <w:sz w:val="28"/>
          <w:szCs w:val="28"/>
          <w:lang w:val="kk-KZ"/>
        </w:rPr>
        <w:t xml:space="preserve"> </w:t>
      </w:r>
      <w:r w:rsidR="007740F4" w:rsidRPr="000F3C80">
        <w:rPr>
          <w:sz w:val="28"/>
          <w:szCs w:val="28"/>
          <w:lang w:val="en-US"/>
        </w:rPr>
        <w:t xml:space="preserve">– Vol. </w:t>
      </w:r>
      <w:r w:rsidR="007740F4" w:rsidRPr="000F3C80">
        <w:rPr>
          <w:sz w:val="28"/>
          <w:szCs w:val="28"/>
          <w:lang w:val="kk-KZ"/>
        </w:rPr>
        <w:t>69</w:t>
      </w:r>
      <w:r w:rsidR="007740F4" w:rsidRPr="000F3C80">
        <w:rPr>
          <w:sz w:val="28"/>
          <w:szCs w:val="28"/>
          <w:lang w:val="en-US"/>
        </w:rPr>
        <w:t xml:space="preserve">. – No. </w:t>
      </w:r>
      <w:r w:rsidR="007740F4" w:rsidRPr="000F3C80">
        <w:rPr>
          <w:sz w:val="28"/>
          <w:szCs w:val="28"/>
          <w:lang w:val="kk-KZ"/>
        </w:rPr>
        <w:t>1</w:t>
      </w:r>
      <w:r w:rsidR="007740F4" w:rsidRPr="000F3C80">
        <w:rPr>
          <w:sz w:val="28"/>
          <w:szCs w:val="28"/>
          <w:lang w:val="en-US"/>
        </w:rPr>
        <w:t>. – P. 752-758.</w:t>
      </w:r>
    </w:p>
    <w:p w14:paraId="1653348D" w14:textId="503CE2E1"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Alanazi S. D., Talib A. A. A. Strategic management practices and strategic performance: A systematic literature review // WSEAS Transactions on Business and Economics. – 2025. – Vol. 22. – P. 2067</w:t>
      </w:r>
      <w:r w:rsidR="00FD5797" w:rsidRPr="000F3C80">
        <w:rPr>
          <w:sz w:val="28"/>
          <w:szCs w:val="28"/>
          <w:lang w:val="en-US"/>
        </w:rPr>
        <w:t>-</w:t>
      </w:r>
      <w:r w:rsidRPr="000F3C80">
        <w:rPr>
          <w:sz w:val="28"/>
          <w:szCs w:val="28"/>
          <w:lang w:val="en-US"/>
        </w:rPr>
        <w:t>2078.</w:t>
      </w:r>
    </w:p>
    <w:p w14:paraId="1113C30B" w14:textId="06B1CB9F"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Berning S., Gerritse P., Schraagen J. M., Van Koningsveld M. R., Rakhorst-Oudendijk M. Method for designing operational management concepts for low-crewed surface vessels // Proceedings of the Human Factors and Ergonomics Society Annual Meeting. – 2025.</w:t>
      </w:r>
      <w:r w:rsidR="007740F4" w:rsidRPr="000F3C80">
        <w:rPr>
          <w:sz w:val="28"/>
          <w:szCs w:val="28"/>
          <w:lang w:val="kk-KZ"/>
        </w:rPr>
        <w:t xml:space="preserve"> </w:t>
      </w:r>
      <w:r w:rsidR="007740F4" w:rsidRPr="000F3C80">
        <w:rPr>
          <w:sz w:val="28"/>
          <w:szCs w:val="28"/>
          <w:lang w:val="en-US"/>
        </w:rPr>
        <w:t xml:space="preserve">– Vol. </w:t>
      </w:r>
      <w:r w:rsidR="007740F4" w:rsidRPr="000F3C80">
        <w:rPr>
          <w:sz w:val="28"/>
          <w:szCs w:val="28"/>
          <w:lang w:val="kk-KZ"/>
        </w:rPr>
        <w:t>69</w:t>
      </w:r>
      <w:r w:rsidR="007740F4" w:rsidRPr="000F3C80">
        <w:rPr>
          <w:sz w:val="28"/>
          <w:szCs w:val="28"/>
          <w:lang w:val="en-US"/>
        </w:rPr>
        <w:t xml:space="preserve">. – No. </w:t>
      </w:r>
      <w:r w:rsidR="007740F4" w:rsidRPr="000F3C80">
        <w:rPr>
          <w:sz w:val="28"/>
          <w:szCs w:val="28"/>
          <w:lang w:val="kk-KZ"/>
        </w:rPr>
        <w:t>1</w:t>
      </w:r>
      <w:r w:rsidR="007740F4" w:rsidRPr="000F3C80">
        <w:rPr>
          <w:sz w:val="28"/>
          <w:szCs w:val="28"/>
          <w:lang w:val="en-US"/>
        </w:rPr>
        <w:t xml:space="preserve">. </w:t>
      </w:r>
      <w:r w:rsidR="007740F4" w:rsidRPr="000F3C80">
        <w:rPr>
          <w:sz w:val="28"/>
          <w:szCs w:val="28"/>
          <w:lang w:val="kk-KZ"/>
        </w:rPr>
        <w:t xml:space="preserve">– </w:t>
      </w:r>
      <w:r w:rsidR="007740F4" w:rsidRPr="000F3C80">
        <w:rPr>
          <w:sz w:val="28"/>
          <w:szCs w:val="28"/>
          <w:lang w:val="en-US"/>
        </w:rPr>
        <w:t>P. 2067</w:t>
      </w:r>
      <w:r w:rsidR="00FD5797" w:rsidRPr="000F3C80">
        <w:rPr>
          <w:sz w:val="28"/>
          <w:szCs w:val="28"/>
          <w:lang w:val="en-US"/>
        </w:rPr>
        <w:t>-</w:t>
      </w:r>
      <w:r w:rsidR="007740F4" w:rsidRPr="000F3C80">
        <w:rPr>
          <w:sz w:val="28"/>
          <w:szCs w:val="28"/>
          <w:lang w:val="en-US"/>
        </w:rPr>
        <w:t>2078.</w:t>
      </w:r>
    </w:p>
    <w:p w14:paraId="3E2E2ADA" w14:textId="6873BBD2"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Yepikhina M., Bader S., Makarenko S., Zazharska H., Varianytsia L. Innovative approaches to training future specialists in preschool education in crisis situations // International Electronic Journal of Elementary Education. – 2025.</w:t>
      </w:r>
      <w:r w:rsidR="007740F4" w:rsidRPr="000F3C80">
        <w:rPr>
          <w:sz w:val="28"/>
          <w:szCs w:val="28"/>
          <w:lang w:val="kk-KZ"/>
        </w:rPr>
        <w:t xml:space="preserve"> </w:t>
      </w:r>
      <w:r w:rsidR="007740F4" w:rsidRPr="000F3C80">
        <w:rPr>
          <w:sz w:val="28"/>
          <w:szCs w:val="28"/>
          <w:lang w:val="en-US"/>
        </w:rPr>
        <w:t xml:space="preserve">– Vol. </w:t>
      </w:r>
      <w:r w:rsidR="007740F4" w:rsidRPr="000F3C80">
        <w:rPr>
          <w:sz w:val="28"/>
          <w:szCs w:val="28"/>
          <w:lang w:val="kk-KZ"/>
        </w:rPr>
        <w:t>17</w:t>
      </w:r>
      <w:r w:rsidR="007740F4" w:rsidRPr="000F3C80">
        <w:rPr>
          <w:sz w:val="28"/>
          <w:szCs w:val="28"/>
          <w:lang w:val="en-US"/>
        </w:rPr>
        <w:t xml:space="preserve">. – No. </w:t>
      </w:r>
      <w:r w:rsidR="007740F4" w:rsidRPr="000F3C80">
        <w:rPr>
          <w:sz w:val="28"/>
          <w:szCs w:val="28"/>
          <w:lang w:val="kk-KZ"/>
        </w:rPr>
        <w:t>5</w:t>
      </w:r>
      <w:r w:rsidR="007740F4" w:rsidRPr="000F3C80">
        <w:rPr>
          <w:sz w:val="28"/>
          <w:szCs w:val="28"/>
          <w:lang w:val="en-US"/>
        </w:rPr>
        <w:t xml:space="preserve">. </w:t>
      </w:r>
      <w:r w:rsidR="007740F4" w:rsidRPr="000F3C80">
        <w:rPr>
          <w:sz w:val="28"/>
          <w:szCs w:val="28"/>
          <w:lang w:val="kk-KZ"/>
        </w:rPr>
        <w:t xml:space="preserve">– </w:t>
      </w:r>
      <w:r w:rsidR="007740F4" w:rsidRPr="000F3C80">
        <w:rPr>
          <w:sz w:val="28"/>
          <w:szCs w:val="28"/>
          <w:lang w:val="en-US"/>
        </w:rPr>
        <w:t xml:space="preserve">P. </w:t>
      </w:r>
      <w:r w:rsidR="007740F4" w:rsidRPr="000F3C80">
        <w:rPr>
          <w:sz w:val="28"/>
          <w:szCs w:val="28"/>
          <w:lang w:val="kk-KZ"/>
        </w:rPr>
        <w:t>708</w:t>
      </w:r>
      <w:r w:rsidR="00FD5797" w:rsidRPr="000F3C80">
        <w:rPr>
          <w:sz w:val="28"/>
          <w:szCs w:val="28"/>
          <w:lang w:val="en-US"/>
        </w:rPr>
        <w:t>-</w:t>
      </w:r>
      <w:r w:rsidR="007740F4" w:rsidRPr="000F3C80">
        <w:rPr>
          <w:sz w:val="28"/>
          <w:szCs w:val="28"/>
          <w:lang w:val="kk-KZ"/>
        </w:rPr>
        <w:t>720</w:t>
      </w:r>
      <w:r w:rsidR="007740F4" w:rsidRPr="000F3C80">
        <w:rPr>
          <w:sz w:val="28"/>
          <w:szCs w:val="28"/>
          <w:lang w:val="en-US"/>
        </w:rPr>
        <w:t>.</w:t>
      </w:r>
    </w:p>
    <w:p w14:paraId="0C2ECD55" w14:textId="698BECA5"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Yilmaz Ç., Boz D. The effect of employees’ entrepreneurial and innovative behaviors on sustainable e</w:t>
      </w:r>
      <w:r w:rsidR="007740F4" w:rsidRPr="000F3C80">
        <w:rPr>
          <w:sz w:val="28"/>
          <w:szCs w:val="28"/>
          <w:lang w:val="en-US"/>
        </w:rPr>
        <w:t>xport performance of businesses</w:t>
      </w:r>
      <w:r w:rsidRPr="000F3C80">
        <w:rPr>
          <w:sz w:val="28"/>
          <w:szCs w:val="28"/>
          <w:lang w:val="en-US"/>
        </w:rPr>
        <w:t xml:space="preserve"> // Journal of Business Research – Turk. – 2025.</w:t>
      </w:r>
      <w:r w:rsidR="007740F4" w:rsidRPr="000F3C80">
        <w:rPr>
          <w:sz w:val="28"/>
          <w:szCs w:val="28"/>
          <w:lang w:val="kk-KZ"/>
        </w:rPr>
        <w:t xml:space="preserve"> </w:t>
      </w:r>
      <w:r w:rsidR="007740F4" w:rsidRPr="000F3C80">
        <w:rPr>
          <w:sz w:val="28"/>
          <w:szCs w:val="28"/>
          <w:lang w:val="en-US"/>
        </w:rPr>
        <w:t xml:space="preserve">– Vol. </w:t>
      </w:r>
      <w:r w:rsidR="007740F4" w:rsidRPr="000F3C80">
        <w:rPr>
          <w:sz w:val="28"/>
          <w:szCs w:val="28"/>
          <w:lang w:val="kk-KZ"/>
        </w:rPr>
        <w:t>17</w:t>
      </w:r>
      <w:r w:rsidR="007740F4" w:rsidRPr="000F3C80">
        <w:rPr>
          <w:sz w:val="28"/>
          <w:szCs w:val="28"/>
          <w:lang w:val="en-US"/>
        </w:rPr>
        <w:t xml:space="preserve">. – No. </w:t>
      </w:r>
      <w:r w:rsidR="007740F4" w:rsidRPr="000F3C80">
        <w:rPr>
          <w:sz w:val="28"/>
          <w:szCs w:val="28"/>
          <w:lang w:val="kk-KZ"/>
        </w:rPr>
        <w:t>3</w:t>
      </w:r>
      <w:r w:rsidR="007740F4" w:rsidRPr="000F3C80">
        <w:rPr>
          <w:sz w:val="28"/>
          <w:szCs w:val="28"/>
          <w:lang w:val="en-US"/>
        </w:rPr>
        <w:t xml:space="preserve">. </w:t>
      </w:r>
      <w:r w:rsidR="007740F4" w:rsidRPr="000F3C80">
        <w:rPr>
          <w:sz w:val="28"/>
          <w:szCs w:val="28"/>
          <w:lang w:val="kk-KZ"/>
        </w:rPr>
        <w:t xml:space="preserve">– </w:t>
      </w:r>
      <w:r w:rsidR="007740F4" w:rsidRPr="000F3C80">
        <w:rPr>
          <w:sz w:val="28"/>
          <w:szCs w:val="28"/>
          <w:lang w:val="en-US"/>
        </w:rPr>
        <w:t xml:space="preserve">P. </w:t>
      </w:r>
      <w:r w:rsidR="007740F4" w:rsidRPr="000F3C80">
        <w:rPr>
          <w:sz w:val="28"/>
          <w:szCs w:val="28"/>
          <w:lang w:val="kk-KZ"/>
        </w:rPr>
        <w:t>2022</w:t>
      </w:r>
      <w:r w:rsidR="00FD5797" w:rsidRPr="000F3C80">
        <w:rPr>
          <w:sz w:val="28"/>
          <w:szCs w:val="28"/>
          <w:lang w:val="en-US"/>
        </w:rPr>
        <w:t>-</w:t>
      </w:r>
      <w:r w:rsidR="007740F4" w:rsidRPr="000F3C80">
        <w:rPr>
          <w:sz w:val="28"/>
          <w:szCs w:val="28"/>
          <w:lang w:val="kk-KZ"/>
        </w:rPr>
        <w:t>2037</w:t>
      </w:r>
      <w:r w:rsidR="007740F4" w:rsidRPr="000F3C80">
        <w:rPr>
          <w:sz w:val="28"/>
          <w:szCs w:val="28"/>
          <w:lang w:val="en-US"/>
        </w:rPr>
        <w:t>.</w:t>
      </w:r>
    </w:p>
    <w:p w14:paraId="7A87EB13" w14:textId="2A48B9D8"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Basson N., Omoruyi O. Internal and external factors affecting the growth of SMMEs: A qualitative study // Southern African Journal of Entrepreneurship and Small Business Management. – 2025. – Vol. 17. – No. 1.</w:t>
      </w:r>
      <w:r w:rsidR="007740F4" w:rsidRPr="000F3C80">
        <w:rPr>
          <w:sz w:val="28"/>
          <w:szCs w:val="28"/>
          <w:lang w:val="kk-KZ"/>
        </w:rPr>
        <w:t xml:space="preserve"> – </w:t>
      </w:r>
      <w:r w:rsidR="007740F4" w:rsidRPr="000F3C80">
        <w:rPr>
          <w:sz w:val="28"/>
          <w:szCs w:val="28"/>
          <w:lang w:val="en-US"/>
        </w:rPr>
        <w:t xml:space="preserve">P. </w:t>
      </w:r>
      <w:r w:rsidR="007740F4" w:rsidRPr="000F3C80">
        <w:rPr>
          <w:sz w:val="28"/>
          <w:szCs w:val="28"/>
          <w:lang w:val="kk-KZ"/>
        </w:rPr>
        <w:t>a919</w:t>
      </w:r>
    </w:p>
    <w:p w14:paraId="4B5236C1" w14:textId="08F8B1D4"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Obiajulu C. B., Azubuko C. F., Okpanachi J. The influence of internal and external factors on pricing decision-making in Nigerian SMEs // World Journal of Advanced Research and Reviews. – 2025. – Vol. 27. – No. 2. – P. 1275</w:t>
      </w:r>
      <w:r w:rsidR="00FD5797" w:rsidRPr="000F3C80">
        <w:rPr>
          <w:sz w:val="28"/>
          <w:szCs w:val="28"/>
          <w:lang w:val="en-US"/>
        </w:rPr>
        <w:t>-</w:t>
      </w:r>
      <w:r w:rsidRPr="000F3C80">
        <w:rPr>
          <w:sz w:val="28"/>
          <w:szCs w:val="28"/>
          <w:lang w:val="en-US"/>
        </w:rPr>
        <w:t>1280.</w:t>
      </w:r>
    </w:p>
    <w:p w14:paraId="2C0B77E3" w14:textId="7777777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Jiang Z. Research on enterprise operation management efficiency improvement and decision support system based on FA-BP and AGA // Journal of Computational Methods in Sciences and Engineering. – 2025.</w:t>
      </w:r>
    </w:p>
    <w:p w14:paraId="4F02F6E9" w14:textId="4E85E7B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Tambo T., Inpabalan T. Innovation balancing enterprise capabilities and local technological and consumer requirements // Proceedings of the European Conference on Innovation and Entrepreneurship. – 2025. – Vol. 20. – No. 1. – P. 735</w:t>
      </w:r>
      <w:r w:rsidR="00FD5797" w:rsidRPr="000F3C80">
        <w:rPr>
          <w:sz w:val="28"/>
          <w:szCs w:val="28"/>
          <w:lang w:val="en-US"/>
        </w:rPr>
        <w:t>-</w:t>
      </w:r>
      <w:r w:rsidRPr="000F3C80">
        <w:rPr>
          <w:sz w:val="28"/>
          <w:szCs w:val="28"/>
          <w:lang w:val="en-US"/>
        </w:rPr>
        <w:t>742.</w:t>
      </w:r>
    </w:p>
    <w:p w14:paraId="3FC7325E" w14:textId="7D43F282"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lastRenderedPageBreak/>
        <w:t>Мажорина М. В., Никишин В. Д., Никитина А. А. Юридическая инженерия в поддержку научно-технологического развития, управления проектами и процессами в организациях // Актуальные проблемы российского права. – 2025. – Т. 20. – № 8. – С. 165</w:t>
      </w:r>
      <w:r w:rsidR="00FD5797" w:rsidRPr="000F3C80">
        <w:rPr>
          <w:sz w:val="28"/>
          <w:szCs w:val="28"/>
        </w:rPr>
        <w:t>-</w:t>
      </w:r>
      <w:r w:rsidRPr="000F3C80">
        <w:rPr>
          <w:sz w:val="28"/>
          <w:szCs w:val="28"/>
        </w:rPr>
        <w:t>181.</w:t>
      </w:r>
    </w:p>
    <w:p w14:paraId="57E4254D" w14:textId="16E47179"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Li K. Management strategies for SMEs in the era of digital transformation // Accounting, Marketing and Organization. – 2025. – Vol. 1. – No. 2. – P. 31</w:t>
      </w:r>
      <w:r w:rsidR="00FD5797" w:rsidRPr="000F3C80">
        <w:rPr>
          <w:sz w:val="28"/>
          <w:szCs w:val="28"/>
          <w:lang w:val="en-US"/>
        </w:rPr>
        <w:t>-</w:t>
      </w:r>
      <w:r w:rsidRPr="000F3C80">
        <w:rPr>
          <w:sz w:val="28"/>
          <w:szCs w:val="28"/>
          <w:lang w:val="en-US"/>
        </w:rPr>
        <w:t>47.</w:t>
      </w:r>
    </w:p>
    <w:p w14:paraId="6677DD0D" w14:textId="45D7DE08"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Massaoudi E. M. E., El Hammoumi A., Seghyar N., El Ouali A. Digital transformation and improvement of management control: Empirical study in financial institutions // Investment Management and Financial Innovations. – 2025. – Vol. 22. – No. 3. – P. 455</w:t>
      </w:r>
      <w:r w:rsidR="00FD5797" w:rsidRPr="000F3C80">
        <w:rPr>
          <w:sz w:val="28"/>
          <w:szCs w:val="28"/>
          <w:lang w:val="en-US"/>
        </w:rPr>
        <w:t>-</w:t>
      </w:r>
      <w:r w:rsidRPr="000F3C80">
        <w:rPr>
          <w:sz w:val="28"/>
          <w:szCs w:val="28"/>
          <w:lang w:val="en-US"/>
        </w:rPr>
        <w:t>469.</w:t>
      </w:r>
    </w:p>
    <w:p w14:paraId="1F683303" w14:textId="77777777"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Wojtaszek H., et al. Barriers to innovation in manufacturing SMEs: Evidence from the Mazowieckie Voivodeship (Poland) // Sustainability. – 2025. – Vol. 17. – No. 16. – P. 7525.</w:t>
      </w:r>
    </w:p>
    <w:p w14:paraId="7B79B428" w14:textId="2D43FA32"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t>Бухалкин Д. Д., Костров В. Н. Научно-методические подходы к оценке влияния инновационных цифровых технологий и услуг на трансформацию цепей поставок продукции нефтехимических предприятий // Научные проблемы водного транспорта. – 2025. – Т. 84. – № 3. – С. 115</w:t>
      </w:r>
      <w:r w:rsidR="00FD5797" w:rsidRPr="000F3C80">
        <w:rPr>
          <w:sz w:val="28"/>
          <w:szCs w:val="28"/>
        </w:rPr>
        <w:t>-</w:t>
      </w:r>
      <w:r w:rsidRPr="000F3C80">
        <w:rPr>
          <w:sz w:val="28"/>
          <w:szCs w:val="28"/>
        </w:rPr>
        <w:t>129.</w:t>
      </w:r>
    </w:p>
    <w:p w14:paraId="070159F9" w14:textId="38BCFA82"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lang w:val="en-US"/>
        </w:rPr>
      </w:pPr>
      <w:r w:rsidRPr="000F3C80">
        <w:rPr>
          <w:sz w:val="28"/>
          <w:szCs w:val="28"/>
          <w:lang w:val="en-US"/>
        </w:rPr>
        <w:t>Orellana F. P., Urbano R. V. D., Aylas C. D. R., Diaz J. J. R. M. Digital innovation in the financial management of SMEs: A literature review // Lex Localis – Journal of Local Self-Government. – 2025. – Vol. 23. – No. S5. – P. 1398</w:t>
      </w:r>
      <w:r w:rsidR="00FD5797" w:rsidRPr="000F3C80">
        <w:rPr>
          <w:sz w:val="28"/>
          <w:szCs w:val="28"/>
        </w:rPr>
        <w:t>-</w:t>
      </w:r>
      <w:r w:rsidRPr="000F3C80">
        <w:rPr>
          <w:sz w:val="28"/>
          <w:szCs w:val="28"/>
          <w:lang w:val="en-US"/>
        </w:rPr>
        <w:t>1425.</w:t>
      </w:r>
    </w:p>
    <w:p w14:paraId="59E54740" w14:textId="6124ABFE" w:rsidR="00543580" w:rsidRPr="000F3C80" w:rsidRDefault="00543580" w:rsidP="000F3C80">
      <w:pPr>
        <w:pStyle w:val="af2"/>
        <w:numPr>
          <w:ilvl w:val="0"/>
          <w:numId w:val="72"/>
        </w:numPr>
        <w:tabs>
          <w:tab w:val="left" w:pos="993"/>
        </w:tabs>
        <w:spacing w:before="0" w:beforeAutospacing="0" w:after="0" w:afterAutospacing="0"/>
        <w:ind w:left="0" w:firstLine="567"/>
        <w:jc w:val="both"/>
        <w:rPr>
          <w:sz w:val="28"/>
          <w:szCs w:val="28"/>
        </w:rPr>
      </w:pPr>
      <w:r w:rsidRPr="000F3C80">
        <w:rPr>
          <w:sz w:val="28"/>
          <w:szCs w:val="28"/>
        </w:rPr>
        <w:t>Тажибаева Н. Т. Эффективное управление финансовыми ресурсами ведет к успешному бизнесу // Илимий-маалыматтык журналы. – 2025. – Т. 25. – № 10. – С. 303</w:t>
      </w:r>
      <w:r w:rsidR="00FD5797" w:rsidRPr="000F3C80">
        <w:rPr>
          <w:sz w:val="28"/>
          <w:szCs w:val="28"/>
        </w:rPr>
        <w:t>-</w:t>
      </w:r>
      <w:r w:rsidRPr="000F3C80">
        <w:rPr>
          <w:sz w:val="28"/>
          <w:szCs w:val="28"/>
        </w:rPr>
        <w:t>308.</w:t>
      </w:r>
    </w:p>
    <w:p w14:paraId="4BEB3904" w14:textId="77777777" w:rsidR="00543580" w:rsidRPr="000F3C80" w:rsidRDefault="00543580" w:rsidP="000F3C80">
      <w:pPr>
        <w:pStyle w:val="af2"/>
        <w:numPr>
          <w:ilvl w:val="0"/>
          <w:numId w:val="72"/>
        </w:numPr>
        <w:tabs>
          <w:tab w:val="left" w:pos="993"/>
          <w:tab w:val="left" w:pos="1064"/>
        </w:tabs>
        <w:spacing w:before="0" w:beforeAutospacing="0" w:after="0" w:afterAutospacing="0"/>
        <w:ind w:left="0" w:firstLine="567"/>
        <w:jc w:val="both"/>
        <w:rPr>
          <w:sz w:val="28"/>
          <w:szCs w:val="28"/>
          <w:lang w:val="en-US"/>
        </w:rPr>
      </w:pPr>
      <w:r w:rsidRPr="000F3C80">
        <w:rPr>
          <w:sz w:val="28"/>
          <w:szCs w:val="28"/>
          <w:lang w:val="en-US"/>
        </w:rPr>
        <w:t>Štaffenová N., Kucharčíková A., Falát L. Using of human capital management in small and medium-sized enterprises in context of Industry 4.0 // PLOS One. – 2025. – Vol. 20. – No. 5. – P. e0320568.</w:t>
      </w:r>
    </w:p>
    <w:p w14:paraId="19F73555" w14:textId="181CDBDA"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Gupta J. Advances in human capital management: Resources for modern work environments // International Journal of Research in Applied Science and Engineering Technology. – 2025. – Vol. 13. – No. 9. – P. 767</w:t>
      </w:r>
      <w:r w:rsidR="00FD5797" w:rsidRPr="000F3C80">
        <w:rPr>
          <w:sz w:val="28"/>
          <w:szCs w:val="28"/>
          <w:lang w:val="en-US"/>
        </w:rPr>
        <w:t>-</w:t>
      </w:r>
      <w:r w:rsidRPr="000F3C80">
        <w:rPr>
          <w:sz w:val="28"/>
          <w:szCs w:val="28"/>
          <w:lang w:val="en-US"/>
        </w:rPr>
        <w:t>769.</w:t>
      </w:r>
    </w:p>
    <w:p w14:paraId="3BC5C06A"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Chen Z., Reynaldo G. S. Research on human resource innovative performance management and the impact of digital economy: Taking an enterprise in Henan as an example // Journal of Sustainable Business and Economics. – 2025. – Vol. 7. – No. 4. – P. 44.</w:t>
      </w:r>
    </w:p>
    <w:p w14:paraId="2C7387BD" w14:textId="7CB8AE1F"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Torichnyi V., Andriyash V., Tytarenko O., Tkachuk D., Tarasenko O. Innovative approaches to strategic management in the public sector: Challenges of global transformations and digital technologies // Review of Research and Social Intervention. – 2025. – No. 90. – P. 107</w:t>
      </w:r>
      <w:r w:rsidR="00FD5797" w:rsidRPr="000F3C80">
        <w:rPr>
          <w:sz w:val="28"/>
          <w:szCs w:val="28"/>
          <w:lang w:val="en-US"/>
        </w:rPr>
        <w:t>-</w:t>
      </w:r>
      <w:r w:rsidRPr="000F3C80">
        <w:rPr>
          <w:sz w:val="28"/>
          <w:szCs w:val="28"/>
          <w:lang w:val="en-US"/>
        </w:rPr>
        <w:t>127.</w:t>
      </w:r>
    </w:p>
    <w:p w14:paraId="672B2058"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Singh N., Anees M. Digital transformation of micro, small and medium enterprises (MSMEs): Drivers, barriers, and strategic implications for sustainable growth // International Journal of Multidisciplinary Research. – 2025. – Vol. 7. – No. 4. – P. 54817.</w:t>
      </w:r>
    </w:p>
    <w:p w14:paraId="7C84C321" w14:textId="3EB39848"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Wang S., Zhou L., Ding L. Research on the impact of digital transformation on financial sustainable growth based on the perspective of green technological </w:t>
      </w:r>
      <w:r w:rsidRPr="000F3C80">
        <w:rPr>
          <w:sz w:val="28"/>
          <w:szCs w:val="28"/>
          <w:lang w:val="en-US"/>
        </w:rPr>
        <w:lastRenderedPageBreak/>
        <w:t>innovation // Frontiers in Artificial Intelligence and Applications / Ed. by A. Lau, A. J. Tallón-Ballesteros. – Amsterdam: IOS Press, 2025.</w:t>
      </w:r>
      <w:r w:rsidR="00172932" w:rsidRPr="000F3C80">
        <w:rPr>
          <w:sz w:val="28"/>
          <w:szCs w:val="28"/>
          <w:lang w:val="en-US"/>
        </w:rPr>
        <w:t xml:space="preserve"> – 186 </w:t>
      </w:r>
      <w:r w:rsidR="00172932" w:rsidRPr="000F3C80">
        <w:rPr>
          <w:sz w:val="28"/>
          <w:szCs w:val="28"/>
        </w:rPr>
        <w:t>р</w:t>
      </w:r>
      <w:r w:rsidR="00172932" w:rsidRPr="000F3C80">
        <w:rPr>
          <w:sz w:val="28"/>
          <w:szCs w:val="28"/>
          <w:lang w:val="en-US"/>
        </w:rPr>
        <w:t>.</w:t>
      </w:r>
    </w:p>
    <w:p w14:paraId="0C3ED02A" w14:textId="71C60D23"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Fuadiputra I. R., Putri V. P., Ikhram W M. A. D. Exploring the link between entrepreneurial leadership and innovation success: Evidence from small and medium enterprises // Journal of Management Theory and Applied Management. – 2025. – Vol. 18. – No. 1. – P. 136</w:t>
      </w:r>
      <w:r w:rsidR="00FD5797" w:rsidRPr="000F3C80">
        <w:rPr>
          <w:sz w:val="28"/>
          <w:szCs w:val="28"/>
          <w:lang w:val="en-US"/>
        </w:rPr>
        <w:t>-</w:t>
      </w:r>
      <w:r w:rsidRPr="000F3C80">
        <w:rPr>
          <w:sz w:val="28"/>
          <w:szCs w:val="28"/>
          <w:lang w:val="en-US"/>
        </w:rPr>
        <w:t>155.</w:t>
      </w:r>
    </w:p>
    <w:p w14:paraId="60C48272"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Dinku A. E., Singh M., Singh S. Effect of human capital on the performance of small and medium enterprises: A mediating role of innovation practice in Ethiopia // Cogent Business and Management. – 2024. – Vol. 11. – No. 1. – P. 2434729.</w:t>
      </w:r>
    </w:p>
    <w:p w14:paraId="6DCD292D" w14:textId="25DF97E8"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rPr>
        <w:t>Саденова</w:t>
      </w:r>
      <w:r w:rsidRPr="000F3C80">
        <w:rPr>
          <w:sz w:val="28"/>
          <w:szCs w:val="28"/>
          <w:lang w:val="en-US"/>
        </w:rPr>
        <w:t xml:space="preserve"> </w:t>
      </w:r>
      <w:r w:rsidRPr="000F3C80">
        <w:rPr>
          <w:sz w:val="28"/>
          <w:szCs w:val="28"/>
        </w:rPr>
        <w:t>А</w:t>
      </w:r>
      <w:r w:rsidRPr="000F3C80">
        <w:rPr>
          <w:sz w:val="28"/>
          <w:szCs w:val="28"/>
          <w:lang w:val="en-US"/>
        </w:rPr>
        <w:t xml:space="preserve">. </w:t>
      </w:r>
      <w:r w:rsidRPr="000F3C80">
        <w:rPr>
          <w:sz w:val="28"/>
          <w:szCs w:val="28"/>
        </w:rPr>
        <w:t>М</w:t>
      </w:r>
      <w:r w:rsidRPr="000F3C80">
        <w:rPr>
          <w:sz w:val="28"/>
          <w:szCs w:val="28"/>
          <w:lang w:val="en-US"/>
        </w:rPr>
        <w:t xml:space="preserve">., </w:t>
      </w:r>
      <w:r w:rsidRPr="000F3C80">
        <w:rPr>
          <w:sz w:val="28"/>
          <w:szCs w:val="28"/>
        </w:rPr>
        <w:t>Суйеубаева</w:t>
      </w:r>
      <w:r w:rsidRPr="000F3C80">
        <w:rPr>
          <w:sz w:val="28"/>
          <w:szCs w:val="28"/>
          <w:lang w:val="en-US"/>
        </w:rPr>
        <w:t xml:space="preserve"> </w:t>
      </w:r>
      <w:r w:rsidRPr="000F3C80">
        <w:rPr>
          <w:sz w:val="28"/>
          <w:szCs w:val="28"/>
        </w:rPr>
        <w:t>С</w:t>
      </w:r>
      <w:r w:rsidRPr="000F3C80">
        <w:rPr>
          <w:sz w:val="28"/>
          <w:szCs w:val="28"/>
          <w:lang w:val="en-US"/>
        </w:rPr>
        <w:t xml:space="preserve">. </w:t>
      </w:r>
      <w:r w:rsidRPr="000F3C80">
        <w:rPr>
          <w:sz w:val="28"/>
          <w:szCs w:val="28"/>
        </w:rPr>
        <w:t>Н</w:t>
      </w:r>
      <w:r w:rsidRPr="000F3C80">
        <w:rPr>
          <w:sz w:val="28"/>
          <w:szCs w:val="28"/>
          <w:lang w:val="en-US"/>
        </w:rPr>
        <w:t xml:space="preserve">., </w:t>
      </w:r>
      <w:r w:rsidRPr="000F3C80">
        <w:rPr>
          <w:sz w:val="28"/>
          <w:szCs w:val="28"/>
        </w:rPr>
        <w:t>Ерзатова</w:t>
      </w:r>
      <w:r w:rsidRPr="000F3C80">
        <w:rPr>
          <w:sz w:val="28"/>
          <w:szCs w:val="28"/>
          <w:lang w:val="en-US"/>
        </w:rPr>
        <w:t xml:space="preserve"> </w:t>
      </w:r>
      <w:r w:rsidRPr="000F3C80">
        <w:rPr>
          <w:sz w:val="28"/>
          <w:szCs w:val="28"/>
        </w:rPr>
        <w:t>М</w:t>
      </w:r>
      <w:r w:rsidRPr="000F3C80">
        <w:rPr>
          <w:sz w:val="28"/>
          <w:szCs w:val="28"/>
          <w:lang w:val="en-US"/>
        </w:rPr>
        <w:t xml:space="preserve">. </w:t>
      </w:r>
      <w:r w:rsidRPr="000F3C80">
        <w:rPr>
          <w:sz w:val="28"/>
          <w:szCs w:val="28"/>
        </w:rPr>
        <w:t>Е</w:t>
      </w:r>
      <w:r w:rsidRPr="000F3C80">
        <w:rPr>
          <w:sz w:val="28"/>
          <w:szCs w:val="28"/>
          <w:lang w:val="en-US"/>
        </w:rPr>
        <w:t xml:space="preserve">. 4.0 </w:t>
      </w:r>
      <w:r w:rsidRPr="000F3C80">
        <w:rPr>
          <w:sz w:val="28"/>
          <w:szCs w:val="28"/>
        </w:rPr>
        <w:t>индустрияға</w:t>
      </w:r>
      <w:r w:rsidRPr="000F3C80">
        <w:rPr>
          <w:sz w:val="28"/>
          <w:szCs w:val="28"/>
          <w:lang w:val="en-US"/>
        </w:rPr>
        <w:t xml:space="preserve"> </w:t>
      </w:r>
      <w:r w:rsidRPr="000F3C80">
        <w:rPr>
          <w:sz w:val="28"/>
          <w:szCs w:val="28"/>
        </w:rPr>
        <w:t>көшу</w:t>
      </w:r>
      <w:r w:rsidRPr="000F3C80">
        <w:rPr>
          <w:sz w:val="28"/>
          <w:szCs w:val="28"/>
          <w:lang w:val="en-US"/>
        </w:rPr>
        <w:t xml:space="preserve"> </w:t>
      </w:r>
      <w:r w:rsidRPr="000F3C80">
        <w:rPr>
          <w:sz w:val="28"/>
          <w:szCs w:val="28"/>
        </w:rPr>
        <w:t>жағдайында</w:t>
      </w:r>
      <w:r w:rsidRPr="000F3C80">
        <w:rPr>
          <w:sz w:val="28"/>
          <w:szCs w:val="28"/>
          <w:lang w:val="en-US"/>
        </w:rPr>
        <w:t xml:space="preserve"> </w:t>
      </w:r>
      <w:r w:rsidRPr="000F3C80">
        <w:rPr>
          <w:sz w:val="28"/>
          <w:szCs w:val="28"/>
        </w:rPr>
        <w:t>адами</w:t>
      </w:r>
      <w:r w:rsidRPr="000F3C80">
        <w:rPr>
          <w:sz w:val="28"/>
          <w:szCs w:val="28"/>
          <w:lang w:val="en-US"/>
        </w:rPr>
        <w:t xml:space="preserve"> </w:t>
      </w:r>
      <w:r w:rsidRPr="000F3C80">
        <w:rPr>
          <w:sz w:val="28"/>
          <w:szCs w:val="28"/>
        </w:rPr>
        <w:t>капиталды</w:t>
      </w:r>
      <w:r w:rsidRPr="000F3C80">
        <w:rPr>
          <w:sz w:val="28"/>
          <w:szCs w:val="28"/>
          <w:lang w:val="en-US"/>
        </w:rPr>
        <w:t xml:space="preserve"> </w:t>
      </w:r>
      <w:r w:rsidRPr="000F3C80">
        <w:rPr>
          <w:sz w:val="28"/>
          <w:szCs w:val="28"/>
        </w:rPr>
        <w:t>дамытудың</w:t>
      </w:r>
      <w:r w:rsidRPr="000F3C80">
        <w:rPr>
          <w:sz w:val="28"/>
          <w:szCs w:val="28"/>
          <w:lang w:val="en-US"/>
        </w:rPr>
        <w:t xml:space="preserve"> </w:t>
      </w:r>
      <w:r w:rsidRPr="000F3C80">
        <w:rPr>
          <w:sz w:val="28"/>
          <w:szCs w:val="28"/>
        </w:rPr>
        <w:t>теориялық</w:t>
      </w:r>
      <w:r w:rsidRPr="000F3C80">
        <w:rPr>
          <w:sz w:val="28"/>
          <w:szCs w:val="28"/>
          <w:lang w:val="en-US"/>
        </w:rPr>
        <w:t xml:space="preserve"> </w:t>
      </w:r>
      <w:r w:rsidRPr="000F3C80">
        <w:rPr>
          <w:sz w:val="28"/>
          <w:szCs w:val="28"/>
        </w:rPr>
        <w:t>аспектілері</w:t>
      </w:r>
      <w:r w:rsidRPr="000F3C80">
        <w:rPr>
          <w:sz w:val="28"/>
          <w:szCs w:val="28"/>
          <w:lang w:val="en-US"/>
        </w:rPr>
        <w:t xml:space="preserve"> // </w:t>
      </w:r>
      <w:r w:rsidRPr="000F3C80">
        <w:rPr>
          <w:sz w:val="28"/>
          <w:szCs w:val="28"/>
        </w:rPr>
        <w:t>Х</w:t>
      </w:r>
      <w:r w:rsidRPr="000F3C80">
        <w:rPr>
          <w:sz w:val="28"/>
          <w:szCs w:val="28"/>
          <w:lang w:val="en-US"/>
        </w:rPr>
        <w:t xml:space="preserve">V </w:t>
      </w:r>
      <w:r w:rsidRPr="000F3C80">
        <w:rPr>
          <w:sz w:val="28"/>
          <w:szCs w:val="28"/>
        </w:rPr>
        <w:t>Торайғыров</w:t>
      </w:r>
      <w:r w:rsidRPr="000F3C80">
        <w:rPr>
          <w:sz w:val="28"/>
          <w:szCs w:val="28"/>
          <w:lang w:val="en-US"/>
        </w:rPr>
        <w:t xml:space="preserve"> </w:t>
      </w:r>
      <w:r w:rsidRPr="000F3C80">
        <w:rPr>
          <w:sz w:val="28"/>
          <w:szCs w:val="28"/>
        </w:rPr>
        <w:t>оқулары</w:t>
      </w:r>
      <w:r w:rsidRPr="000F3C80">
        <w:rPr>
          <w:sz w:val="28"/>
          <w:szCs w:val="28"/>
          <w:lang w:val="en-US"/>
        </w:rPr>
        <w:t xml:space="preserve">: </w:t>
      </w:r>
      <w:r w:rsidRPr="000F3C80">
        <w:rPr>
          <w:sz w:val="28"/>
          <w:szCs w:val="28"/>
        </w:rPr>
        <w:t>ақын</w:t>
      </w:r>
      <w:r w:rsidRPr="000F3C80">
        <w:rPr>
          <w:sz w:val="28"/>
          <w:szCs w:val="28"/>
          <w:lang w:val="en-US"/>
        </w:rPr>
        <w:t xml:space="preserve"> </w:t>
      </w:r>
      <w:r w:rsidRPr="000F3C80">
        <w:rPr>
          <w:sz w:val="28"/>
          <w:szCs w:val="28"/>
        </w:rPr>
        <w:t>Сұлтанмахмұт</w:t>
      </w:r>
      <w:r w:rsidRPr="000F3C80">
        <w:rPr>
          <w:sz w:val="28"/>
          <w:szCs w:val="28"/>
          <w:lang w:val="en-US"/>
        </w:rPr>
        <w:t xml:space="preserve"> </w:t>
      </w:r>
      <w:r w:rsidRPr="000F3C80">
        <w:rPr>
          <w:sz w:val="28"/>
          <w:szCs w:val="28"/>
        </w:rPr>
        <w:t>Торайғыровтың</w:t>
      </w:r>
      <w:r w:rsidRPr="000F3C80">
        <w:rPr>
          <w:sz w:val="28"/>
          <w:szCs w:val="28"/>
          <w:lang w:val="en-US"/>
        </w:rPr>
        <w:t xml:space="preserve"> 130 </w:t>
      </w:r>
      <w:r w:rsidRPr="000F3C80">
        <w:rPr>
          <w:sz w:val="28"/>
          <w:szCs w:val="28"/>
        </w:rPr>
        <w:t>жылдығына</w:t>
      </w:r>
      <w:r w:rsidRPr="000F3C80">
        <w:rPr>
          <w:sz w:val="28"/>
          <w:szCs w:val="28"/>
          <w:lang w:val="en-US"/>
        </w:rPr>
        <w:t xml:space="preserve"> </w:t>
      </w:r>
      <w:r w:rsidRPr="000F3C80">
        <w:rPr>
          <w:sz w:val="28"/>
          <w:szCs w:val="28"/>
        </w:rPr>
        <w:t>арналған</w:t>
      </w:r>
      <w:r w:rsidRPr="000F3C80">
        <w:rPr>
          <w:sz w:val="28"/>
          <w:szCs w:val="28"/>
          <w:lang w:val="en-US"/>
        </w:rPr>
        <w:t xml:space="preserve"> </w:t>
      </w:r>
      <w:r w:rsidRPr="000F3C80">
        <w:rPr>
          <w:sz w:val="28"/>
          <w:szCs w:val="28"/>
        </w:rPr>
        <w:t>халықаралық</w:t>
      </w:r>
      <w:r w:rsidRPr="000F3C80">
        <w:rPr>
          <w:sz w:val="28"/>
          <w:szCs w:val="28"/>
          <w:lang w:val="en-US"/>
        </w:rPr>
        <w:t xml:space="preserve"> </w:t>
      </w:r>
      <w:r w:rsidRPr="000F3C80">
        <w:rPr>
          <w:sz w:val="28"/>
          <w:szCs w:val="28"/>
        </w:rPr>
        <w:t>ғылыми</w:t>
      </w:r>
      <w:r w:rsidRPr="000F3C80">
        <w:rPr>
          <w:sz w:val="28"/>
          <w:szCs w:val="28"/>
          <w:lang w:val="en-US"/>
        </w:rPr>
        <w:t>-</w:t>
      </w:r>
      <w:r w:rsidRPr="000F3C80">
        <w:rPr>
          <w:sz w:val="28"/>
          <w:szCs w:val="28"/>
        </w:rPr>
        <w:t>тәжірибелік</w:t>
      </w:r>
      <w:r w:rsidRPr="000F3C80">
        <w:rPr>
          <w:sz w:val="28"/>
          <w:szCs w:val="28"/>
          <w:lang w:val="en-US"/>
        </w:rPr>
        <w:t xml:space="preserve"> </w:t>
      </w:r>
      <w:r w:rsidRPr="000F3C80">
        <w:rPr>
          <w:sz w:val="28"/>
          <w:szCs w:val="28"/>
        </w:rPr>
        <w:t>конференция</w:t>
      </w:r>
      <w:r w:rsidRPr="000F3C80">
        <w:rPr>
          <w:sz w:val="28"/>
          <w:szCs w:val="28"/>
          <w:lang w:val="en-US"/>
        </w:rPr>
        <w:t xml:space="preserve"> </w:t>
      </w:r>
      <w:r w:rsidRPr="000F3C80">
        <w:rPr>
          <w:sz w:val="28"/>
          <w:szCs w:val="28"/>
        </w:rPr>
        <w:t>материалдары</w:t>
      </w:r>
      <w:r w:rsidRPr="000F3C80">
        <w:rPr>
          <w:sz w:val="28"/>
          <w:szCs w:val="28"/>
          <w:lang w:val="en-US"/>
        </w:rPr>
        <w:t xml:space="preserve">. – </w:t>
      </w:r>
      <w:r w:rsidRPr="000F3C80">
        <w:rPr>
          <w:sz w:val="28"/>
          <w:szCs w:val="28"/>
        </w:rPr>
        <w:t>Павлодар</w:t>
      </w:r>
      <w:r w:rsidRPr="000F3C80">
        <w:rPr>
          <w:sz w:val="28"/>
          <w:szCs w:val="28"/>
          <w:lang w:val="en-US"/>
        </w:rPr>
        <w:t xml:space="preserve">: </w:t>
      </w:r>
      <w:r w:rsidRPr="000F3C80">
        <w:rPr>
          <w:sz w:val="28"/>
          <w:szCs w:val="28"/>
        </w:rPr>
        <w:t>Торайғыров</w:t>
      </w:r>
      <w:r w:rsidRPr="000F3C80">
        <w:rPr>
          <w:sz w:val="28"/>
          <w:szCs w:val="28"/>
          <w:lang w:val="en-US"/>
        </w:rPr>
        <w:t xml:space="preserve"> </w:t>
      </w:r>
      <w:r w:rsidRPr="000F3C80">
        <w:rPr>
          <w:sz w:val="28"/>
          <w:szCs w:val="28"/>
        </w:rPr>
        <w:t>университеті</w:t>
      </w:r>
      <w:r w:rsidRPr="000F3C80">
        <w:rPr>
          <w:sz w:val="28"/>
          <w:szCs w:val="28"/>
          <w:lang w:val="en-US"/>
        </w:rPr>
        <w:t>, 2023.</w:t>
      </w:r>
      <w:r w:rsidR="00AE1FD1" w:rsidRPr="000F3C80">
        <w:rPr>
          <w:sz w:val="28"/>
          <w:szCs w:val="28"/>
          <w:lang w:val="kk-KZ"/>
        </w:rPr>
        <w:t xml:space="preserve"> </w:t>
      </w:r>
      <w:r w:rsidR="00AE1FD1" w:rsidRPr="000F3C80">
        <w:rPr>
          <w:bCs/>
          <w:sz w:val="28"/>
          <w:szCs w:val="28"/>
          <w:lang w:val="kk-KZ"/>
        </w:rPr>
        <w:t>– Том 3. – Б.103-108</w:t>
      </w:r>
    </w:p>
    <w:p w14:paraId="72B19469" w14:textId="3C662093"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Rusu D. Perspectives of collaboration between large firms and high-tech SMEs regarding open innovation // Management and Economics Review. – 2023. – Vol. 8. – No. 2. – P. 180</w:t>
      </w:r>
      <w:r w:rsidR="00FD5797" w:rsidRPr="000F3C80">
        <w:rPr>
          <w:sz w:val="28"/>
          <w:szCs w:val="28"/>
          <w:lang w:val="en-US"/>
        </w:rPr>
        <w:t>-</w:t>
      </w:r>
      <w:r w:rsidRPr="000F3C80">
        <w:rPr>
          <w:sz w:val="28"/>
          <w:szCs w:val="28"/>
          <w:lang w:val="en-US"/>
        </w:rPr>
        <w:t>200.</w:t>
      </w:r>
    </w:p>
    <w:p w14:paraId="21978418" w14:textId="5E379C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Radziwon A., Bogers M. Open innovation in SMEs: Exploring inter-organizational relationships in an ecosystem // Technological Forecasting and Social Change. – 2019. – Vol. 146. – P. 573</w:t>
      </w:r>
      <w:r w:rsidR="00FD5797" w:rsidRPr="000F3C80">
        <w:rPr>
          <w:sz w:val="28"/>
          <w:szCs w:val="28"/>
          <w:lang w:val="en-US"/>
        </w:rPr>
        <w:t>-</w:t>
      </w:r>
      <w:r w:rsidRPr="000F3C80">
        <w:rPr>
          <w:sz w:val="28"/>
          <w:szCs w:val="28"/>
          <w:lang w:val="en-US"/>
        </w:rPr>
        <w:t>587.</w:t>
      </w:r>
    </w:p>
    <w:p w14:paraId="4CB3619D"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Corrales Castillo E. J., Ramírez Tarazona J. V., Arana Flórez R. The culture of innovation in companies in the agricultural sector in Valle del Cauca – Colombia: A look from the foresight approach // Cuadernos de Administración. – 2025. – Vol. 41. – No. 83. – P. e20114503.</w:t>
      </w:r>
    </w:p>
    <w:p w14:paraId="18B49629" w14:textId="05375ED0"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Jurgelevičius A., Pakutinskas P., Plečkaitis E., Riškevičienė V. Hackathons as a method for fostering corporate innovation and competitive advantage // Proceedings of the European Conference on Innovation and Entrepreneurship. – 2025. – Vol. 20. – No. 1. – P. 322</w:t>
      </w:r>
      <w:r w:rsidR="00FD5797" w:rsidRPr="000F3C80">
        <w:rPr>
          <w:sz w:val="28"/>
          <w:szCs w:val="28"/>
          <w:lang w:val="en-US"/>
        </w:rPr>
        <w:t>-</w:t>
      </w:r>
      <w:r w:rsidRPr="000F3C80">
        <w:rPr>
          <w:sz w:val="28"/>
          <w:szCs w:val="28"/>
          <w:lang w:val="en-US"/>
        </w:rPr>
        <w:t>330.</w:t>
      </w:r>
    </w:p>
    <w:p w14:paraId="62F1595E" w14:textId="3DCBBCA9"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Masenya T. M. Digital transformation in SMEs: Developing digital business model innovations based on artificial intelligence // Business Models and Innovative Technologies for SMEs / Ed. by I. Motjolopane, E. Ruhode, P. A. Owolawi. – Singapore: Bentham Science Publishers, 2023. – P. 62</w:t>
      </w:r>
      <w:r w:rsidR="00FD5797" w:rsidRPr="000F3C80">
        <w:rPr>
          <w:sz w:val="28"/>
          <w:szCs w:val="28"/>
          <w:lang w:val="en-US"/>
        </w:rPr>
        <w:t>-</w:t>
      </w:r>
      <w:r w:rsidRPr="000F3C80">
        <w:rPr>
          <w:sz w:val="28"/>
          <w:szCs w:val="28"/>
          <w:lang w:val="en-US"/>
        </w:rPr>
        <w:t>84.</w:t>
      </w:r>
    </w:p>
    <w:p w14:paraId="5FFE4702" w14:textId="67D2FE0C"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Yusuf S. O., Durodola R. L., Ocran G., Abubakar J. E., Echere A. Z., Paul-Adeleye A. H. Challenges and opportunities in AI and digital transformation for SMEs: A cross-continental perspective // World Journal of Advanced Research and Reviews. – 2024. – Vol. 23. – No. 3. – P. 668</w:t>
      </w:r>
      <w:r w:rsidR="00FD5797" w:rsidRPr="000F3C80">
        <w:rPr>
          <w:sz w:val="28"/>
          <w:szCs w:val="28"/>
          <w:lang w:val="en-US"/>
        </w:rPr>
        <w:t>-</w:t>
      </w:r>
      <w:r w:rsidRPr="000F3C80">
        <w:rPr>
          <w:sz w:val="28"/>
          <w:szCs w:val="28"/>
          <w:lang w:val="en-US"/>
        </w:rPr>
        <w:t>678.</w:t>
      </w:r>
    </w:p>
    <w:p w14:paraId="38F70C17" w14:textId="20D6814B"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rPr>
        <w:t>Қалиханова</w:t>
      </w:r>
      <w:r w:rsidRPr="000F3C80">
        <w:rPr>
          <w:sz w:val="28"/>
          <w:szCs w:val="28"/>
          <w:lang w:val="en-US"/>
        </w:rPr>
        <w:t xml:space="preserve"> </w:t>
      </w:r>
      <w:r w:rsidRPr="000F3C80">
        <w:rPr>
          <w:sz w:val="28"/>
          <w:szCs w:val="28"/>
        </w:rPr>
        <w:t>А</w:t>
      </w:r>
      <w:r w:rsidRPr="000F3C80">
        <w:rPr>
          <w:sz w:val="28"/>
          <w:szCs w:val="28"/>
          <w:lang w:val="en-US"/>
        </w:rPr>
        <w:t xml:space="preserve">. </w:t>
      </w:r>
      <w:r w:rsidRPr="000F3C80">
        <w:rPr>
          <w:sz w:val="28"/>
          <w:szCs w:val="28"/>
        </w:rPr>
        <w:t>Т</w:t>
      </w:r>
      <w:r w:rsidRPr="000F3C80">
        <w:rPr>
          <w:sz w:val="28"/>
          <w:szCs w:val="28"/>
          <w:lang w:val="en-US"/>
        </w:rPr>
        <w:t xml:space="preserve">., </w:t>
      </w:r>
      <w:r w:rsidRPr="000F3C80">
        <w:rPr>
          <w:sz w:val="28"/>
          <w:szCs w:val="28"/>
        </w:rPr>
        <w:t>Саденова</w:t>
      </w:r>
      <w:r w:rsidRPr="000F3C80">
        <w:rPr>
          <w:sz w:val="28"/>
          <w:szCs w:val="28"/>
          <w:lang w:val="en-US"/>
        </w:rPr>
        <w:t xml:space="preserve"> </w:t>
      </w:r>
      <w:r w:rsidRPr="000F3C80">
        <w:rPr>
          <w:sz w:val="28"/>
          <w:szCs w:val="28"/>
        </w:rPr>
        <w:t>А</w:t>
      </w:r>
      <w:r w:rsidRPr="000F3C80">
        <w:rPr>
          <w:sz w:val="28"/>
          <w:szCs w:val="28"/>
          <w:lang w:val="en-US"/>
        </w:rPr>
        <w:t xml:space="preserve">. </w:t>
      </w:r>
      <w:r w:rsidRPr="000F3C80">
        <w:rPr>
          <w:sz w:val="28"/>
          <w:szCs w:val="28"/>
        </w:rPr>
        <w:t>М</w:t>
      </w:r>
      <w:r w:rsidRPr="000F3C80">
        <w:rPr>
          <w:sz w:val="28"/>
          <w:szCs w:val="28"/>
          <w:lang w:val="en-US"/>
        </w:rPr>
        <w:t xml:space="preserve">. </w:t>
      </w:r>
      <w:r w:rsidRPr="000F3C80">
        <w:rPr>
          <w:sz w:val="28"/>
          <w:szCs w:val="28"/>
        </w:rPr>
        <w:t>Қазақстанда</w:t>
      </w:r>
      <w:r w:rsidRPr="000F3C80">
        <w:rPr>
          <w:sz w:val="28"/>
          <w:szCs w:val="28"/>
          <w:lang w:val="en-US"/>
        </w:rPr>
        <w:t xml:space="preserve"> </w:t>
      </w:r>
      <w:r w:rsidRPr="000F3C80">
        <w:rPr>
          <w:sz w:val="28"/>
          <w:szCs w:val="28"/>
        </w:rPr>
        <w:t>инновациялық</w:t>
      </w:r>
      <w:r w:rsidRPr="000F3C80">
        <w:rPr>
          <w:sz w:val="28"/>
          <w:szCs w:val="28"/>
          <w:lang w:val="en-US"/>
        </w:rPr>
        <w:t xml:space="preserve"> </w:t>
      </w:r>
      <w:r w:rsidRPr="000F3C80">
        <w:rPr>
          <w:sz w:val="28"/>
          <w:szCs w:val="28"/>
        </w:rPr>
        <w:t>жобаларды</w:t>
      </w:r>
      <w:r w:rsidRPr="000F3C80">
        <w:rPr>
          <w:sz w:val="28"/>
          <w:szCs w:val="28"/>
          <w:lang w:val="en-US"/>
        </w:rPr>
        <w:t xml:space="preserve"> </w:t>
      </w:r>
      <w:r w:rsidRPr="000F3C80">
        <w:rPr>
          <w:sz w:val="28"/>
          <w:szCs w:val="28"/>
        </w:rPr>
        <w:t>коммерцияландыру</w:t>
      </w:r>
      <w:r w:rsidRPr="000F3C80">
        <w:rPr>
          <w:sz w:val="28"/>
          <w:szCs w:val="28"/>
          <w:lang w:val="en-US"/>
        </w:rPr>
        <w:t xml:space="preserve"> </w:t>
      </w:r>
      <w:r w:rsidRPr="000F3C80">
        <w:rPr>
          <w:sz w:val="28"/>
          <w:szCs w:val="28"/>
        </w:rPr>
        <w:t>мәселелері</w:t>
      </w:r>
      <w:r w:rsidRPr="000F3C80">
        <w:rPr>
          <w:sz w:val="28"/>
          <w:szCs w:val="28"/>
          <w:lang w:val="en-US"/>
        </w:rPr>
        <w:t xml:space="preserve"> // </w:t>
      </w:r>
      <w:r w:rsidRPr="000F3C80">
        <w:rPr>
          <w:sz w:val="28"/>
          <w:szCs w:val="28"/>
        </w:rPr>
        <w:t>Қазақстанның</w:t>
      </w:r>
      <w:r w:rsidRPr="000F3C80">
        <w:rPr>
          <w:sz w:val="28"/>
          <w:szCs w:val="28"/>
          <w:lang w:val="en-US"/>
        </w:rPr>
        <w:t xml:space="preserve"> </w:t>
      </w:r>
      <w:r w:rsidRPr="000F3C80">
        <w:rPr>
          <w:sz w:val="28"/>
          <w:szCs w:val="28"/>
        </w:rPr>
        <w:t>инновациялық</w:t>
      </w:r>
      <w:r w:rsidRPr="000F3C80">
        <w:rPr>
          <w:sz w:val="28"/>
          <w:szCs w:val="28"/>
          <w:lang w:val="en-US"/>
        </w:rPr>
        <w:t xml:space="preserve"> </w:t>
      </w:r>
      <w:r w:rsidRPr="000F3C80">
        <w:rPr>
          <w:sz w:val="28"/>
          <w:szCs w:val="28"/>
        </w:rPr>
        <w:t>дамуына</w:t>
      </w:r>
      <w:r w:rsidRPr="000F3C80">
        <w:rPr>
          <w:sz w:val="28"/>
          <w:szCs w:val="28"/>
          <w:lang w:val="en-US"/>
        </w:rPr>
        <w:t xml:space="preserve"> </w:t>
      </w:r>
      <w:r w:rsidRPr="000F3C80">
        <w:rPr>
          <w:sz w:val="28"/>
          <w:szCs w:val="28"/>
        </w:rPr>
        <w:t>жастардың</w:t>
      </w:r>
      <w:r w:rsidRPr="000F3C80">
        <w:rPr>
          <w:sz w:val="28"/>
          <w:szCs w:val="28"/>
          <w:lang w:val="en-US"/>
        </w:rPr>
        <w:t xml:space="preserve"> </w:t>
      </w:r>
      <w:r w:rsidRPr="000F3C80">
        <w:rPr>
          <w:sz w:val="28"/>
          <w:szCs w:val="28"/>
        </w:rPr>
        <w:t>шығармашылығы</w:t>
      </w:r>
      <w:r w:rsidRPr="000F3C80">
        <w:rPr>
          <w:sz w:val="28"/>
          <w:szCs w:val="28"/>
          <w:lang w:val="en-US"/>
        </w:rPr>
        <w:t xml:space="preserve">: </w:t>
      </w:r>
      <w:r w:rsidRPr="000F3C80">
        <w:rPr>
          <w:sz w:val="28"/>
          <w:szCs w:val="28"/>
        </w:rPr>
        <w:t>студенттердің</w:t>
      </w:r>
      <w:r w:rsidRPr="000F3C80">
        <w:rPr>
          <w:sz w:val="28"/>
          <w:szCs w:val="28"/>
          <w:lang w:val="en-US"/>
        </w:rPr>
        <w:t xml:space="preserve">, </w:t>
      </w:r>
      <w:r w:rsidRPr="000F3C80">
        <w:rPr>
          <w:sz w:val="28"/>
          <w:szCs w:val="28"/>
        </w:rPr>
        <w:t>магистранттардың</w:t>
      </w:r>
      <w:r w:rsidRPr="000F3C80">
        <w:rPr>
          <w:sz w:val="28"/>
          <w:szCs w:val="28"/>
          <w:lang w:val="en-US"/>
        </w:rPr>
        <w:t xml:space="preserve"> </w:t>
      </w:r>
      <w:r w:rsidRPr="000F3C80">
        <w:rPr>
          <w:sz w:val="28"/>
          <w:szCs w:val="28"/>
        </w:rPr>
        <w:t>және</w:t>
      </w:r>
      <w:r w:rsidRPr="000F3C80">
        <w:rPr>
          <w:sz w:val="28"/>
          <w:szCs w:val="28"/>
          <w:lang w:val="en-US"/>
        </w:rPr>
        <w:t xml:space="preserve"> </w:t>
      </w:r>
      <w:r w:rsidRPr="000F3C80">
        <w:rPr>
          <w:sz w:val="28"/>
          <w:szCs w:val="28"/>
        </w:rPr>
        <w:t>жас</w:t>
      </w:r>
      <w:r w:rsidRPr="000F3C80">
        <w:rPr>
          <w:sz w:val="28"/>
          <w:szCs w:val="28"/>
          <w:lang w:val="en-US"/>
        </w:rPr>
        <w:t xml:space="preserve"> </w:t>
      </w:r>
      <w:r w:rsidRPr="000F3C80">
        <w:rPr>
          <w:sz w:val="28"/>
          <w:szCs w:val="28"/>
        </w:rPr>
        <w:t>ғалымдардың</w:t>
      </w:r>
      <w:r w:rsidRPr="000F3C80">
        <w:rPr>
          <w:sz w:val="28"/>
          <w:szCs w:val="28"/>
          <w:lang w:val="en-US"/>
        </w:rPr>
        <w:t xml:space="preserve"> VIII </w:t>
      </w:r>
      <w:r w:rsidRPr="000F3C80">
        <w:rPr>
          <w:sz w:val="28"/>
          <w:szCs w:val="28"/>
        </w:rPr>
        <w:t>Халықаралық</w:t>
      </w:r>
      <w:r w:rsidRPr="000F3C80">
        <w:rPr>
          <w:sz w:val="28"/>
          <w:szCs w:val="28"/>
          <w:lang w:val="en-US"/>
        </w:rPr>
        <w:t xml:space="preserve"> </w:t>
      </w:r>
      <w:r w:rsidRPr="000F3C80">
        <w:rPr>
          <w:sz w:val="28"/>
          <w:szCs w:val="28"/>
        </w:rPr>
        <w:t>ғылыми</w:t>
      </w:r>
      <w:r w:rsidRPr="000F3C80">
        <w:rPr>
          <w:sz w:val="28"/>
          <w:szCs w:val="28"/>
          <w:lang w:val="en-US"/>
        </w:rPr>
        <w:t>-</w:t>
      </w:r>
      <w:r w:rsidRPr="000F3C80">
        <w:rPr>
          <w:sz w:val="28"/>
          <w:szCs w:val="28"/>
        </w:rPr>
        <w:t>техникалық</w:t>
      </w:r>
      <w:r w:rsidRPr="000F3C80">
        <w:rPr>
          <w:sz w:val="28"/>
          <w:szCs w:val="28"/>
          <w:lang w:val="en-US"/>
        </w:rPr>
        <w:t xml:space="preserve"> </w:t>
      </w:r>
      <w:r w:rsidRPr="000F3C80">
        <w:rPr>
          <w:sz w:val="28"/>
          <w:szCs w:val="28"/>
        </w:rPr>
        <w:t>конференция</w:t>
      </w:r>
      <w:r w:rsidRPr="000F3C80">
        <w:rPr>
          <w:sz w:val="28"/>
          <w:szCs w:val="28"/>
          <w:lang w:val="en-US"/>
        </w:rPr>
        <w:t xml:space="preserve"> </w:t>
      </w:r>
      <w:r w:rsidRPr="000F3C80">
        <w:rPr>
          <w:sz w:val="28"/>
          <w:szCs w:val="28"/>
        </w:rPr>
        <w:t>материалдары</w:t>
      </w:r>
      <w:r w:rsidRPr="000F3C80">
        <w:rPr>
          <w:sz w:val="28"/>
          <w:szCs w:val="28"/>
          <w:lang w:val="en-US"/>
        </w:rPr>
        <w:t xml:space="preserve">. – </w:t>
      </w:r>
      <w:r w:rsidRPr="000F3C80">
        <w:rPr>
          <w:sz w:val="28"/>
          <w:szCs w:val="28"/>
        </w:rPr>
        <w:t>Өскемен</w:t>
      </w:r>
      <w:r w:rsidRPr="000F3C80">
        <w:rPr>
          <w:sz w:val="28"/>
          <w:szCs w:val="28"/>
          <w:lang w:val="en-US"/>
        </w:rPr>
        <w:t xml:space="preserve">: </w:t>
      </w:r>
      <w:r w:rsidRPr="000F3C80">
        <w:rPr>
          <w:sz w:val="28"/>
          <w:szCs w:val="28"/>
        </w:rPr>
        <w:t>Д</w:t>
      </w:r>
      <w:r w:rsidRPr="000F3C80">
        <w:rPr>
          <w:sz w:val="28"/>
          <w:szCs w:val="28"/>
          <w:lang w:val="en-US"/>
        </w:rPr>
        <w:t xml:space="preserve">. </w:t>
      </w:r>
      <w:r w:rsidRPr="000F3C80">
        <w:rPr>
          <w:sz w:val="28"/>
          <w:szCs w:val="28"/>
        </w:rPr>
        <w:t>Серікбаев</w:t>
      </w:r>
      <w:r w:rsidRPr="000F3C80">
        <w:rPr>
          <w:sz w:val="28"/>
          <w:szCs w:val="28"/>
          <w:lang w:val="en-US"/>
        </w:rPr>
        <w:t xml:space="preserve"> </w:t>
      </w:r>
      <w:r w:rsidRPr="000F3C80">
        <w:rPr>
          <w:sz w:val="28"/>
          <w:szCs w:val="28"/>
        </w:rPr>
        <w:t>атындағы</w:t>
      </w:r>
      <w:r w:rsidRPr="000F3C80">
        <w:rPr>
          <w:sz w:val="28"/>
          <w:szCs w:val="28"/>
          <w:lang w:val="en-US"/>
        </w:rPr>
        <w:t xml:space="preserve"> </w:t>
      </w:r>
      <w:r w:rsidRPr="000F3C80">
        <w:rPr>
          <w:sz w:val="28"/>
          <w:szCs w:val="28"/>
        </w:rPr>
        <w:t>Шығыс</w:t>
      </w:r>
      <w:r w:rsidRPr="000F3C80">
        <w:rPr>
          <w:sz w:val="28"/>
          <w:szCs w:val="28"/>
          <w:lang w:val="en-US"/>
        </w:rPr>
        <w:t xml:space="preserve"> </w:t>
      </w:r>
      <w:r w:rsidRPr="000F3C80">
        <w:rPr>
          <w:sz w:val="28"/>
          <w:szCs w:val="28"/>
        </w:rPr>
        <w:t>Қазақстан</w:t>
      </w:r>
      <w:r w:rsidRPr="000F3C80">
        <w:rPr>
          <w:sz w:val="28"/>
          <w:szCs w:val="28"/>
          <w:lang w:val="en-US"/>
        </w:rPr>
        <w:t xml:space="preserve"> </w:t>
      </w:r>
      <w:r w:rsidRPr="000F3C80">
        <w:rPr>
          <w:sz w:val="28"/>
          <w:szCs w:val="28"/>
        </w:rPr>
        <w:t>техникалық</w:t>
      </w:r>
      <w:r w:rsidRPr="000F3C80">
        <w:rPr>
          <w:sz w:val="28"/>
          <w:szCs w:val="28"/>
          <w:lang w:val="en-US"/>
        </w:rPr>
        <w:t xml:space="preserve"> </w:t>
      </w:r>
      <w:r w:rsidRPr="000F3C80">
        <w:rPr>
          <w:sz w:val="28"/>
          <w:szCs w:val="28"/>
        </w:rPr>
        <w:t>университеті</w:t>
      </w:r>
      <w:r w:rsidRPr="000F3C80">
        <w:rPr>
          <w:sz w:val="28"/>
          <w:szCs w:val="28"/>
          <w:lang w:val="en-US"/>
        </w:rPr>
        <w:t xml:space="preserve">, 2022. – </w:t>
      </w:r>
      <w:r w:rsidR="00AE1FD1" w:rsidRPr="000F3C80">
        <w:rPr>
          <w:sz w:val="28"/>
          <w:szCs w:val="28"/>
          <w:lang w:val="kk-KZ"/>
        </w:rPr>
        <w:t>Б</w:t>
      </w:r>
      <w:r w:rsidRPr="000F3C80">
        <w:rPr>
          <w:sz w:val="28"/>
          <w:szCs w:val="28"/>
          <w:lang w:val="en-US"/>
        </w:rPr>
        <w:t>. 206</w:t>
      </w:r>
      <w:r w:rsidR="00FD5797" w:rsidRPr="000F3C80">
        <w:rPr>
          <w:sz w:val="28"/>
          <w:szCs w:val="28"/>
          <w:lang w:val="en-US"/>
        </w:rPr>
        <w:t>-</w:t>
      </w:r>
      <w:r w:rsidRPr="000F3C80">
        <w:rPr>
          <w:sz w:val="28"/>
          <w:szCs w:val="28"/>
          <w:lang w:val="en-US"/>
        </w:rPr>
        <w:t>210.</w:t>
      </w:r>
    </w:p>
    <w:p w14:paraId="7897AB90"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lastRenderedPageBreak/>
        <w:t>Coccia M. New perspectives in innovation failure analysis: A taxonomy of general errors and strategic management for reducing risks // Technology in Society. – 2023. – Vol. 75. – P. 102384.</w:t>
      </w:r>
    </w:p>
    <w:p w14:paraId="6D9DB204" w14:textId="3DCE53E2"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Önder Ç., Sorkun M. F., Özen Ş. How formal institutional failure shapes the corporate political connection–innovation relationship: A strategic sensemaking perspective // European Journal of Innovation Management. – 2025. – Vol. 28. – No. 10. – P. 5331</w:t>
      </w:r>
      <w:r w:rsidR="00FD5797" w:rsidRPr="000F3C80">
        <w:rPr>
          <w:sz w:val="28"/>
          <w:szCs w:val="28"/>
          <w:lang w:val="en-US"/>
        </w:rPr>
        <w:t>-</w:t>
      </w:r>
      <w:r w:rsidRPr="000F3C80">
        <w:rPr>
          <w:sz w:val="28"/>
          <w:szCs w:val="28"/>
          <w:lang w:val="en-US"/>
        </w:rPr>
        <w:t>5350.</w:t>
      </w:r>
    </w:p>
    <w:p w14:paraId="55C32349"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Austin A., Alataş S., Agbonifi D. Financing eco-innovation in an emerging economy: The role of internal resources, external support and government in Turkish SMEs // Sustainable Development. – 2025.</w:t>
      </w:r>
    </w:p>
    <w:p w14:paraId="3A2D8DA6" w14:textId="4060208E"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Metuzale K., Widmer M. D., Meyer D., Meyer R. Innovation management in small and large companies: Comparative insights from Switzerland // Proceedings of the European Conference on Innovation and Entrepreneurship. – 2025. – Vol. 20. – No. 1. – P. 455</w:t>
      </w:r>
      <w:r w:rsidR="00FD5797" w:rsidRPr="000F3C80">
        <w:rPr>
          <w:sz w:val="28"/>
          <w:szCs w:val="28"/>
          <w:lang w:val="en-US"/>
        </w:rPr>
        <w:t>-</w:t>
      </w:r>
      <w:r w:rsidRPr="000F3C80">
        <w:rPr>
          <w:sz w:val="28"/>
          <w:szCs w:val="28"/>
          <w:lang w:val="en-US"/>
        </w:rPr>
        <w:t>463.</w:t>
      </w:r>
    </w:p>
    <w:p w14:paraId="009FE2E3" w14:textId="5782CD6B"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rPr>
      </w:pPr>
      <w:r w:rsidRPr="000F3C80">
        <w:rPr>
          <w:sz w:val="28"/>
          <w:szCs w:val="28"/>
        </w:rPr>
        <w:t>Повна С. В. Управління цифровими інноваціями на промислових підприємствах: аналіз міжнародного і національного досвіду // Науковий вісник Полісся. – 2025. – Т. 30. – № 1. – С. 401</w:t>
      </w:r>
      <w:r w:rsidR="00FD5797" w:rsidRPr="000F3C80">
        <w:rPr>
          <w:sz w:val="28"/>
          <w:szCs w:val="28"/>
        </w:rPr>
        <w:t>-</w:t>
      </w:r>
      <w:r w:rsidRPr="000F3C80">
        <w:rPr>
          <w:sz w:val="28"/>
          <w:szCs w:val="28"/>
        </w:rPr>
        <w:t>412.</w:t>
      </w:r>
    </w:p>
    <w:p w14:paraId="10CFE02E" w14:textId="7802BA1E"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Rahady P., Tricahyono D., Dudija N. Study of improving cluster supply chain capability at PT. XYZ through the implementation of digital connectivity // Commercial Journal of Business Management. – 2025. – Vol. 3. – No. 4. – P. 289</w:t>
      </w:r>
      <w:r w:rsidR="00FD5797" w:rsidRPr="000F3C80">
        <w:rPr>
          <w:sz w:val="28"/>
          <w:szCs w:val="28"/>
          <w:lang w:val="en-US"/>
        </w:rPr>
        <w:t>-</w:t>
      </w:r>
      <w:r w:rsidRPr="000F3C80">
        <w:rPr>
          <w:sz w:val="28"/>
          <w:szCs w:val="28"/>
          <w:lang w:val="en-US"/>
        </w:rPr>
        <w:t>301.</w:t>
      </w:r>
    </w:p>
    <w:p w14:paraId="11D803A8"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Bindeeba D. S., Tukamushaba E. K., Bakashaba R. How digital capabilities and credit access influence green innovation performance in small and medium enterprises in resource constrained settings // Discover Sustainability. – 2025. – Vol. 6. – No. 1. – P. 955.</w:t>
      </w:r>
    </w:p>
    <w:p w14:paraId="2710F2D3"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Ghirelli H. L. National importance of support to unserved SMEs through financial infrastructure: Strengthening inclusion, innovation and regional recovery // Brazilian Journal of Development. – 2025. – Vol. 11. – No. 9. – P. e82365.</w:t>
      </w:r>
    </w:p>
    <w:p w14:paraId="50405FFB" w14:textId="2E4AD90A"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Jannah R., Sudarman D. The influence of digital marketing and product innovation on marketing performance with government support as a moderating variable: A study on micro culinary enterprises in Depok City // Marginal Journal of Management, Accounting and General Finance: International Economic Issues. – 2025. – Vol. 4. – No. 4. – P. 1070</w:t>
      </w:r>
      <w:r w:rsidR="00FD5797" w:rsidRPr="000F3C80">
        <w:rPr>
          <w:sz w:val="28"/>
          <w:szCs w:val="28"/>
          <w:lang w:val="en-US"/>
        </w:rPr>
        <w:t>-</w:t>
      </w:r>
      <w:r w:rsidRPr="000F3C80">
        <w:rPr>
          <w:sz w:val="28"/>
          <w:szCs w:val="28"/>
          <w:lang w:val="en-US"/>
        </w:rPr>
        <w:t>1085.</w:t>
      </w:r>
    </w:p>
    <w:p w14:paraId="50AF01C7"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Li W., Cao B., Li C. An exploration of the influence mechanism of resource bricolage and ambidextrous learning on micro-innovation in new ventures: The moderating roles of customer participation and government support // Sustainability. – 2025. – Vol. 17. – No. 17. – P. 7786.</w:t>
      </w:r>
    </w:p>
    <w:p w14:paraId="64E40C80" w14:textId="1BEA5BE9"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Dyussenov M. Digital governance or digital authoritarianism? The ambiguities of e-government in Kazakhstan // Dialogues in Digital Society. – 2025.</w:t>
      </w:r>
      <w:r w:rsidR="00172932" w:rsidRPr="000F3C80">
        <w:rPr>
          <w:sz w:val="28"/>
          <w:szCs w:val="28"/>
          <w:lang w:val="en-US"/>
        </w:rPr>
        <w:t xml:space="preserve"> – Vol. 1. – No. 3. – P. 274-277</w:t>
      </w:r>
    </w:p>
    <w:p w14:paraId="1BC08935" w14:textId="02879B3C"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rPr>
        <w:t>Бауржанов</w:t>
      </w:r>
      <w:r w:rsidRPr="000F3C80">
        <w:rPr>
          <w:sz w:val="28"/>
          <w:szCs w:val="28"/>
          <w:lang w:val="en-US"/>
        </w:rPr>
        <w:t xml:space="preserve"> </w:t>
      </w:r>
      <w:r w:rsidRPr="000F3C80">
        <w:rPr>
          <w:sz w:val="28"/>
          <w:szCs w:val="28"/>
        </w:rPr>
        <w:t>Д</w:t>
      </w:r>
      <w:r w:rsidRPr="000F3C80">
        <w:rPr>
          <w:sz w:val="28"/>
          <w:szCs w:val="28"/>
          <w:lang w:val="en-US"/>
        </w:rPr>
        <w:t xml:space="preserve">., </w:t>
      </w:r>
      <w:r w:rsidRPr="000F3C80">
        <w:rPr>
          <w:sz w:val="28"/>
          <w:szCs w:val="28"/>
        </w:rPr>
        <w:t>Саденова</w:t>
      </w:r>
      <w:r w:rsidRPr="000F3C80">
        <w:rPr>
          <w:sz w:val="28"/>
          <w:szCs w:val="28"/>
          <w:lang w:val="en-US"/>
        </w:rPr>
        <w:t xml:space="preserve"> </w:t>
      </w:r>
      <w:r w:rsidRPr="000F3C80">
        <w:rPr>
          <w:sz w:val="28"/>
          <w:szCs w:val="28"/>
        </w:rPr>
        <w:t>А</w:t>
      </w:r>
      <w:r w:rsidRPr="000F3C80">
        <w:rPr>
          <w:sz w:val="28"/>
          <w:szCs w:val="28"/>
          <w:lang w:val="en-US"/>
        </w:rPr>
        <w:t xml:space="preserve">. </w:t>
      </w:r>
      <w:r w:rsidRPr="000F3C80">
        <w:rPr>
          <w:sz w:val="28"/>
          <w:szCs w:val="28"/>
        </w:rPr>
        <w:t>М</w:t>
      </w:r>
      <w:r w:rsidRPr="000F3C80">
        <w:rPr>
          <w:sz w:val="28"/>
          <w:szCs w:val="28"/>
          <w:lang w:val="en-US"/>
        </w:rPr>
        <w:t xml:space="preserve">. </w:t>
      </w:r>
      <w:r w:rsidRPr="000F3C80">
        <w:rPr>
          <w:sz w:val="28"/>
          <w:szCs w:val="28"/>
        </w:rPr>
        <w:t>Кәсіпкерлік</w:t>
      </w:r>
      <w:r w:rsidRPr="000F3C80">
        <w:rPr>
          <w:sz w:val="28"/>
          <w:szCs w:val="28"/>
          <w:lang w:val="en-US"/>
        </w:rPr>
        <w:t xml:space="preserve"> </w:t>
      </w:r>
      <w:r w:rsidRPr="000F3C80">
        <w:rPr>
          <w:sz w:val="28"/>
          <w:szCs w:val="28"/>
        </w:rPr>
        <w:t>құрылымдармен</w:t>
      </w:r>
      <w:r w:rsidRPr="000F3C80">
        <w:rPr>
          <w:sz w:val="28"/>
          <w:szCs w:val="28"/>
          <w:lang w:val="en-US"/>
        </w:rPr>
        <w:t xml:space="preserve"> </w:t>
      </w:r>
      <w:r w:rsidRPr="000F3C80">
        <w:rPr>
          <w:sz w:val="28"/>
          <w:szCs w:val="28"/>
        </w:rPr>
        <w:t>жасанды</w:t>
      </w:r>
      <w:r w:rsidRPr="000F3C80">
        <w:rPr>
          <w:sz w:val="28"/>
          <w:szCs w:val="28"/>
          <w:lang w:val="en-US"/>
        </w:rPr>
        <w:t xml:space="preserve"> </w:t>
      </w:r>
      <w:r w:rsidRPr="000F3C80">
        <w:rPr>
          <w:sz w:val="28"/>
          <w:szCs w:val="28"/>
        </w:rPr>
        <w:t>интеллектті</w:t>
      </w:r>
      <w:r w:rsidRPr="000F3C80">
        <w:rPr>
          <w:sz w:val="28"/>
          <w:szCs w:val="28"/>
          <w:lang w:val="en-US"/>
        </w:rPr>
        <w:t xml:space="preserve"> </w:t>
      </w:r>
      <w:r w:rsidRPr="000F3C80">
        <w:rPr>
          <w:sz w:val="28"/>
          <w:szCs w:val="28"/>
        </w:rPr>
        <w:t>қолданудың</w:t>
      </w:r>
      <w:r w:rsidRPr="000F3C80">
        <w:rPr>
          <w:sz w:val="28"/>
          <w:szCs w:val="28"/>
          <w:lang w:val="en-US"/>
        </w:rPr>
        <w:t xml:space="preserve"> </w:t>
      </w:r>
      <w:r w:rsidRPr="000F3C80">
        <w:rPr>
          <w:sz w:val="28"/>
          <w:szCs w:val="28"/>
        </w:rPr>
        <w:t>теориялық</w:t>
      </w:r>
      <w:r w:rsidRPr="000F3C80">
        <w:rPr>
          <w:sz w:val="28"/>
          <w:szCs w:val="28"/>
          <w:lang w:val="en-US"/>
        </w:rPr>
        <w:t xml:space="preserve"> </w:t>
      </w:r>
      <w:r w:rsidRPr="000F3C80">
        <w:rPr>
          <w:sz w:val="28"/>
          <w:szCs w:val="28"/>
        </w:rPr>
        <w:t>аспектілері</w:t>
      </w:r>
      <w:r w:rsidRPr="000F3C80">
        <w:rPr>
          <w:sz w:val="28"/>
          <w:szCs w:val="28"/>
          <w:lang w:val="en-US"/>
        </w:rPr>
        <w:t xml:space="preserve"> // </w:t>
      </w:r>
      <w:r w:rsidRPr="000F3C80">
        <w:rPr>
          <w:sz w:val="28"/>
          <w:szCs w:val="28"/>
        </w:rPr>
        <w:t>Қазақстанның</w:t>
      </w:r>
      <w:r w:rsidRPr="000F3C80">
        <w:rPr>
          <w:sz w:val="28"/>
          <w:szCs w:val="28"/>
          <w:lang w:val="en-US"/>
        </w:rPr>
        <w:t xml:space="preserve"> </w:t>
      </w:r>
      <w:r w:rsidRPr="000F3C80">
        <w:rPr>
          <w:sz w:val="28"/>
          <w:szCs w:val="28"/>
        </w:rPr>
        <w:t>инновациялық</w:t>
      </w:r>
      <w:r w:rsidRPr="000F3C80">
        <w:rPr>
          <w:sz w:val="28"/>
          <w:szCs w:val="28"/>
          <w:lang w:val="en-US"/>
        </w:rPr>
        <w:t xml:space="preserve"> </w:t>
      </w:r>
      <w:r w:rsidRPr="000F3C80">
        <w:rPr>
          <w:sz w:val="28"/>
          <w:szCs w:val="28"/>
        </w:rPr>
        <w:t>дамуына</w:t>
      </w:r>
      <w:r w:rsidRPr="000F3C80">
        <w:rPr>
          <w:sz w:val="28"/>
          <w:szCs w:val="28"/>
          <w:lang w:val="en-US"/>
        </w:rPr>
        <w:t xml:space="preserve"> </w:t>
      </w:r>
      <w:r w:rsidRPr="000F3C80">
        <w:rPr>
          <w:sz w:val="28"/>
          <w:szCs w:val="28"/>
        </w:rPr>
        <w:t>жастардың</w:t>
      </w:r>
      <w:r w:rsidRPr="000F3C80">
        <w:rPr>
          <w:sz w:val="28"/>
          <w:szCs w:val="28"/>
          <w:lang w:val="en-US"/>
        </w:rPr>
        <w:t xml:space="preserve"> </w:t>
      </w:r>
      <w:r w:rsidRPr="000F3C80">
        <w:rPr>
          <w:sz w:val="28"/>
          <w:szCs w:val="28"/>
        </w:rPr>
        <w:t>шығармашылығы</w:t>
      </w:r>
      <w:r w:rsidRPr="000F3C80">
        <w:rPr>
          <w:sz w:val="28"/>
          <w:szCs w:val="28"/>
          <w:lang w:val="en-US"/>
        </w:rPr>
        <w:t xml:space="preserve">: </w:t>
      </w:r>
      <w:r w:rsidRPr="000F3C80">
        <w:rPr>
          <w:sz w:val="28"/>
          <w:szCs w:val="28"/>
        </w:rPr>
        <w:t>студенттердің</w:t>
      </w:r>
      <w:r w:rsidRPr="000F3C80">
        <w:rPr>
          <w:sz w:val="28"/>
          <w:szCs w:val="28"/>
          <w:lang w:val="en-US"/>
        </w:rPr>
        <w:t xml:space="preserve">, </w:t>
      </w:r>
      <w:r w:rsidRPr="000F3C80">
        <w:rPr>
          <w:sz w:val="28"/>
          <w:szCs w:val="28"/>
        </w:rPr>
        <w:t>магистранттардың</w:t>
      </w:r>
      <w:r w:rsidRPr="000F3C80">
        <w:rPr>
          <w:sz w:val="28"/>
          <w:szCs w:val="28"/>
          <w:lang w:val="en-US"/>
        </w:rPr>
        <w:t xml:space="preserve"> </w:t>
      </w:r>
      <w:r w:rsidRPr="000F3C80">
        <w:rPr>
          <w:sz w:val="28"/>
          <w:szCs w:val="28"/>
        </w:rPr>
        <w:t>және</w:t>
      </w:r>
      <w:r w:rsidRPr="000F3C80">
        <w:rPr>
          <w:sz w:val="28"/>
          <w:szCs w:val="28"/>
          <w:lang w:val="en-US"/>
        </w:rPr>
        <w:t xml:space="preserve"> </w:t>
      </w:r>
      <w:r w:rsidRPr="000F3C80">
        <w:rPr>
          <w:sz w:val="28"/>
          <w:szCs w:val="28"/>
        </w:rPr>
        <w:t>жас</w:t>
      </w:r>
      <w:r w:rsidRPr="000F3C80">
        <w:rPr>
          <w:sz w:val="28"/>
          <w:szCs w:val="28"/>
          <w:lang w:val="en-US"/>
        </w:rPr>
        <w:t xml:space="preserve"> </w:t>
      </w:r>
      <w:r w:rsidRPr="000F3C80">
        <w:rPr>
          <w:sz w:val="28"/>
          <w:szCs w:val="28"/>
        </w:rPr>
        <w:t>ғалымдардың</w:t>
      </w:r>
      <w:r w:rsidRPr="000F3C80">
        <w:rPr>
          <w:sz w:val="28"/>
          <w:szCs w:val="28"/>
          <w:lang w:val="en-US"/>
        </w:rPr>
        <w:t xml:space="preserve"> </w:t>
      </w:r>
      <w:r w:rsidRPr="000F3C80">
        <w:rPr>
          <w:sz w:val="28"/>
          <w:szCs w:val="28"/>
        </w:rPr>
        <w:t>Х</w:t>
      </w:r>
      <w:r w:rsidRPr="000F3C80">
        <w:rPr>
          <w:sz w:val="28"/>
          <w:szCs w:val="28"/>
          <w:lang w:val="en-US"/>
        </w:rPr>
        <w:t xml:space="preserve"> </w:t>
      </w:r>
      <w:r w:rsidRPr="000F3C80">
        <w:rPr>
          <w:sz w:val="28"/>
          <w:szCs w:val="28"/>
        </w:rPr>
        <w:t>Халықаралық</w:t>
      </w:r>
      <w:r w:rsidRPr="000F3C80">
        <w:rPr>
          <w:sz w:val="28"/>
          <w:szCs w:val="28"/>
          <w:lang w:val="en-US"/>
        </w:rPr>
        <w:t xml:space="preserve"> </w:t>
      </w:r>
      <w:r w:rsidRPr="000F3C80">
        <w:rPr>
          <w:sz w:val="28"/>
          <w:szCs w:val="28"/>
        </w:rPr>
        <w:t>ғылыми</w:t>
      </w:r>
      <w:r w:rsidRPr="000F3C80">
        <w:rPr>
          <w:sz w:val="28"/>
          <w:szCs w:val="28"/>
          <w:lang w:val="en-US"/>
        </w:rPr>
        <w:t>-</w:t>
      </w:r>
      <w:r w:rsidRPr="000F3C80">
        <w:rPr>
          <w:sz w:val="28"/>
          <w:szCs w:val="28"/>
        </w:rPr>
        <w:t>техникалық</w:t>
      </w:r>
      <w:r w:rsidRPr="000F3C80">
        <w:rPr>
          <w:sz w:val="28"/>
          <w:szCs w:val="28"/>
          <w:lang w:val="en-US"/>
        </w:rPr>
        <w:t xml:space="preserve"> </w:t>
      </w:r>
      <w:r w:rsidRPr="000F3C80">
        <w:rPr>
          <w:sz w:val="28"/>
          <w:szCs w:val="28"/>
        </w:rPr>
        <w:t>конференция</w:t>
      </w:r>
      <w:r w:rsidRPr="000F3C80">
        <w:rPr>
          <w:sz w:val="28"/>
          <w:szCs w:val="28"/>
          <w:lang w:val="en-US"/>
        </w:rPr>
        <w:t xml:space="preserve"> </w:t>
      </w:r>
      <w:r w:rsidRPr="000F3C80">
        <w:rPr>
          <w:sz w:val="28"/>
          <w:szCs w:val="28"/>
        </w:rPr>
        <w:lastRenderedPageBreak/>
        <w:t>материалдары</w:t>
      </w:r>
      <w:r w:rsidRPr="000F3C80">
        <w:rPr>
          <w:sz w:val="28"/>
          <w:szCs w:val="28"/>
          <w:lang w:val="en-US"/>
        </w:rPr>
        <w:t xml:space="preserve">. – </w:t>
      </w:r>
      <w:r w:rsidRPr="000F3C80">
        <w:rPr>
          <w:sz w:val="28"/>
          <w:szCs w:val="28"/>
        </w:rPr>
        <w:t>Өскемен</w:t>
      </w:r>
      <w:r w:rsidRPr="000F3C80">
        <w:rPr>
          <w:sz w:val="28"/>
          <w:szCs w:val="28"/>
          <w:lang w:val="en-US"/>
        </w:rPr>
        <w:t xml:space="preserve">: </w:t>
      </w:r>
      <w:r w:rsidRPr="000F3C80">
        <w:rPr>
          <w:sz w:val="28"/>
          <w:szCs w:val="28"/>
        </w:rPr>
        <w:t>Д</w:t>
      </w:r>
      <w:r w:rsidRPr="000F3C80">
        <w:rPr>
          <w:sz w:val="28"/>
          <w:szCs w:val="28"/>
          <w:lang w:val="en-US"/>
        </w:rPr>
        <w:t xml:space="preserve">. </w:t>
      </w:r>
      <w:r w:rsidRPr="000F3C80">
        <w:rPr>
          <w:sz w:val="28"/>
          <w:szCs w:val="28"/>
        </w:rPr>
        <w:t>Серікбаев</w:t>
      </w:r>
      <w:r w:rsidRPr="000F3C80">
        <w:rPr>
          <w:sz w:val="28"/>
          <w:szCs w:val="28"/>
          <w:lang w:val="en-US"/>
        </w:rPr>
        <w:t xml:space="preserve"> </w:t>
      </w:r>
      <w:r w:rsidRPr="000F3C80">
        <w:rPr>
          <w:sz w:val="28"/>
          <w:szCs w:val="28"/>
        </w:rPr>
        <w:t>атындағы</w:t>
      </w:r>
      <w:r w:rsidRPr="000F3C80">
        <w:rPr>
          <w:sz w:val="28"/>
          <w:szCs w:val="28"/>
          <w:lang w:val="en-US"/>
        </w:rPr>
        <w:t xml:space="preserve"> </w:t>
      </w:r>
      <w:r w:rsidRPr="000F3C80">
        <w:rPr>
          <w:sz w:val="28"/>
          <w:szCs w:val="28"/>
        </w:rPr>
        <w:t>Шығыс</w:t>
      </w:r>
      <w:r w:rsidRPr="000F3C80">
        <w:rPr>
          <w:sz w:val="28"/>
          <w:szCs w:val="28"/>
          <w:lang w:val="en-US"/>
        </w:rPr>
        <w:t xml:space="preserve"> </w:t>
      </w:r>
      <w:r w:rsidRPr="000F3C80">
        <w:rPr>
          <w:sz w:val="28"/>
          <w:szCs w:val="28"/>
        </w:rPr>
        <w:t>Қазақстан</w:t>
      </w:r>
      <w:r w:rsidRPr="000F3C80">
        <w:rPr>
          <w:sz w:val="28"/>
          <w:szCs w:val="28"/>
          <w:lang w:val="en-US"/>
        </w:rPr>
        <w:t xml:space="preserve"> </w:t>
      </w:r>
      <w:r w:rsidRPr="000F3C80">
        <w:rPr>
          <w:sz w:val="28"/>
          <w:szCs w:val="28"/>
        </w:rPr>
        <w:t>техникалық</w:t>
      </w:r>
      <w:r w:rsidRPr="000F3C80">
        <w:rPr>
          <w:sz w:val="28"/>
          <w:szCs w:val="28"/>
          <w:lang w:val="en-US"/>
        </w:rPr>
        <w:t xml:space="preserve"> </w:t>
      </w:r>
      <w:r w:rsidRPr="000F3C80">
        <w:rPr>
          <w:sz w:val="28"/>
          <w:szCs w:val="28"/>
        </w:rPr>
        <w:t>университеті</w:t>
      </w:r>
      <w:r w:rsidRPr="000F3C80">
        <w:rPr>
          <w:sz w:val="28"/>
          <w:szCs w:val="28"/>
          <w:lang w:val="en-US"/>
        </w:rPr>
        <w:t xml:space="preserve">, 2024. – </w:t>
      </w:r>
      <w:r w:rsidR="00AE1FD1" w:rsidRPr="000F3C80">
        <w:rPr>
          <w:sz w:val="28"/>
          <w:szCs w:val="28"/>
          <w:lang w:val="kk-KZ"/>
        </w:rPr>
        <w:t>Б</w:t>
      </w:r>
      <w:r w:rsidRPr="000F3C80">
        <w:rPr>
          <w:sz w:val="28"/>
          <w:szCs w:val="28"/>
          <w:lang w:val="en-US"/>
        </w:rPr>
        <w:t>. 68</w:t>
      </w:r>
      <w:r w:rsidR="00FD5797" w:rsidRPr="000F3C80">
        <w:rPr>
          <w:sz w:val="28"/>
          <w:szCs w:val="28"/>
          <w:lang w:val="en-US"/>
        </w:rPr>
        <w:t>-</w:t>
      </w:r>
      <w:r w:rsidRPr="000F3C80">
        <w:rPr>
          <w:sz w:val="28"/>
          <w:szCs w:val="28"/>
          <w:lang w:val="en-US"/>
        </w:rPr>
        <w:t>72.</w:t>
      </w:r>
    </w:p>
    <w:p w14:paraId="445C6FA6" w14:textId="61300E94"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Xue Y. Exploring strategic adaptation paths of small and medium-sized enterprises in the context of digital transformation // Journal of Modern Business Economics. – 2025. – Vol. 2. – No. </w:t>
      </w:r>
      <w:r w:rsidR="00172932" w:rsidRPr="000F3C80">
        <w:rPr>
          <w:sz w:val="28"/>
          <w:szCs w:val="28"/>
          <w:lang w:val="en-US"/>
        </w:rPr>
        <w:t>3. – P. 1-16</w:t>
      </w:r>
    </w:p>
    <w:p w14:paraId="29341264" w14:textId="707BEDE3"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Fan X. Research on enterprise management data analysis based on artificial intelligence // Innovation Applications of Artificial Intelligence. – 2025. – Vol. 2. – No. 3. – P. 21</w:t>
      </w:r>
      <w:r w:rsidR="00FD5797" w:rsidRPr="000F3C80">
        <w:rPr>
          <w:sz w:val="28"/>
          <w:szCs w:val="28"/>
          <w:lang w:val="en-US"/>
        </w:rPr>
        <w:t>-</w:t>
      </w:r>
      <w:r w:rsidRPr="000F3C80">
        <w:rPr>
          <w:sz w:val="28"/>
          <w:szCs w:val="28"/>
          <w:lang w:val="en-US"/>
        </w:rPr>
        <w:t>32.</w:t>
      </w:r>
    </w:p>
    <w:p w14:paraId="4DB24D0F"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Alfarizi M., Noer L. R. Salutogenic integration of green practices and digital services in the Indonesian health-care sector: Modelling effects of perceived quality and sustainable brand image // International Journal of Pharmaceutical and Healthcare Marketing. – 2025.</w:t>
      </w:r>
    </w:p>
    <w:p w14:paraId="4C432445" w14:textId="1CE5D9EC"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Chen L., Xing M. Research on the contribution of digital trade in Shandong Province to inclusive green growth // Integrated Industry and Education Journal. – 2025. – Vol. 4. – No. 3. – P. 21</w:t>
      </w:r>
      <w:r w:rsidR="00FD5797" w:rsidRPr="000F3C80">
        <w:rPr>
          <w:sz w:val="28"/>
          <w:szCs w:val="28"/>
          <w:lang w:val="en-US"/>
        </w:rPr>
        <w:t>-</w:t>
      </w:r>
      <w:r w:rsidRPr="000F3C80">
        <w:rPr>
          <w:sz w:val="28"/>
          <w:szCs w:val="28"/>
          <w:lang w:val="en-US"/>
        </w:rPr>
        <w:t>32.</w:t>
      </w:r>
    </w:p>
    <w:p w14:paraId="46D35384" w14:textId="11DEF5CC"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Wang S. The impact of digital transformation on enterprises’ new quality productivity: The mediating effects of green technology innovation and supply chain efficiency // Advances in Economics, Management and Political Sciences. – 2025. – Vol. 214. – No. 1. – P. 165</w:t>
      </w:r>
      <w:r w:rsidR="00FD5797" w:rsidRPr="000F3C80">
        <w:rPr>
          <w:sz w:val="28"/>
          <w:szCs w:val="28"/>
          <w:lang w:val="en-US"/>
        </w:rPr>
        <w:t>-</w:t>
      </w:r>
      <w:r w:rsidRPr="000F3C80">
        <w:rPr>
          <w:sz w:val="28"/>
          <w:szCs w:val="28"/>
          <w:lang w:val="en-US"/>
        </w:rPr>
        <w:t>174.</w:t>
      </w:r>
    </w:p>
    <w:p w14:paraId="3437D0BC"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Havrylenko N. H. Methodology of assessing the innovative potential of industrial enterprises in the digital economy // Problems of Economy. – 2022. – Vol. 3. – No. 53. – P. 112–120.</w:t>
      </w:r>
    </w:p>
    <w:p w14:paraId="5C4F97B5" w14:textId="2FB5BFA1"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Hossain F. A multimodal big data and explainable AI framework for personalized cancer care: Extending methods for clinical translation // Journal of Medical and Health Studies. – 2025. – Vol. 6. – No. 4. – P. 104</w:t>
      </w:r>
      <w:r w:rsidR="00FD5797" w:rsidRPr="000F3C80">
        <w:rPr>
          <w:sz w:val="28"/>
          <w:szCs w:val="28"/>
          <w:lang w:val="en-US"/>
        </w:rPr>
        <w:t>-</w:t>
      </w:r>
      <w:r w:rsidRPr="000F3C80">
        <w:rPr>
          <w:sz w:val="28"/>
          <w:szCs w:val="28"/>
          <w:lang w:val="en-US"/>
        </w:rPr>
        <w:t>117.</w:t>
      </w:r>
    </w:p>
    <w:p w14:paraId="747BEBAB" w14:textId="3AEF60E5"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Archana G. Advanced machine learning and big data analytics for improved medical decision system accuracy // International Journal of Applied Mathematics. – 2025. – Vol. 38. – No. 4S. – P. 206</w:t>
      </w:r>
      <w:r w:rsidR="00FD5797" w:rsidRPr="000F3C80">
        <w:rPr>
          <w:sz w:val="28"/>
          <w:szCs w:val="28"/>
          <w:lang w:val="en-US"/>
        </w:rPr>
        <w:t>-</w:t>
      </w:r>
      <w:r w:rsidRPr="000F3C80">
        <w:rPr>
          <w:sz w:val="28"/>
          <w:szCs w:val="28"/>
          <w:lang w:val="en-US"/>
        </w:rPr>
        <w:t>227.</w:t>
      </w:r>
    </w:p>
    <w:p w14:paraId="510CF50F" w14:textId="4B0BE8BD"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Dzreke S. S. The symbiotic interplay between big data analytics (BDA) and artificial intelligence (AI) in the formulation and execution of sustainable competitive advantage: A multi-level analysis // Frontiers in Research. – 2025. – Vol. 4. – No. 1. – P. 35</w:t>
      </w:r>
      <w:r w:rsidR="00FD5797" w:rsidRPr="000F3C80">
        <w:rPr>
          <w:sz w:val="28"/>
          <w:szCs w:val="28"/>
          <w:lang w:val="en-US"/>
        </w:rPr>
        <w:t>-</w:t>
      </w:r>
      <w:r w:rsidRPr="000F3C80">
        <w:rPr>
          <w:sz w:val="28"/>
          <w:szCs w:val="28"/>
          <w:lang w:val="en-US"/>
        </w:rPr>
        <w:t>56.</w:t>
      </w:r>
    </w:p>
    <w:p w14:paraId="792216B0" w14:textId="6847B939"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rPr>
      </w:pPr>
      <w:r w:rsidRPr="000F3C80">
        <w:rPr>
          <w:sz w:val="28"/>
          <w:szCs w:val="28"/>
        </w:rPr>
        <w:t>Семина Л. А., Ковалева И. В., Кудинова М. Г., Горносталь Р. Г. Система сбалансированных показателей как инструмент повышения инвестиционной привлекательности при формировании инновационных проектов // Journal of</w:t>
      </w:r>
      <w:r w:rsidR="001906AF" w:rsidRPr="000F3C80">
        <w:rPr>
          <w:sz w:val="28"/>
          <w:szCs w:val="28"/>
        </w:rPr>
        <w:t xml:space="preserve"> Applied Research. – 2025. – </w:t>
      </w:r>
      <w:r w:rsidR="001906AF" w:rsidRPr="000F3C80">
        <w:rPr>
          <w:sz w:val="28"/>
          <w:szCs w:val="28"/>
          <w:lang w:val="kk-KZ"/>
        </w:rPr>
        <w:t>№</w:t>
      </w:r>
      <w:r w:rsidRPr="000F3C80">
        <w:rPr>
          <w:sz w:val="28"/>
          <w:szCs w:val="28"/>
        </w:rPr>
        <w:t xml:space="preserve">10. – </w:t>
      </w:r>
      <w:r w:rsidR="001906AF" w:rsidRPr="000F3C80">
        <w:rPr>
          <w:sz w:val="28"/>
          <w:szCs w:val="28"/>
          <w:lang w:val="kk-KZ"/>
        </w:rPr>
        <w:t>С</w:t>
      </w:r>
      <w:r w:rsidRPr="000F3C80">
        <w:rPr>
          <w:sz w:val="28"/>
          <w:szCs w:val="28"/>
        </w:rPr>
        <w:t>. 84</w:t>
      </w:r>
      <w:r w:rsidR="00FD5797" w:rsidRPr="000F3C80">
        <w:rPr>
          <w:sz w:val="28"/>
          <w:szCs w:val="28"/>
        </w:rPr>
        <w:t>-</w:t>
      </w:r>
      <w:r w:rsidRPr="000F3C80">
        <w:rPr>
          <w:sz w:val="28"/>
          <w:szCs w:val="28"/>
        </w:rPr>
        <w:t>89.</w:t>
      </w:r>
    </w:p>
    <w:p w14:paraId="2BCD60C4" w14:textId="7C1D9F3F"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Susanto F., Wibowo S. G. The influence of innovation capability, digital transformation, and supply chain integration on competitive advantage in the automotive industry in Indonesia // International Journal of Business Law and Education. – 2025. – Vol. 6. – No. 2. – P. 1318</w:t>
      </w:r>
      <w:r w:rsidR="00FD5797" w:rsidRPr="000F3C80">
        <w:rPr>
          <w:sz w:val="28"/>
          <w:szCs w:val="28"/>
          <w:lang w:val="en-US"/>
        </w:rPr>
        <w:t>-</w:t>
      </w:r>
      <w:r w:rsidRPr="000F3C80">
        <w:rPr>
          <w:sz w:val="28"/>
          <w:szCs w:val="28"/>
          <w:lang w:val="en-US"/>
        </w:rPr>
        <w:t>1334.</w:t>
      </w:r>
    </w:p>
    <w:p w14:paraId="0105F861" w14:textId="25AEF2F4"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Liu Y. Audit innovation, opportunities, and challenges in the era of big data // Frontiers in Business, Economics and Management. – 2025. – Vol. 20. – No. 3. – P. 15</w:t>
      </w:r>
      <w:r w:rsidR="00FD5797" w:rsidRPr="000F3C80">
        <w:rPr>
          <w:sz w:val="28"/>
          <w:szCs w:val="28"/>
          <w:lang w:val="en-US"/>
        </w:rPr>
        <w:t>-</w:t>
      </w:r>
      <w:r w:rsidRPr="000F3C80">
        <w:rPr>
          <w:sz w:val="28"/>
          <w:szCs w:val="28"/>
          <w:lang w:val="en-US"/>
        </w:rPr>
        <w:t>19.</w:t>
      </w:r>
    </w:p>
    <w:p w14:paraId="5D16450D"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lastRenderedPageBreak/>
        <w:t>Luo X., Wang L. Can digital transformation policy drive digital innovation of Chinese enterprises: Based on the quasi-natural experiment of big data comprehensive pilot zones // Chinese Management Studies. – 2025.</w:t>
      </w:r>
    </w:p>
    <w:p w14:paraId="3A63FD2F"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Zhang Y., Khaskheli M. B. The role of digital technologies in advancing sustainable economic development into intersections of policy, law, environmental economics, and a comparative study of China, the EU, and the USA // Sustainability. – 2025. – Vol. 17. – No. 19. – P. 8666.</w:t>
      </w:r>
    </w:p>
    <w:p w14:paraId="28F4C3E0"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Huy Nhuong B., Minh Ngoc N. Connecting knowledge creation, management, and transfer organizations into the innovation startup ecosystem: Models and policies // VNU Journal of Science: Policy and Management Studies. – 2025. – Vol. 41. – No. 3.</w:t>
      </w:r>
    </w:p>
    <w:p w14:paraId="510B2D02" w14:textId="2520E67C"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rPr>
      </w:pPr>
      <w:r w:rsidRPr="000F3C80">
        <w:rPr>
          <w:sz w:val="28"/>
          <w:szCs w:val="28"/>
        </w:rPr>
        <w:t>Мухачёва А. В. Система категорий цифровой экономики: эволюция подходов // Управленческие науки. – 2025. – Т. 15. – № 3. – С. 49</w:t>
      </w:r>
      <w:r w:rsidR="00FD5797" w:rsidRPr="000F3C80">
        <w:rPr>
          <w:sz w:val="28"/>
          <w:szCs w:val="28"/>
        </w:rPr>
        <w:t>-</w:t>
      </w:r>
      <w:r w:rsidRPr="000F3C80">
        <w:rPr>
          <w:sz w:val="28"/>
          <w:szCs w:val="28"/>
        </w:rPr>
        <w:t>68.</w:t>
      </w:r>
    </w:p>
    <w:p w14:paraId="34CA8E41" w14:textId="01A71875"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Kurmanov N. Medium and high-tech enterprises of Kazakhstan: Factors of organization and development of innovation // Montenegrin Journal of Economics. – 2022. – Vol. 18. – No. 3. – P. 7</w:t>
      </w:r>
      <w:r w:rsidR="00FD5797" w:rsidRPr="000F3C80">
        <w:rPr>
          <w:sz w:val="28"/>
          <w:szCs w:val="28"/>
          <w:lang w:val="en-US"/>
        </w:rPr>
        <w:t>-</w:t>
      </w:r>
      <w:r w:rsidRPr="000F3C80">
        <w:rPr>
          <w:sz w:val="28"/>
          <w:szCs w:val="28"/>
          <w:lang w:val="en-US"/>
        </w:rPr>
        <w:t>22.</w:t>
      </w:r>
    </w:p>
    <w:p w14:paraId="59C01600" w14:textId="220BE3A0"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Denissova O., Suieubayeva S., Zakimova A., Mashekenova A., Thinakaran R., Roseley R. Factors determining the development of engineering education in the labor market and the real sector of the economy of the East Kazakhstan Region // Journal of Mechanical Engineering. – 2025. – Vol. 22. – No. 3. – P. 95</w:t>
      </w:r>
      <w:r w:rsidR="00FD5797" w:rsidRPr="000F3C80">
        <w:rPr>
          <w:sz w:val="28"/>
          <w:szCs w:val="28"/>
          <w:lang w:val="en-US"/>
        </w:rPr>
        <w:t>-</w:t>
      </w:r>
      <w:r w:rsidRPr="000F3C80">
        <w:rPr>
          <w:sz w:val="28"/>
          <w:szCs w:val="28"/>
          <w:lang w:val="en-US"/>
        </w:rPr>
        <w:t>110.</w:t>
      </w:r>
    </w:p>
    <w:p w14:paraId="3918D54B" w14:textId="5DB11B44"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Abaidilda A., Turmakhanbetova Sh., Pranevich A. Contemporary issues in enhancing the innovation capability of universities in Kazakhstan // Economic Series of the Bulletin of L. N. Gumilyov Eurasian National University. – 2025. – No. 3. – P. 179</w:t>
      </w:r>
      <w:r w:rsidR="00FD5797" w:rsidRPr="000F3C80">
        <w:rPr>
          <w:sz w:val="28"/>
          <w:szCs w:val="28"/>
          <w:lang w:val="en-US"/>
        </w:rPr>
        <w:t>-</w:t>
      </w:r>
      <w:r w:rsidRPr="000F3C80">
        <w:rPr>
          <w:sz w:val="28"/>
          <w:szCs w:val="28"/>
          <w:lang w:val="en-US"/>
        </w:rPr>
        <w:t>189.</w:t>
      </w:r>
    </w:p>
    <w:p w14:paraId="08BB692E" w14:textId="5959F3E0"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Kasimova L. Improving financing of investment projects in the real sector of the economy // International Journal of Scientific Research Archive. – 2025. – Vol. 16. – No. 3. – P. 1089</w:t>
      </w:r>
      <w:r w:rsidR="00FD5797" w:rsidRPr="000F3C80">
        <w:rPr>
          <w:sz w:val="28"/>
          <w:szCs w:val="28"/>
          <w:lang w:val="en-US"/>
        </w:rPr>
        <w:t>-</w:t>
      </w:r>
      <w:r w:rsidRPr="000F3C80">
        <w:rPr>
          <w:sz w:val="28"/>
          <w:szCs w:val="28"/>
          <w:lang w:val="en-US"/>
        </w:rPr>
        <w:t>1095.</w:t>
      </w:r>
    </w:p>
    <w:p w14:paraId="18BEAF67" w14:textId="340768E3"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Yerdavletova F., Zhunissova G., Zhadigerova O. Zh. The impact of the digital economy on management processes // Central Asian Economic Review. – 2023. – No. 6. – P. 152</w:t>
      </w:r>
      <w:r w:rsidR="00FD5797" w:rsidRPr="000F3C80">
        <w:rPr>
          <w:sz w:val="28"/>
          <w:szCs w:val="28"/>
          <w:lang w:val="en-US"/>
        </w:rPr>
        <w:t>-</w:t>
      </w:r>
      <w:r w:rsidRPr="000F3C80">
        <w:rPr>
          <w:sz w:val="28"/>
          <w:szCs w:val="28"/>
          <w:lang w:val="en-US"/>
        </w:rPr>
        <w:t>163.</w:t>
      </w:r>
    </w:p>
    <w:p w14:paraId="665BC3E7" w14:textId="7A93AB9E"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Irwin J. G., Hoffman J. J., Lamont B. T. The effect of the acquisition of technological innovations on organizational performance: A resource-based view // Journal of Engineering and Technology Management. – 1998. – Vol. 15. – No. 1. – P. 25</w:t>
      </w:r>
      <w:r w:rsidR="00FD5797" w:rsidRPr="000F3C80">
        <w:rPr>
          <w:sz w:val="28"/>
          <w:szCs w:val="28"/>
          <w:lang w:val="en-US"/>
        </w:rPr>
        <w:t>-</w:t>
      </w:r>
      <w:r w:rsidRPr="000F3C80">
        <w:rPr>
          <w:sz w:val="28"/>
          <w:szCs w:val="28"/>
          <w:lang w:val="en-US"/>
        </w:rPr>
        <w:t>54.</w:t>
      </w:r>
    </w:p>
    <w:p w14:paraId="69776BAD" w14:textId="09C0095E"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Tarafdar M., Gordon S. R. Understanding the influence of information systems competencies on process innovation: A resource-based view // Journal of Strategic Information Systems. – 2007. – Vol. 16. – No. 4. – P. 353</w:t>
      </w:r>
      <w:r w:rsidR="00FD5797" w:rsidRPr="000F3C80">
        <w:rPr>
          <w:sz w:val="28"/>
          <w:szCs w:val="28"/>
          <w:lang w:val="en-US"/>
        </w:rPr>
        <w:t>-</w:t>
      </w:r>
      <w:r w:rsidRPr="000F3C80">
        <w:rPr>
          <w:sz w:val="28"/>
          <w:szCs w:val="28"/>
          <w:lang w:val="en-US"/>
        </w:rPr>
        <w:t>392.</w:t>
      </w:r>
    </w:p>
    <w:p w14:paraId="256AC83B" w14:textId="52CDB8F2"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Song H., Lu Y., Yang Z. Digital transformation of enterprises and accounting information quality: A resource dependence theory perspective // Emerging Markets Finance and Trade. – 2025. – P. 1</w:t>
      </w:r>
      <w:r w:rsidR="00FD5797" w:rsidRPr="000F3C80">
        <w:rPr>
          <w:sz w:val="28"/>
          <w:szCs w:val="28"/>
          <w:lang w:val="en-US"/>
        </w:rPr>
        <w:t>-</w:t>
      </w:r>
      <w:r w:rsidRPr="000F3C80">
        <w:rPr>
          <w:sz w:val="28"/>
          <w:szCs w:val="28"/>
          <w:lang w:val="en-US"/>
        </w:rPr>
        <w:t>17.</w:t>
      </w:r>
    </w:p>
    <w:p w14:paraId="0C9046FE"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Chege S. M., Wang D. The influence of technology innovation on SME performance through environmental sustainability practices in Kenya // Technology in Society. – 2020. – Vol. 60. – P. 101210.</w:t>
      </w:r>
    </w:p>
    <w:p w14:paraId="160043A9"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lastRenderedPageBreak/>
        <w:t>Pandey M., et al. Strategic integration of innovation management practices within complex organizations: Emerging models and conceptual insights // Management of Montenegro. – 2025. – Vol. 3. – P. 168.</w:t>
      </w:r>
    </w:p>
    <w:p w14:paraId="23306584" w14:textId="1B7228FA"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Jimenez-Socua J. D., Antonio-Vidaña P. R., Gómez-Sánchez J., Pérez Hérnandez I. Variables that influence the process of linking higher education institutions and industry // Journal of Systems in Education Management. – 2025.</w:t>
      </w:r>
      <w:r w:rsidR="00FD5797" w:rsidRPr="000F3C80">
        <w:rPr>
          <w:sz w:val="28"/>
          <w:szCs w:val="28"/>
          <w:lang w:val="en-US"/>
        </w:rPr>
        <w:t xml:space="preserve"> – Vol. 12. – No. 29. – P. 1-7.</w:t>
      </w:r>
    </w:p>
    <w:p w14:paraId="12B3387F" w14:textId="44EC6648"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Smagulova G., Goncalves M. Fostering innovation through venture capital in Kazakhstan // Journal of International Business Management. – 2024. – Vol. 7. – No. 11. – P. 1</w:t>
      </w:r>
      <w:r w:rsidR="00FD5797" w:rsidRPr="000F3C80">
        <w:rPr>
          <w:sz w:val="28"/>
          <w:szCs w:val="28"/>
          <w:lang w:val="en-US"/>
        </w:rPr>
        <w:t>-</w:t>
      </w:r>
      <w:r w:rsidRPr="000F3C80">
        <w:rPr>
          <w:sz w:val="28"/>
          <w:szCs w:val="28"/>
          <w:lang w:val="en-US"/>
        </w:rPr>
        <w:t>27.</w:t>
      </w:r>
    </w:p>
    <w:p w14:paraId="008B14D1" w14:textId="3429B85D"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MPDV Mikrolab GmbH. Products – MPDV Europe [Electronic resource]. – Available at: </w:t>
      </w:r>
      <w:hyperlink r:id="rId37" w:history="1">
        <w:r w:rsidR="00AE1FD1" w:rsidRPr="000F3C80">
          <w:rPr>
            <w:rStyle w:val="af0"/>
            <w:color w:val="auto"/>
            <w:sz w:val="28"/>
            <w:szCs w:val="28"/>
            <w:u w:val="none"/>
            <w:lang w:val="en-US"/>
          </w:rPr>
          <w:t>https://www.mpdv.com/en/products</w:t>
        </w:r>
      </w:hyperlink>
      <w:r w:rsidR="00AE1FD1" w:rsidRPr="000F3C80">
        <w:rPr>
          <w:sz w:val="28"/>
          <w:szCs w:val="28"/>
          <w:lang w:val="kk-KZ"/>
        </w:rPr>
        <w:t xml:space="preserve"> </w:t>
      </w:r>
    </w:p>
    <w:p w14:paraId="72AA3DA3"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Singapore Government Agency. The Smart Nation [Electronic resource]. – Available at: </w:t>
      </w:r>
      <w:hyperlink r:id="rId38" w:tgtFrame="_new" w:history="1">
        <w:r w:rsidRPr="000F3C80">
          <w:rPr>
            <w:rStyle w:val="af0"/>
            <w:color w:val="auto"/>
            <w:sz w:val="28"/>
            <w:szCs w:val="28"/>
            <w:u w:val="none"/>
            <w:lang w:val="en-US"/>
          </w:rPr>
          <w:t>https://www.smartnation.gov.sg/about/our-vision/smart-nation-vision/</w:t>
        </w:r>
      </w:hyperlink>
    </w:p>
    <w:p w14:paraId="080B7A66" w14:textId="2850185A"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rPr>
      </w:pPr>
      <w:r w:rsidRPr="000F3C80">
        <w:rPr>
          <w:sz w:val="28"/>
          <w:szCs w:val="28"/>
        </w:rPr>
        <w:t>Гамидуллаева Л. А., Страхов Е. П. Эволюция концепции кластерного развития: от агломерационной теории к экосистемам // МИР (Модернизация. Инновации. Развитие). – 2023. – Т. 14. – № 1. – С. 106</w:t>
      </w:r>
      <w:r w:rsidR="00FD5797" w:rsidRPr="000F3C80">
        <w:rPr>
          <w:sz w:val="28"/>
          <w:szCs w:val="28"/>
        </w:rPr>
        <w:t>-</w:t>
      </w:r>
      <w:r w:rsidRPr="000F3C80">
        <w:rPr>
          <w:sz w:val="28"/>
          <w:szCs w:val="28"/>
        </w:rPr>
        <w:t>125.</w:t>
      </w:r>
    </w:p>
    <w:p w14:paraId="3B635486" w14:textId="5BD3A15C"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Shaban K., Karbovska L., Zhelezniak K. Use of foresight technologies and roadmaps in strategic management of marketing innovation activities of enterprises // State Regulation. Series: Economics and Business. – 2025. – Vol. 2. – No. 136. – P. 96</w:t>
      </w:r>
      <w:r w:rsidR="00FD5797" w:rsidRPr="000F3C80">
        <w:rPr>
          <w:sz w:val="28"/>
          <w:szCs w:val="28"/>
        </w:rPr>
        <w:t>-</w:t>
      </w:r>
      <w:r w:rsidRPr="000F3C80">
        <w:rPr>
          <w:sz w:val="28"/>
          <w:szCs w:val="28"/>
          <w:lang w:val="en-US"/>
        </w:rPr>
        <w:t>103.</w:t>
      </w:r>
    </w:p>
    <w:p w14:paraId="6CAE7EBB" w14:textId="7D5F50FC"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Beraha I. A., Đuričin S. O. The effects of innovation policy on science-to-business collaboration: The case of Serbia // Research Anthology on Business Law, Policy, and Social Responsibility / Ed. by IGI Global. – Hershey, PA: IGI Global, 2023. – P. 1608</w:t>
      </w:r>
      <w:r w:rsidR="00FD5797" w:rsidRPr="000F3C80">
        <w:rPr>
          <w:sz w:val="28"/>
          <w:szCs w:val="28"/>
          <w:lang w:val="en-US"/>
        </w:rPr>
        <w:t>-</w:t>
      </w:r>
      <w:r w:rsidRPr="000F3C80">
        <w:rPr>
          <w:sz w:val="28"/>
          <w:szCs w:val="28"/>
          <w:lang w:val="en-US"/>
        </w:rPr>
        <w:t>1628.</w:t>
      </w:r>
    </w:p>
    <w:p w14:paraId="7D40B4E8" w14:textId="2D1ADB45"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Meissner D., Gokhberg L., Sokolov A. The meaning of foresight for science, technology and innovation policy // Science, Technology and Innovation Policy for the Future / Ed. by D. Meissner, L. Gokhberg, A. Sokolov. – Berlin; Heidelberg: Springer, 2013. – P. 1</w:t>
      </w:r>
      <w:r w:rsidR="00FD5797" w:rsidRPr="000F3C80">
        <w:rPr>
          <w:sz w:val="28"/>
          <w:szCs w:val="28"/>
          <w:lang w:val="en-US"/>
        </w:rPr>
        <w:t>-</w:t>
      </w:r>
      <w:r w:rsidRPr="000F3C80">
        <w:rPr>
          <w:sz w:val="28"/>
          <w:szCs w:val="28"/>
          <w:lang w:val="en-US"/>
        </w:rPr>
        <w:t>7.</w:t>
      </w:r>
    </w:p>
    <w:p w14:paraId="3669148E" w14:textId="5D5B67C9"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Berezniak N. V., Shabranska N. I. New trends in the development of scientific, technological and innovation policies of the world countries: the OECD vision // Science, Technology and Innovation. – 2020. – No. 3(15). – P. 25</w:t>
      </w:r>
      <w:r w:rsidR="00FD5797" w:rsidRPr="000F3C80">
        <w:rPr>
          <w:sz w:val="28"/>
          <w:szCs w:val="28"/>
          <w:lang w:val="en-US"/>
        </w:rPr>
        <w:t>-</w:t>
      </w:r>
      <w:r w:rsidRPr="000F3C80">
        <w:rPr>
          <w:sz w:val="28"/>
          <w:szCs w:val="28"/>
          <w:lang w:val="en-US"/>
        </w:rPr>
        <w:t>32.</w:t>
      </w:r>
    </w:p>
    <w:p w14:paraId="78465131" w14:textId="5B44020B"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Nikolaeva I., Struchkova T., Ivanov N., Tsynzak M. Development of infrastructure to support the national technological initiative: the case of the Russian Federation // European Project Management Journal. – 2023. – Vol. 13. – No. 1. – P. 50</w:t>
      </w:r>
      <w:r w:rsidR="00FD5797" w:rsidRPr="000F3C80">
        <w:rPr>
          <w:sz w:val="28"/>
          <w:szCs w:val="28"/>
          <w:lang w:val="en-US"/>
        </w:rPr>
        <w:t>-</w:t>
      </w:r>
      <w:r w:rsidRPr="000F3C80">
        <w:rPr>
          <w:sz w:val="28"/>
          <w:szCs w:val="28"/>
          <w:lang w:val="en-US"/>
        </w:rPr>
        <w:t>60.</w:t>
      </w:r>
    </w:p>
    <w:p w14:paraId="3CA5BB30" w14:textId="3C7F2CCD"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rPr>
      </w:pPr>
      <w:r w:rsidRPr="000F3C80">
        <w:rPr>
          <w:sz w:val="28"/>
          <w:szCs w:val="28"/>
        </w:rPr>
        <w:t>Цзян Ц., Фролова Е. Д., Фролов А. А. Участие институтов развития в технологизации экономики Китая и России: компаративный анализ // Экономика региона. – 2025. – Т. 21. – № 3. – С. 741</w:t>
      </w:r>
      <w:r w:rsidR="00FD5797" w:rsidRPr="000F3C80">
        <w:rPr>
          <w:sz w:val="28"/>
          <w:szCs w:val="28"/>
        </w:rPr>
        <w:t>-</w:t>
      </w:r>
      <w:r w:rsidRPr="000F3C80">
        <w:rPr>
          <w:sz w:val="28"/>
          <w:szCs w:val="28"/>
        </w:rPr>
        <w:t>757.</w:t>
      </w:r>
    </w:p>
    <w:p w14:paraId="3D0AF9FA" w14:textId="11A26509"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Dubinina E. V., Zhilina E. V., Musina G. A., Nikitina A. A., Sabirova Z. Z. Cluster as a form of interaction between government, business, and science // Challenges of the Modern Economy / Ed. by Y. G. Buchaev, A. S. Abdulkadyrov, J. V. Ragulina, A. A. Khachaturyan, E. G. Popkova. – Cham: Springer International Publishing, 2023. – P. 271</w:t>
      </w:r>
      <w:r w:rsidR="00FD5797" w:rsidRPr="000F3C80">
        <w:rPr>
          <w:sz w:val="28"/>
          <w:szCs w:val="28"/>
          <w:lang w:val="en-US"/>
        </w:rPr>
        <w:t>-</w:t>
      </w:r>
      <w:r w:rsidRPr="000F3C80">
        <w:rPr>
          <w:sz w:val="28"/>
          <w:szCs w:val="28"/>
          <w:lang w:val="en-US"/>
        </w:rPr>
        <w:t>274.</w:t>
      </w:r>
    </w:p>
    <w:p w14:paraId="6924C7FB"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lastRenderedPageBreak/>
        <w:t xml:space="preserve">Business Finland [Electronic resource]. – Available at: </w:t>
      </w:r>
      <w:hyperlink r:id="rId39" w:tgtFrame="_new" w:history="1">
        <w:r w:rsidRPr="000F3C80">
          <w:rPr>
            <w:rStyle w:val="af0"/>
            <w:color w:val="auto"/>
            <w:sz w:val="28"/>
            <w:szCs w:val="28"/>
            <w:u w:val="none"/>
            <w:lang w:val="en-US"/>
          </w:rPr>
          <w:t>https://www.businessfinland.fi/en</w:t>
        </w:r>
      </w:hyperlink>
    </w:p>
    <w:p w14:paraId="4318D20F"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Scandicorp. Innovation and R&amp;D incentives in Finland [Electronic resource]. – Available at: </w:t>
      </w:r>
      <w:hyperlink r:id="rId40" w:tgtFrame="_new" w:history="1">
        <w:r w:rsidRPr="000F3C80">
          <w:rPr>
            <w:rStyle w:val="af0"/>
            <w:color w:val="auto"/>
            <w:sz w:val="28"/>
            <w:szCs w:val="28"/>
            <w:u w:val="none"/>
            <w:lang w:val="en-US"/>
          </w:rPr>
          <w:t>https://scandicorp.com/innovation-and-rd-incentives-in-finland</w:t>
        </w:r>
      </w:hyperlink>
    </w:p>
    <w:p w14:paraId="2A3F562D"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Defense Advanced Research Projects Agency. SBIR &amp; STTR programs overview [Electronic resource]. – Available at: </w:t>
      </w:r>
      <w:hyperlink r:id="rId41" w:tgtFrame="_new" w:history="1">
        <w:r w:rsidRPr="000F3C80">
          <w:rPr>
            <w:rStyle w:val="af0"/>
            <w:color w:val="auto"/>
            <w:sz w:val="28"/>
            <w:szCs w:val="28"/>
            <w:u w:val="none"/>
            <w:lang w:val="en-US"/>
          </w:rPr>
          <w:t>https://www.darpa.mil/work-with-us/communities/small-business/sbir-sttr-overview</w:t>
        </w:r>
      </w:hyperlink>
    </w:p>
    <w:p w14:paraId="5AD9D62F"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The White House. National innovation pathway of the United States. – 2024 [Electronic resource]. – Available at: </w:t>
      </w:r>
      <w:hyperlink r:id="rId42" w:tgtFrame="_new" w:history="1">
        <w:r w:rsidRPr="000F3C80">
          <w:rPr>
            <w:rStyle w:val="af0"/>
            <w:color w:val="auto"/>
            <w:sz w:val="28"/>
            <w:szCs w:val="28"/>
            <w:u w:val="none"/>
            <w:lang w:val="en-US"/>
          </w:rPr>
          <w:t>https://bidenwhitehouse.archives.gov/wp-content/uploads/2024/10/National_Innovation_Pathway_of_the_United_States_2024_final.pdf</w:t>
        </w:r>
      </w:hyperlink>
    </w:p>
    <w:p w14:paraId="71FAC11B"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Government of Japan. Council for Science, Technology and Innovation. Society 5.0: Toward a super-smart society [Electronic resource]. – Available at: </w:t>
      </w:r>
      <w:hyperlink r:id="rId43" w:tgtFrame="_new" w:history="1">
        <w:r w:rsidRPr="000F3C80">
          <w:rPr>
            <w:rStyle w:val="af0"/>
            <w:color w:val="auto"/>
            <w:sz w:val="28"/>
            <w:szCs w:val="28"/>
            <w:u w:val="none"/>
            <w:lang w:val="en-US"/>
          </w:rPr>
          <w:t>https://www8.cao.go.jp/cstp/english/society5_0/index.html</w:t>
        </w:r>
      </w:hyperlink>
    </w:p>
    <w:p w14:paraId="3BCF2890"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Ministry of Economy, Trade and Industry (Japan). Connected Industries – Japan’s initiative for “Society 5.0” [Electronic resource]. – Available at: </w:t>
      </w:r>
      <w:hyperlink r:id="rId44" w:tgtFrame="_new" w:history="1">
        <w:r w:rsidRPr="000F3C80">
          <w:rPr>
            <w:rStyle w:val="af0"/>
            <w:color w:val="auto"/>
            <w:sz w:val="28"/>
            <w:szCs w:val="28"/>
            <w:u w:val="none"/>
            <w:lang w:val="en-US"/>
          </w:rPr>
          <w:t>https://www.meti.go.jp/english/policy/mono_info_service/connected_industries/index.html</w:t>
        </w:r>
      </w:hyperlink>
    </w:p>
    <w:p w14:paraId="1553EA9E"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Council for Science, Technology and Innovation, Cabinet Office, Government of Japan. About CSTI – Science, Technology and Innovation Basic Plan [Electronic resource]. – Available at: </w:t>
      </w:r>
      <w:hyperlink r:id="rId45" w:tgtFrame="_new" w:history="1">
        <w:r w:rsidRPr="000F3C80">
          <w:rPr>
            <w:rStyle w:val="af0"/>
            <w:color w:val="auto"/>
            <w:sz w:val="28"/>
            <w:szCs w:val="28"/>
            <w:u w:val="none"/>
            <w:lang w:val="en-US"/>
          </w:rPr>
          <w:t>https://www8.cao.go.jp/cstp/english/index.html</w:t>
        </w:r>
      </w:hyperlink>
    </w:p>
    <w:p w14:paraId="4F5C5BC1"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National IT Industry Promotion Agency. About NIPA. – 2023 [Electronic resource]. – Available at: </w:t>
      </w:r>
      <w:hyperlink r:id="rId46" w:tgtFrame="_new" w:history="1">
        <w:r w:rsidRPr="000F3C80">
          <w:rPr>
            <w:rStyle w:val="af0"/>
            <w:color w:val="auto"/>
            <w:sz w:val="28"/>
            <w:szCs w:val="28"/>
            <w:u w:val="none"/>
            <w:lang w:val="en-US"/>
          </w:rPr>
          <w:t>https://www.nipa.kr/eng/1-1</w:t>
        </w:r>
      </w:hyperlink>
    </w:p>
    <w:p w14:paraId="2538E956"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Ministry of Science and ICT (Republic of Korea). Ministry of Science and ICT – Official website [Electronic resource]. – Available at: </w:t>
      </w:r>
      <w:hyperlink r:id="rId47" w:tgtFrame="_new" w:history="1">
        <w:r w:rsidRPr="000F3C80">
          <w:rPr>
            <w:rStyle w:val="af0"/>
            <w:color w:val="auto"/>
            <w:sz w:val="28"/>
            <w:szCs w:val="28"/>
            <w:u w:val="none"/>
            <w:lang w:val="en-US"/>
          </w:rPr>
          <w:t>https://www.msit.go.kr/eng/index.do</w:t>
        </w:r>
      </w:hyperlink>
    </w:p>
    <w:p w14:paraId="135C4324"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State Council of the People’s Republic of China. Notice of the State Council on the publication of “Made in China 2025”. – 2015 [Electronic resource]. – Available at: </w:t>
      </w:r>
      <w:hyperlink r:id="rId48" w:tgtFrame="_new" w:history="1">
        <w:r w:rsidRPr="000F3C80">
          <w:rPr>
            <w:rStyle w:val="af0"/>
            <w:color w:val="auto"/>
            <w:sz w:val="28"/>
            <w:szCs w:val="28"/>
            <w:u w:val="none"/>
            <w:lang w:val="en-US"/>
          </w:rPr>
          <w:t>https://cset.georgetown.edu/wp-content/uploads/t0432_made_in_china_2025_EN.pdf</w:t>
        </w:r>
      </w:hyperlink>
    </w:p>
    <w:p w14:paraId="558866B6"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Government of India. Ministry of Electronics and Information Technology. Digital India – Transforming India into a digitally empowered society and knowledge economy [Electronic resource]. – Available at: </w:t>
      </w:r>
      <w:hyperlink r:id="rId49" w:tgtFrame="_new" w:history="1">
        <w:r w:rsidRPr="000F3C80">
          <w:rPr>
            <w:rStyle w:val="af0"/>
            <w:color w:val="auto"/>
            <w:sz w:val="28"/>
            <w:szCs w:val="28"/>
            <w:u w:val="none"/>
            <w:lang w:val="en-US"/>
          </w:rPr>
          <w:t>https://www.digitalindia.gov.in/</w:t>
        </w:r>
      </w:hyperlink>
    </w:p>
    <w:p w14:paraId="6CD93B84"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Government of Malaysia; MyDIGITAL Corporation. MyDIGITAL – Malaysia Digital Economy Blueprint [Electronic resource]. – Available at: </w:t>
      </w:r>
      <w:hyperlink r:id="rId50" w:tgtFrame="_new" w:history="1">
        <w:r w:rsidRPr="000F3C80">
          <w:rPr>
            <w:rStyle w:val="af0"/>
            <w:color w:val="auto"/>
            <w:sz w:val="28"/>
            <w:szCs w:val="28"/>
            <w:u w:val="none"/>
            <w:lang w:val="en-US"/>
          </w:rPr>
          <w:t>https://www.mydigital.gov.my/</w:t>
        </w:r>
      </w:hyperlink>
    </w:p>
    <w:p w14:paraId="64CD2A44"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Government of Malaysia. Economic Planning Unit. Malaysia Digital Economy Blueprint (MyDIGITAL). – 2021 [Electronic resource]. – Available at: </w:t>
      </w:r>
      <w:hyperlink r:id="rId51" w:tgtFrame="_new" w:history="1">
        <w:r w:rsidRPr="000F3C80">
          <w:rPr>
            <w:rStyle w:val="af0"/>
            <w:color w:val="auto"/>
            <w:sz w:val="28"/>
            <w:szCs w:val="28"/>
            <w:u w:val="none"/>
            <w:lang w:val="en-US"/>
          </w:rPr>
          <w:t>https://ekonomi.gov.my/sites/default/files/2021-02/malaysia-digital-economy-blueprint.pdf</w:t>
        </w:r>
      </w:hyperlink>
    </w:p>
    <w:p w14:paraId="2DDB6186"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National Centre for Research and Development (NCBR). National Centre for Research and Development – Official website [Electronic resource]. – Available at: </w:t>
      </w:r>
      <w:hyperlink r:id="rId52" w:tgtFrame="_new" w:history="1">
        <w:r w:rsidRPr="000F3C80">
          <w:rPr>
            <w:rStyle w:val="af0"/>
            <w:color w:val="auto"/>
            <w:sz w:val="28"/>
            <w:szCs w:val="28"/>
            <w:u w:val="none"/>
            <w:lang w:val="en-US"/>
          </w:rPr>
          <w:t>https://www.gov.pl/web/ncbr-en</w:t>
        </w:r>
      </w:hyperlink>
    </w:p>
    <w:p w14:paraId="54391DF5"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lastRenderedPageBreak/>
        <w:t xml:space="preserve">Ministry of Industry and Trade of the Czech Republic. National Research and Innovation Strategy for Smart Specialisation of the Czech Republic 2021–2027 [Electronic resource]. – Available at: </w:t>
      </w:r>
      <w:hyperlink r:id="rId53" w:tgtFrame="_new" w:history="1">
        <w:r w:rsidRPr="000F3C80">
          <w:rPr>
            <w:rStyle w:val="af0"/>
            <w:color w:val="auto"/>
            <w:sz w:val="28"/>
            <w:szCs w:val="28"/>
            <w:u w:val="none"/>
            <w:lang w:val="en-US"/>
          </w:rPr>
          <w:t>https://ris3.gov.cz/en/about-ris3/national-dimension/national-research-and-innovation-strategy-for-smart-specialisation-of-the-czech-republic-2021-2027</w:t>
        </w:r>
      </w:hyperlink>
    </w:p>
    <w:p w14:paraId="2E3F1666"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e-Estonia Briefing Centre. e-Estonia – official website / Estonian Business and Innovation Agency [Electronic resource]. – Available at: </w:t>
      </w:r>
      <w:hyperlink r:id="rId54" w:tgtFrame="_new" w:history="1">
        <w:r w:rsidRPr="000F3C80">
          <w:rPr>
            <w:rStyle w:val="af0"/>
            <w:color w:val="auto"/>
            <w:sz w:val="28"/>
            <w:szCs w:val="28"/>
            <w:u w:val="none"/>
            <w:lang w:val="en-US"/>
          </w:rPr>
          <w:t>https://e-estonia.com/</w:t>
        </w:r>
      </w:hyperlink>
    </w:p>
    <w:p w14:paraId="454B0B17" w14:textId="2A2F71BE"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rPr>
      </w:pPr>
      <w:r w:rsidRPr="000F3C80">
        <w:rPr>
          <w:sz w:val="28"/>
          <w:szCs w:val="28"/>
        </w:rPr>
        <w:t>Саденова А. М., Рахимова С. А., Суйеубаева С. Н. Адаптация успешных мировых практик в целях повышения инновационного потенциала предпринимательских структур Казахстана // Вестник Университета Туран. – 2022. – Т. 96. – № 4. – С. 211</w:t>
      </w:r>
      <w:r w:rsidR="00FD5797" w:rsidRPr="000F3C80">
        <w:rPr>
          <w:sz w:val="28"/>
          <w:szCs w:val="28"/>
        </w:rPr>
        <w:t>-</w:t>
      </w:r>
      <w:r w:rsidRPr="000F3C80">
        <w:rPr>
          <w:sz w:val="28"/>
          <w:szCs w:val="28"/>
        </w:rPr>
        <w:t>225.</w:t>
      </w:r>
    </w:p>
    <w:p w14:paraId="6AF5487F" w14:textId="2683976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rPr>
      </w:pPr>
      <w:r w:rsidRPr="000F3C80">
        <w:rPr>
          <w:sz w:val="28"/>
          <w:szCs w:val="28"/>
        </w:rPr>
        <w:t xml:space="preserve">Дәулетжарова А., Саденова А. М. Кәсіпорынның инновациялық әлеуетті дамытудың шетел тәжірибесі // Қазақстанның инновациялық дамуына жастардың шығармашылығы: студенттердің, магистранттардың және жас ғалымдардың VIII Халықаралық ғылыми-техникалық конференциясының материалдары. – Өскемен: Д. Серікбаев атындағы Шығыс Қазақстан техникалық университеті, 2022. – </w:t>
      </w:r>
      <w:r w:rsidR="00AE44BA" w:rsidRPr="000F3C80">
        <w:rPr>
          <w:sz w:val="28"/>
          <w:szCs w:val="28"/>
          <w:lang w:val="kk-KZ"/>
        </w:rPr>
        <w:t>Б</w:t>
      </w:r>
      <w:r w:rsidRPr="000F3C80">
        <w:rPr>
          <w:sz w:val="28"/>
          <w:szCs w:val="28"/>
        </w:rPr>
        <w:t>. 79</w:t>
      </w:r>
      <w:r w:rsidR="00FD5797" w:rsidRPr="000F3C80">
        <w:rPr>
          <w:sz w:val="28"/>
          <w:szCs w:val="28"/>
        </w:rPr>
        <w:t>-</w:t>
      </w:r>
      <w:r w:rsidRPr="000F3C80">
        <w:rPr>
          <w:sz w:val="28"/>
          <w:szCs w:val="28"/>
        </w:rPr>
        <w:t>83.</w:t>
      </w:r>
    </w:p>
    <w:p w14:paraId="7B579D37" w14:textId="74FE384E"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Sadenova A., Suieubayeva S. Globalization 4.0 and the world economy: challenges and new growth models // Proceedings of the 8th International Scientific Conference «Scientific Results». – Rome, Italy: Publisher.agency, 2024. – P. 289</w:t>
      </w:r>
      <w:r w:rsidR="00FD5797" w:rsidRPr="000F3C80">
        <w:rPr>
          <w:sz w:val="28"/>
          <w:szCs w:val="28"/>
          <w:lang w:val="en-US"/>
        </w:rPr>
        <w:t>-</w:t>
      </w:r>
      <w:r w:rsidRPr="000F3C80">
        <w:rPr>
          <w:sz w:val="28"/>
          <w:szCs w:val="28"/>
          <w:lang w:val="en-US"/>
        </w:rPr>
        <w:t xml:space="preserve">299. </w:t>
      </w:r>
    </w:p>
    <w:p w14:paraId="6B373C04" w14:textId="66C04456"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rPr>
      </w:pPr>
      <w:r w:rsidRPr="000F3C80">
        <w:rPr>
          <w:sz w:val="28"/>
          <w:szCs w:val="28"/>
        </w:rPr>
        <w:t>Саденова А. М. Анализ инновационного потенциала предпринимательских структур на современном этапе экономического развития Казахстана // Проблемы и перспективы развития экономики и менеджмента в России и за рубежом: материалы XIV Международной научно-практической конференции. – Рубцовск: Рубцовский индустриальный институт, 2022. – С. 54</w:t>
      </w:r>
      <w:r w:rsidR="00FD5797" w:rsidRPr="000F3C80">
        <w:rPr>
          <w:sz w:val="28"/>
          <w:szCs w:val="28"/>
        </w:rPr>
        <w:t>-</w:t>
      </w:r>
      <w:r w:rsidRPr="000F3C80">
        <w:rPr>
          <w:sz w:val="28"/>
          <w:szCs w:val="28"/>
        </w:rPr>
        <w:t>70.</w:t>
      </w:r>
    </w:p>
    <w:p w14:paraId="41065B2A" w14:textId="7CF421D2"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Sadenova A., Denissova O., Kozlova M., Rakhimova S., Gola A., Suieubayeva S. Structural equation modeling (SEM) in Jamovi: an example of analyzing the impact of factors on the innovation activity of enterprises // Applied Computer Science. – 2025. – </w:t>
      </w:r>
      <w:r w:rsidR="001906AF" w:rsidRPr="000F3C80">
        <w:rPr>
          <w:sz w:val="28"/>
          <w:szCs w:val="28"/>
          <w:lang w:val="en-US"/>
        </w:rPr>
        <w:t>Vol. 21. – No.</w:t>
      </w:r>
      <w:r w:rsidRPr="000F3C80">
        <w:rPr>
          <w:sz w:val="28"/>
          <w:szCs w:val="28"/>
          <w:lang w:val="en-US"/>
        </w:rPr>
        <w:t xml:space="preserve"> 1. – </w:t>
      </w:r>
      <w:r w:rsidR="00AE44BA" w:rsidRPr="000F3C80">
        <w:rPr>
          <w:sz w:val="28"/>
          <w:szCs w:val="28"/>
          <w:lang w:val="kk-KZ"/>
        </w:rPr>
        <w:t>Р</w:t>
      </w:r>
      <w:r w:rsidRPr="000F3C80">
        <w:rPr>
          <w:sz w:val="28"/>
          <w:szCs w:val="28"/>
          <w:lang w:val="en-US"/>
        </w:rPr>
        <w:t>. 97</w:t>
      </w:r>
      <w:r w:rsidR="00FD5797" w:rsidRPr="000F3C80">
        <w:rPr>
          <w:sz w:val="28"/>
          <w:szCs w:val="28"/>
          <w:lang w:val="en-US"/>
        </w:rPr>
        <w:t>-</w:t>
      </w:r>
      <w:r w:rsidRPr="000F3C80">
        <w:rPr>
          <w:sz w:val="28"/>
          <w:szCs w:val="28"/>
          <w:lang w:val="en-US"/>
        </w:rPr>
        <w:t>110.</w:t>
      </w:r>
    </w:p>
    <w:p w14:paraId="2BE441E3" w14:textId="2FC5B599"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Tarigan M., Fadillah F. Identification of soft competencies aspects in human resource development in the industrial era 4.0 // Jurnal Ekonomi dan Bisnis. – 2023. – </w:t>
      </w:r>
      <w:r w:rsidR="001906AF" w:rsidRPr="000F3C80">
        <w:rPr>
          <w:sz w:val="28"/>
          <w:szCs w:val="28"/>
          <w:lang w:val="en-US"/>
        </w:rPr>
        <w:t>Vol. 26. – No.</w:t>
      </w:r>
      <w:r w:rsidRPr="000F3C80">
        <w:rPr>
          <w:sz w:val="28"/>
          <w:szCs w:val="28"/>
          <w:lang w:val="en-US"/>
        </w:rPr>
        <w:t xml:space="preserve"> 1. – </w:t>
      </w:r>
      <w:r w:rsidR="001906AF" w:rsidRPr="000F3C80">
        <w:rPr>
          <w:sz w:val="28"/>
          <w:szCs w:val="28"/>
          <w:lang w:val="en-US"/>
        </w:rPr>
        <w:t>P</w:t>
      </w:r>
      <w:r w:rsidRPr="000F3C80">
        <w:rPr>
          <w:sz w:val="28"/>
          <w:szCs w:val="28"/>
          <w:lang w:val="en-US"/>
        </w:rPr>
        <w:t>. 21</w:t>
      </w:r>
      <w:r w:rsidR="00FD5797" w:rsidRPr="000F3C80">
        <w:rPr>
          <w:sz w:val="28"/>
          <w:szCs w:val="28"/>
          <w:lang w:val="en-US"/>
        </w:rPr>
        <w:t>-</w:t>
      </w:r>
      <w:r w:rsidRPr="000F3C80">
        <w:rPr>
          <w:sz w:val="28"/>
          <w:szCs w:val="28"/>
          <w:lang w:val="en-US"/>
        </w:rPr>
        <w:t>44.</w:t>
      </w:r>
    </w:p>
    <w:p w14:paraId="6EC05CF5" w14:textId="2BDAE85C"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Nyathani R. Integration of Industry 4.0 and human resources: evolving human capital management and employee experience through digital innovations // International Journal of Scientific Research. – 2022. – </w:t>
      </w:r>
      <w:r w:rsidR="001906AF" w:rsidRPr="000F3C80">
        <w:rPr>
          <w:sz w:val="28"/>
          <w:szCs w:val="28"/>
          <w:lang w:val="en-US"/>
        </w:rPr>
        <w:t>Vol</w:t>
      </w:r>
      <w:r w:rsidRPr="000F3C80">
        <w:rPr>
          <w:sz w:val="28"/>
          <w:szCs w:val="28"/>
          <w:lang w:val="en-US"/>
        </w:rPr>
        <w:t xml:space="preserve">. 11. – </w:t>
      </w:r>
      <w:r w:rsidR="001906AF" w:rsidRPr="000F3C80">
        <w:rPr>
          <w:sz w:val="28"/>
          <w:szCs w:val="28"/>
          <w:lang w:val="en-US"/>
        </w:rPr>
        <w:t xml:space="preserve">No. </w:t>
      </w:r>
      <w:r w:rsidRPr="000F3C80">
        <w:rPr>
          <w:sz w:val="28"/>
          <w:szCs w:val="28"/>
          <w:lang w:val="en-US"/>
        </w:rPr>
        <w:t xml:space="preserve">9. – </w:t>
      </w:r>
      <w:r w:rsidR="001906AF" w:rsidRPr="000F3C80">
        <w:rPr>
          <w:sz w:val="28"/>
          <w:szCs w:val="28"/>
          <w:lang w:val="en-US"/>
        </w:rPr>
        <w:t>P</w:t>
      </w:r>
      <w:r w:rsidRPr="000F3C80">
        <w:rPr>
          <w:sz w:val="28"/>
          <w:szCs w:val="28"/>
          <w:lang w:val="en-US"/>
        </w:rPr>
        <w:t>. 1228</w:t>
      </w:r>
      <w:r w:rsidR="00FD5797" w:rsidRPr="000F3C80">
        <w:rPr>
          <w:sz w:val="28"/>
          <w:szCs w:val="28"/>
          <w:lang w:val="en-US"/>
        </w:rPr>
        <w:t>-</w:t>
      </w:r>
      <w:r w:rsidRPr="000F3C80">
        <w:rPr>
          <w:sz w:val="28"/>
          <w:szCs w:val="28"/>
          <w:lang w:val="en-US"/>
        </w:rPr>
        <w:t>1232.</w:t>
      </w:r>
    </w:p>
    <w:p w14:paraId="64BB0562" w14:textId="7084A41E"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Rajaletchumy M., Wan Salmuni B. W. M. Human management competencies of manufacturing firms: a pilot study from Malaysia // Journal of Contemporary Issues and Thought. – 2024. – </w:t>
      </w:r>
      <w:r w:rsidR="001906AF" w:rsidRPr="000F3C80">
        <w:rPr>
          <w:sz w:val="28"/>
          <w:szCs w:val="28"/>
          <w:lang w:val="en-US"/>
        </w:rPr>
        <w:t>Vol</w:t>
      </w:r>
      <w:r w:rsidRPr="000F3C80">
        <w:rPr>
          <w:sz w:val="28"/>
          <w:szCs w:val="28"/>
          <w:lang w:val="en-US"/>
        </w:rPr>
        <w:t xml:space="preserve">. 14. – </w:t>
      </w:r>
      <w:r w:rsidR="001906AF" w:rsidRPr="000F3C80">
        <w:rPr>
          <w:sz w:val="28"/>
          <w:szCs w:val="28"/>
          <w:lang w:val="en-US"/>
        </w:rPr>
        <w:t xml:space="preserve">No. </w:t>
      </w:r>
      <w:r w:rsidRPr="000F3C80">
        <w:rPr>
          <w:sz w:val="28"/>
          <w:szCs w:val="28"/>
          <w:lang w:val="en-US"/>
        </w:rPr>
        <w:t xml:space="preserve">1. – </w:t>
      </w:r>
      <w:r w:rsidR="001906AF" w:rsidRPr="000F3C80">
        <w:rPr>
          <w:sz w:val="28"/>
          <w:szCs w:val="28"/>
          <w:lang w:val="en-US"/>
        </w:rPr>
        <w:t>P</w:t>
      </w:r>
      <w:r w:rsidRPr="000F3C80">
        <w:rPr>
          <w:sz w:val="28"/>
          <w:szCs w:val="28"/>
          <w:lang w:val="en-US"/>
        </w:rPr>
        <w:t>. 1</w:t>
      </w:r>
      <w:r w:rsidR="00FD5797" w:rsidRPr="000F3C80">
        <w:rPr>
          <w:sz w:val="28"/>
          <w:szCs w:val="28"/>
          <w:lang w:val="en-US"/>
        </w:rPr>
        <w:t>-</w:t>
      </w:r>
      <w:r w:rsidRPr="000F3C80">
        <w:rPr>
          <w:sz w:val="28"/>
          <w:szCs w:val="28"/>
          <w:lang w:val="en-US"/>
        </w:rPr>
        <w:t>15.</w:t>
      </w:r>
    </w:p>
    <w:p w14:paraId="75CA6D78" w14:textId="47BBC73D"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Sadenova A., Suieubayeva S., Kozlova M., Słoniec J. Competency mapping for Industry 4.0: an empirical study of Kazakhstan’s entrepreneurial sector // Eurasian Journal of Economics and Business Studies. – 2025. – </w:t>
      </w:r>
      <w:r w:rsidR="00AE44BA" w:rsidRPr="000F3C80">
        <w:rPr>
          <w:sz w:val="28"/>
          <w:szCs w:val="28"/>
          <w:lang w:val="en-US"/>
        </w:rPr>
        <w:t>Vol</w:t>
      </w:r>
      <w:r w:rsidRPr="000F3C80">
        <w:rPr>
          <w:sz w:val="28"/>
          <w:szCs w:val="28"/>
          <w:lang w:val="en-US"/>
        </w:rPr>
        <w:t>.</w:t>
      </w:r>
      <w:r w:rsidR="00AE44BA" w:rsidRPr="000F3C80">
        <w:rPr>
          <w:sz w:val="28"/>
          <w:szCs w:val="28"/>
          <w:lang w:val="en-US"/>
        </w:rPr>
        <w:t xml:space="preserve"> 69. – No.</w:t>
      </w:r>
      <w:r w:rsidRPr="000F3C80">
        <w:rPr>
          <w:sz w:val="28"/>
          <w:szCs w:val="28"/>
          <w:lang w:val="en-US"/>
        </w:rPr>
        <w:t xml:space="preserve"> 3. – </w:t>
      </w:r>
      <w:r w:rsidR="00AE44BA" w:rsidRPr="000F3C80">
        <w:rPr>
          <w:sz w:val="28"/>
          <w:szCs w:val="28"/>
          <w:lang w:val="en-US"/>
        </w:rPr>
        <w:t>P</w:t>
      </w:r>
      <w:r w:rsidRPr="000F3C80">
        <w:rPr>
          <w:sz w:val="28"/>
          <w:szCs w:val="28"/>
          <w:lang w:val="en-US"/>
        </w:rPr>
        <w:t>. 18</w:t>
      </w:r>
      <w:r w:rsidR="00FD5797" w:rsidRPr="000F3C80">
        <w:rPr>
          <w:sz w:val="28"/>
          <w:szCs w:val="28"/>
          <w:lang w:val="en-US"/>
        </w:rPr>
        <w:t>-</w:t>
      </w:r>
      <w:r w:rsidRPr="000F3C80">
        <w:rPr>
          <w:sz w:val="28"/>
          <w:szCs w:val="28"/>
          <w:lang w:val="en-US"/>
        </w:rPr>
        <w:t>34.</w:t>
      </w:r>
    </w:p>
    <w:p w14:paraId="71D691DF" w14:textId="10BBDC4F"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rPr>
      </w:pPr>
      <w:r w:rsidRPr="000F3C80">
        <w:rPr>
          <w:sz w:val="28"/>
          <w:szCs w:val="28"/>
        </w:rPr>
        <w:lastRenderedPageBreak/>
        <w:t>Денисова О. К., Конурбаева Ж. Т., Саденова А. М. Подготовка человеческого капитала для условий Индустрии 4.0 в Казахстане // Вестник Торайгыров университета. Экономическая серия. – 2025. – № 4. – С. 105</w:t>
      </w:r>
      <w:r w:rsidR="00FD5797" w:rsidRPr="000F3C80">
        <w:rPr>
          <w:sz w:val="28"/>
          <w:szCs w:val="28"/>
        </w:rPr>
        <w:t>-</w:t>
      </w:r>
      <w:r w:rsidRPr="000F3C80">
        <w:rPr>
          <w:sz w:val="28"/>
          <w:szCs w:val="28"/>
        </w:rPr>
        <w:t>124.</w:t>
      </w:r>
    </w:p>
    <w:p w14:paraId="4FA70CD3" w14:textId="2A9C50EE"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rPr>
      </w:pPr>
      <w:r w:rsidRPr="000F3C80">
        <w:rPr>
          <w:sz w:val="28"/>
          <w:szCs w:val="28"/>
        </w:rPr>
        <w:t xml:space="preserve">Суйеубаева С. Н., Саденова А. М., Серегина Е. Р., Геминхан Е. Индустрия 4.0 жағдайында адам ресурстарын дамыту: теориялық негіздер, құзыреттілік профилі және басқарудың заманауи әдістері: монография. – Өскемен: Шығыс Полиграф, 2025. – </w:t>
      </w:r>
      <w:r w:rsidR="00AE44BA" w:rsidRPr="000F3C80">
        <w:rPr>
          <w:rStyle w:val="af1"/>
          <w:b w:val="0"/>
          <w:iCs/>
          <w:sz w:val="28"/>
          <w:szCs w:val="28"/>
        </w:rPr>
        <w:t xml:space="preserve">142 </w:t>
      </w:r>
      <w:r w:rsidR="00AE44BA" w:rsidRPr="000F3C80">
        <w:rPr>
          <w:rStyle w:val="af1"/>
          <w:b w:val="0"/>
          <w:iCs/>
          <w:sz w:val="28"/>
          <w:szCs w:val="28"/>
          <w:lang w:val="kk-KZ"/>
        </w:rPr>
        <w:t>б.</w:t>
      </w:r>
    </w:p>
    <w:p w14:paraId="56A3DB62" w14:textId="442D7F39"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rPr>
      </w:pPr>
      <w:r w:rsidRPr="000F3C80">
        <w:rPr>
          <w:sz w:val="28"/>
          <w:szCs w:val="28"/>
        </w:rPr>
        <w:t>Саденова А. М., Суйеубаева С. Н. Цифровая грамотность населения как фактор роста инновационной активности предприятий // Современные научные направления: от прикладных исследований до инноваций: сборник докладов XIV Международного форума молодых учёных. – Усть-Каменогорск: Казахстанско-Американский свободный университет, 2024. – С. 45</w:t>
      </w:r>
      <w:r w:rsidR="00FD5797" w:rsidRPr="000F3C80">
        <w:rPr>
          <w:sz w:val="28"/>
          <w:szCs w:val="28"/>
        </w:rPr>
        <w:t>-</w:t>
      </w:r>
      <w:r w:rsidRPr="000F3C80">
        <w:rPr>
          <w:sz w:val="28"/>
          <w:szCs w:val="28"/>
        </w:rPr>
        <w:t>49.</w:t>
      </w:r>
    </w:p>
    <w:p w14:paraId="67242B8C"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Felizzola Y. Framework for designing an organizational digital culture for innovation [Electronic resource]. – 2023. – Available at: https://preprints.org/manuscript/202309.0763</w:t>
      </w:r>
    </w:p>
    <w:p w14:paraId="71A777BE" w14:textId="5431799A"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Fatchurrohman M., Supriadi I., Alfiyatussholichah A., Wardhani P. S. Digital transformation and innovation in the digitalization era to improve organizational culture // RIGGS: Journal of Artificial Intelligence and Digital Business. – 2025. – </w:t>
      </w:r>
      <w:r w:rsidR="001906AF" w:rsidRPr="000F3C80">
        <w:rPr>
          <w:sz w:val="28"/>
          <w:szCs w:val="28"/>
          <w:lang w:val="en-US"/>
        </w:rPr>
        <w:t>Vol</w:t>
      </w:r>
      <w:r w:rsidRPr="000F3C80">
        <w:rPr>
          <w:sz w:val="28"/>
          <w:szCs w:val="28"/>
          <w:lang w:val="en-US"/>
        </w:rPr>
        <w:t xml:space="preserve">. 4. – </w:t>
      </w:r>
      <w:r w:rsidR="001906AF" w:rsidRPr="000F3C80">
        <w:rPr>
          <w:sz w:val="28"/>
          <w:szCs w:val="28"/>
          <w:lang w:val="en-US"/>
        </w:rPr>
        <w:t>No.</w:t>
      </w:r>
      <w:r w:rsidRPr="000F3C80">
        <w:rPr>
          <w:sz w:val="28"/>
          <w:szCs w:val="28"/>
          <w:lang w:val="en-US"/>
        </w:rPr>
        <w:t xml:space="preserve"> 2. – </w:t>
      </w:r>
      <w:r w:rsidR="001906AF" w:rsidRPr="000F3C80">
        <w:rPr>
          <w:sz w:val="28"/>
          <w:szCs w:val="28"/>
          <w:lang w:val="en-US"/>
        </w:rPr>
        <w:t>P</w:t>
      </w:r>
      <w:r w:rsidRPr="000F3C80">
        <w:rPr>
          <w:sz w:val="28"/>
          <w:szCs w:val="28"/>
          <w:lang w:val="en-US"/>
        </w:rPr>
        <w:t>. 7327</w:t>
      </w:r>
      <w:r w:rsidR="00FD5797" w:rsidRPr="000F3C80">
        <w:rPr>
          <w:sz w:val="28"/>
          <w:szCs w:val="28"/>
          <w:lang w:val="en-US"/>
        </w:rPr>
        <w:t>-</w:t>
      </w:r>
      <w:r w:rsidRPr="000F3C80">
        <w:rPr>
          <w:sz w:val="28"/>
          <w:szCs w:val="28"/>
          <w:lang w:val="en-US"/>
        </w:rPr>
        <w:t>7332.</w:t>
      </w:r>
    </w:p>
    <w:p w14:paraId="40A9A4B7" w14:textId="66AC8DC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Kiefer D., Van Dinther C., Spitzmüller J. Digital innovation culture: a</w:t>
      </w:r>
      <w:r w:rsidR="00FD5797" w:rsidRPr="000F3C80">
        <w:rPr>
          <w:sz w:val="28"/>
          <w:szCs w:val="28"/>
          <w:lang w:val="en-US"/>
        </w:rPr>
        <w:t xml:space="preserve"> systematic literature review. </w:t>
      </w:r>
      <w:r w:rsidRPr="000F3C80">
        <w:rPr>
          <w:sz w:val="28"/>
          <w:szCs w:val="28"/>
          <w:lang w:val="en-US"/>
        </w:rPr>
        <w:t>Innovation through Information Systems / F. Ahlemann, R. Schütte, S. Stieglitz (eds.). – Cham: Springer International Publishing, 2021. – 305</w:t>
      </w:r>
      <w:r w:rsidR="00FD5797" w:rsidRPr="000F3C80">
        <w:rPr>
          <w:sz w:val="28"/>
          <w:szCs w:val="28"/>
          <w:lang w:val="en-US"/>
        </w:rPr>
        <w:t>-</w:t>
      </w:r>
      <w:r w:rsidRPr="000F3C80">
        <w:rPr>
          <w:sz w:val="28"/>
          <w:szCs w:val="28"/>
          <w:lang w:val="en-US"/>
        </w:rPr>
        <w:t>320</w:t>
      </w:r>
      <w:r w:rsidR="00FD5797" w:rsidRPr="000F3C80">
        <w:rPr>
          <w:sz w:val="28"/>
          <w:szCs w:val="28"/>
          <w:lang w:val="en-US"/>
        </w:rPr>
        <w:t xml:space="preserve"> </w:t>
      </w:r>
      <w:r w:rsidR="00FD5797" w:rsidRPr="000F3C80">
        <w:rPr>
          <w:sz w:val="28"/>
          <w:szCs w:val="28"/>
        </w:rPr>
        <w:t>р</w:t>
      </w:r>
      <w:r w:rsidRPr="000F3C80">
        <w:rPr>
          <w:sz w:val="28"/>
          <w:szCs w:val="28"/>
          <w:lang w:val="en-US"/>
        </w:rPr>
        <w:t>.</w:t>
      </w:r>
    </w:p>
    <w:p w14:paraId="4720E183" w14:textId="1DCEBE23"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Suieubayeva S., Sánchez-García E., Martínez-Falcó J., Marco-Lajara B., Sadenova A., Montalvo-Falcón J. V. Green leaders and global change: uncovering the drivers of corporate environmental sustainability // Environmental Development. – 2025. – </w:t>
      </w:r>
      <w:r w:rsidR="001906AF" w:rsidRPr="000F3C80">
        <w:rPr>
          <w:sz w:val="28"/>
          <w:szCs w:val="28"/>
          <w:lang w:val="en-US"/>
        </w:rPr>
        <w:t>Vol</w:t>
      </w:r>
      <w:r w:rsidRPr="000F3C80">
        <w:rPr>
          <w:sz w:val="28"/>
          <w:szCs w:val="28"/>
          <w:lang w:val="en-US"/>
        </w:rPr>
        <w:t>. 54. – Article 101148.</w:t>
      </w:r>
    </w:p>
    <w:p w14:paraId="5378410B" w14:textId="4B783470"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rPr>
        <w:t>Саденова</w:t>
      </w:r>
      <w:r w:rsidRPr="000F3C80">
        <w:rPr>
          <w:sz w:val="28"/>
          <w:szCs w:val="28"/>
          <w:lang w:val="en-US"/>
        </w:rPr>
        <w:t xml:space="preserve"> </w:t>
      </w:r>
      <w:r w:rsidRPr="000F3C80">
        <w:rPr>
          <w:sz w:val="28"/>
          <w:szCs w:val="28"/>
        </w:rPr>
        <w:t>А</w:t>
      </w:r>
      <w:r w:rsidRPr="000F3C80">
        <w:rPr>
          <w:sz w:val="28"/>
          <w:szCs w:val="28"/>
          <w:lang w:val="en-US"/>
        </w:rPr>
        <w:t xml:space="preserve">. </w:t>
      </w:r>
      <w:r w:rsidRPr="000F3C80">
        <w:rPr>
          <w:sz w:val="28"/>
          <w:szCs w:val="28"/>
        </w:rPr>
        <w:t>М</w:t>
      </w:r>
      <w:r w:rsidRPr="000F3C80">
        <w:rPr>
          <w:sz w:val="28"/>
          <w:szCs w:val="28"/>
          <w:lang w:val="en-US"/>
        </w:rPr>
        <w:t xml:space="preserve">., </w:t>
      </w:r>
      <w:r w:rsidRPr="000F3C80">
        <w:rPr>
          <w:sz w:val="28"/>
          <w:szCs w:val="28"/>
        </w:rPr>
        <w:t>Козлова</w:t>
      </w:r>
      <w:r w:rsidRPr="000F3C80">
        <w:rPr>
          <w:sz w:val="28"/>
          <w:szCs w:val="28"/>
          <w:lang w:val="en-US"/>
        </w:rPr>
        <w:t xml:space="preserve"> </w:t>
      </w:r>
      <w:r w:rsidRPr="000F3C80">
        <w:rPr>
          <w:sz w:val="28"/>
          <w:szCs w:val="28"/>
        </w:rPr>
        <w:t>М</w:t>
      </w:r>
      <w:r w:rsidRPr="000F3C80">
        <w:rPr>
          <w:sz w:val="28"/>
          <w:szCs w:val="28"/>
          <w:lang w:val="en-US"/>
        </w:rPr>
        <w:t xml:space="preserve">. </w:t>
      </w:r>
      <w:r w:rsidRPr="000F3C80">
        <w:rPr>
          <w:sz w:val="28"/>
          <w:szCs w:val="28"/>
        </w:rPr>
        <w:t>В</w:t>
      </w:r>
      <w:r w:rsidRPr="000F3C80">
        <w:rPr>
          <w:sz w:val="28"/>
          <w:szCs w:val="28"/>
          <w:lang w:val="en-US"/>
        </w:rPr>
        <w:t xml:space="preserve">., </w:t>
      </w:r>
      <w:r w:rsidRPr="000F3C80">
        <w:rPr>
          <w:sz w:val="28"/>
          <w:szCs w:val="28"/>
        </w:rPr>
        <w:t>Суйеубаева</w:t>
      </w:r>
      <w:r w:rsidRPr="000F3C80">
        <w:rPr>
          <w:sz w:val="28"/>
          <w:szCs w:val="28"/>
          <w:lang w:val="en-US"/>
        </w:rPr>
        <w:t xml:space="preserve"> </w:t>
      </w:r>
      <w:r w:rsidRPr="000F3C80">
        <w:rPr>
          <w:sz w:val="28"/>
          <w:szCs w:val="28"/>
        </w:rPr>
        <w:t>С</w:t>
      </w:r>
      <w:r w:rsidRPr="000F3C80">
        <w:rPr>
          <w:sz w:val="28"/>
          <w:szCs w:val="28"/>
          <w:lang w:val="en-US"/>
        </w:rPr>
        <w:t xml:space="preserve">. </w:t>
      </w:r>
      <w:r w:rsidRPr="000F3C80">
        <w:rPr>
          <w:sz w:val="28"/>
          <w:szCs w:val="28"/>
        </w:rPr>
        <w:t>Н</w:t>
      </w:r>
      <w:r w:rsidRPr="000F3C80">
        <w:rPr>
          <w:sz w:val="28"/>
          <w:szCs w:val="28"/>
          <w:lang w:val="en-US"/>
        </w:rPr>
        <w:t xml:space="preserve">., </w:t>
      </w:r>
      <w:r w:rsidRPr="000F3C80">
        <w:rPr>
          <w:sz w:val="28"/>
          <w:szCs w:val="28"/>
        </w:rPr>
        <w:t>Серегина</w:t>
      </w:r>
      <w:r w:rsidRPr="000F3C80">
        <w:rPr>
          <w:sz w:val="28"/>
          <w:szCs w:val="28"/>
          <w:lang w:val="en-US"/>
        </w:rPr>
        <w:t xml:space="preserve"> </w:t>
      </w:r>
      <w:r w:rsidRPr="000F3C80">
        <w:rPr>
          <w:sz w:val="28"/>
          <w:szCs w:val="28"/>
        </w:rPr>
        <w:t>Е</w:t>
      </w:r>
      <w:r w:rsidRPr="000F3C80">
        <w:rPr>
          <w:sz w:val="28"/>
          <w:szCs w:val="28"/>
          <w:lang w:val="en-US"/>
        </w:rPr>
        <w:t xml:space="preserve">. </w:t>
      </w:r>
      <w:r w:rsidRPr="000F3C80">
        <w:rPr>
          <w:sz w:val="28"/>
          <w:szCs w:val="28"/>
        </w:rPr>
        <w:t>Р</w:t>
      </w:r>
      <w:r w:rsidRPr="000F3C80">
        <w:rPr>
          <w:sz w:val="28"/>
          <w:szCs w:val="28"/>
          <w:lang w:val="en-US"/>
        </w:rPr>
        <w:t xml:space="preserve">. </w:t>
      </w:r>
      <w:r w:rsidRPr="000F3C80">
        <w:rPr>
          <w:sz w:val="28"/>
          <w:szCs w:val="28"/>
        </w:rPr>
        <w:t>Экономикалық</w:t>
      </w:r>
      <w:r w:rsidRPr="000F3C80">
        <w:rPr>
          <w:sz w:val="28"/>
          <w:szCs w:val="28"/>
          <w:lang w:val="en-US"/>
        </w:rPr>
        <w:t xml:space="preserve"> </w:t>
      </w:r>
      <w:r w:rsidRPr="000F3C80">
        <w:rPr>
          <w:sz w:val="28"/>
          <w:szCs w:val="28"/>
        </w:rPr>
        <w:t>күрделілік</w:t>
      </w:r>
      <w:r w:rsidRPr="000F3C80">
        <w:rPr>
          <w:sz w:val="28"/>
          <w:szCs w:val="28"/>
          <w:lang w:val="en-US"/>
        </w:rPr>
        <w:t xml:space="preserve"> </w:t>
      </w:r>
      <w:r w:rsidRPr="000F3C80">
        <w:rPr>
          <w:sz w:val="28"/>
          <w:szCs w:val="28"/>
        </w:rPr>
        <w:t>индексі</w:t>
      </w:r>
      <w:r w:rsidRPr="000F3C80">
        <w:rPr>
          <w:sz w:val="28"/>
          <w:szCs w:val="28"/>
          <w:lang w:val="en-US"/>
        </w:rPr>
        <w:t xml:space="preserve">, </w:t>
      </w:r>
      <w:r w:rsidRPr="000F3C80">
        <w:rPr>
          <w:sz w:val="28"/>
          <w:szCs w:val="28"/>
        </w:rPr>
        <w:t>оның</w:t>
      </w:r>
      <w:r w:rsidRPr="000F3C80">
        <w:rPr>
          <w:sz w:val="28"/>
          <w:szCs w:val="28"/>
          <w:lang w:val="en-US"/>
        </w:rPr>
        <w:t xml:space="preserve"> </w:t>
      </w:r>
      <w:r w:rsidRPr="000F3C80">
        <w:rPr>
          <w:sz w:val="28"/>
          <w:szCs w:val="28"/>
        </w:rPr>
        <w:t>әсері</w:t>
      </w:r>
      <w:r w:rsidRPr="000F3C80">
        <w:rPr>
          <w:sz w:val="28"/>
          <w:szCs w:val="28"/>
          <w:lang w:val="en-US"/>
        </w:rPr>
        <w:t xml:space="preserve"> </w:t>
      </w:r>
      <w:r w:rsidRPr="000F3C80">
        <w:rPr>
          <w:sz w:val="28"/>
          <w:szCs w:val="28"/>
        </w:rPr>
        <w:t>және</w:t>
      </w:r>
      <w:r w:rsidRPr="000F3C80">
        <w:rPr>
          <w:sz w:val="28"/>
          <w:szCs w:val="28"/>
          <w:lang w:val="en-US"/>
        </w:rPr>
        <w:t xml:space="preserve"> </w:t>
      </w:r>
      <w:r w:rsidRPr="000F3C80">
        <w:rPr>
          <w:sz w:val="28"/>
          <w:szCs w:val="28"/>
        </w:rPr>
        <w:t>жұмыссыздық</w:t>
      </w:r>
      <w:r w:rsidRPr="000F3C80">
        <w:rPr>
          <w:sz w:val="28"/>
          <w:szCs w:val="28"/>
          <w:lang w:val="en-US"/>
        </w:rPr>
        <w:t xml:space="preserve"> </w:t>
      </w:r>
      <w:r w:rsidRPr="000F3C80">
        <w:rPr>
          <w:sz w:val="28"/>
          <w:szCs w:val="28"/>
        </w:rPr>
        <w:t>деңгейімен</w:t>
      </w:r>
      <w:r w:rsidRPr="000F3C80">
        <w:rPr>
          <w:sz w:val="28"/>
          <w:szCs w:val="28"/>
          <w:lang w:val="en-US"/>
        </w:rPr>
        <w:t xml:space="preserve"> </w:t>
      </w:r>
      <w:r w:rsidRPr="000F3C80">
        <w:rPr>
          <w:sz w:val="28"/>
          <w:szCs w:val="28"/>
        </w:rPr>
        <w:t>байланысы</w:t>
      </w:r>
      <w:r w:rsidRPr="000F3C80">
        <w:rPr>
          <w:sz w:val="28"/>
          <w:szCs w:val="28"/>
          <w:lang w:val="en-US"/>
        </w:rPr>
        <w:t xml:space="preserve"> // </w:t>
      </w:r>
      <w:r w:rsidRPr="000F3C80">
        <w:rPr>
          <w:sz w:val="28"/>
          <w:szCs w:val="28"/>
        </w:rPr>
        <w:t>Вестник</w:t>
      </w:r>
      <w:r w:rsidRPr="000F3C80">
        <w:rPr>
          <w:sz w:val="28"/>
          <w:szCs w:val="28"/>
          <w:lang w:val="en-US"/>
        </w:rPr>
        <w:t xml:space="preserve"> </w:t>
      </w:r>
      <w:r w:rsidRPr="000F3C80">
        <w:rPr>
          <w:sz w:val="28"/>
          <w:szCs w:val="28"/>
        </w:rPr>
        <w:t>Университета</w:t>
      </w:r>
      <w:r w:rsidRPr="000F3C80">
        <w:rPr>
          <w:sz w:val="28"/>
          <w:szCs w:val="28"/>
          <w:lang w:val="en-US"/>
        </w:rPr>
        <w:t xml:space="preserve"> </w:t>
      </w:r>
      <w:r w:rsidRPr="000F3C80">
        <w:rPr>
          <w:sz w:val="28"/>
          <w:szCs w:val="28"/>
        </w:rPr>
        <w:t>Туран</w:t>
      </w:r>
      <w:r w:rsidRPr="000F3C80">
        <w:rPr>
          <w:sz w:val="28"/>
          <w:szCs w:val="28"/>
          <w:lang w:val="en-US"/>
        </w:rPr>
        <w:t xml:space="preserve">. – 2023. – </w:t>
      </w:r>
      <w:r w:rsidRPr="000F3C80">
        <w:rPr>
          <w:sz w:val="28"/>
          <w:szCs w:val="28"/>
        </w:rPr>
        <w:t>Т</w:t>
      </w:r>
      <w:r w:rsidRPr="000F3C80">
        <w:rPr>
          <w:sz w:val="28"/>
          <w:szCs w:val="28"/>
          <w:lang w:val="en-US"/>
        </w:rPr>
        <w:t xml:space="preserve">. 99. – № 3. – </w:t>
      </w:r>
      <w:r w:rsidR="00AE44BA" w:rsidRPr="000F3C80">
        <w:rPr>
          <w:sz w:val="28"/>
          <w:szCs w:val="28"/>
          <w:lang w:val="kk-KZ"/>
        </w:rPr>
        <w:t>Б</w:t>
      </w:r>
      <w:r w:rsidRPr="000F3C80">
        <w:rPr>
          <w:sz w:val="28"/>
          <w:szCs w:val="28"/>
          <w:lang w:val="en-US"/>
        </w:rPr>
        <w:t>. 368</w:t>
      </w:r>
      <w:r w:rsidR="00FD5797" w:rsidRPr="000F3C80">
        <w:rPr>
          <w:sz w:val="28"/>
          <w:szCs w:val="28"/>
          <w:lang w:val="en-US"/>
        </w:rPr>
        <w:t>-</w:t>
      </w:r>
      <w:r w:rsidRPr="000F3C80">
        <w:rPr>
          <w:sz w:val="28"/>
          <w:szCs w:val="28"/>
          <w:lang w:val="en-US"/>
        </w:rPr>
        <w:t>383.</w:t>
      </w:r>
    </w:p>
    <w:p w14:paraId="476436C3" w14:textId="060A1782"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Suieubayeva S., Aimurzina B., Kamenova M., Karipova A., Kozlova M., Sadenova A. Activating the social responsibility of business structures in the context of transition 4.0 as a condition for effective economic management // Montenegrin Journal of Economics. – 2025. – </w:t>
      </w:r>
      <w:r w:rsidRPr="000F3C80">
        <w:rPr>
          <w:sz w:val="28"/>
          <w:szCs w:val="28"/>
        </w:rPr>
        <w:t>Т</w:t>
      </w:r>
      <w:r w:rsidRPr="000F3C80">
        <w:rPr>
          <w:sz w:val="28"/>
          <w:szCs w:val="28"/>
          <w:lang w:val="en-US"/>
        </w:rPr>
        <w:t xml:space="preserve">. 21. – № 1. – </w:t>
      </w:r>
      <w:r w:rsidRPr="000F3C80">
        <w:rPr>
          <w:sz w:val="28"/>
          <w:szCs w:val="28"/>
        </w:rPr>
        <w:t>С</w:t>
      </w:r>
      <w:r w:rsidRPr="000F3C80">
        <w:rPr>
          <w:sz w:val="28"/>
          <w:szCs w:val="28"/>
          <w:lang w:val="en-US"/>
        </w:rPr>
        <w:t>. 157</w:t>
      </w:r>
      <w:r w:rsidR="00FD5797" w:rsidRPr="000F3C80">
        <w:rPr>
          <w:sz w:val="28"/>
          <w:szCs w:val="28"/>
          <w:lang w:val="en-US"/>
        </w:rPr>
        <w:t>-</w:t>
      </w:r>
      <w:r w:rsidRPr="000F3C80">
        <w:rPr>
          <w:sz w:val="28"/>
          <w:szCs w:val="28"/>
          <w:lang w:val="en-US"/>
        </w:rPr>
        <w:t>168.</w:t>
      </w:r>
    </w:p>
    <w:p w14:paraId="6A95A2AA" w14:textId="2F771C4D"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rPr>
        <w:t>Домбровська</w:t>
      </w:r>
      <w:r w:rsidRPr="000F3C80">
        <w:rPr>
          <w:sz w:val="28"/>
          <w:szCs w:val="28"/>
          <w:lang w:val="en-US"/>
        </w:rPr>
        <w:t xml:space="preserve"> </w:t>
      </w:r>
      <w:r w:rsidRPr="000F3C80">
        <w:rPr>
          <w:sz w:val="28"/>
          <w:szCs w:val="28"/>
        </w:rPr>
        <w:t>Н</w:t>
      </w:r>
      <w:r w:rsidRPr="000F3C80">
        <w:rPr>
          <w:sz w:val="28"/>
          <w:szCs w:val="28"/>
          <w:lang w:val="en-US"/>
        </w:rPr>
        <w:t xml:space="preserve">., </w:t>
      </w:r>
      <w:r w:rsidRPr="000F3C80">
        <w:rPr>
          <w:sz w:val="28"/>
          <w:szCs w:val="28"/>
        </w:rPr>
        <w:t>Фаріон</w:t>
      </w:r>
      <w:r w:rsidRPr="000F3C80">
        <w:rPr>
          <w:sz w:val="28"/>
          <w:szCs w:val="28"/>
          <w:lang w:val="en-US"/>
        </w:rPr>
        <w:t xml:space="preserve"> </w:t>
      </w:r>
      <w:r w:rsidRPr="000F3C80">
        <w:rPr>
          <w:sz w:val="28"/>
          <w:szCs w:val="28"/>
        </w:rPr>
        <w:t>В</w:t>
      </w:r>
      <w:r w:rsidRPr="000F3C80">
        <w:rPr>
          <w:sz w:val="28"/>
          <w:szCs w:val="28"/>
          <w:lang w:val="en-US"/>
        </w:rPr>
        <w:t xml:space="preserve">. </w:t>
      </w:r>
      <w:r w:rsidRPr="000F3C80">
        <w:rPr>
          <w:sz w:val="28"/>
          <w:szCs w:val="28"/>
        </w:rPr>
        <w:t>Цифрова</w:t>
      </w:r>
      <w:r w:rsidRPr="000F3C80">
        <w:rPr>
          <w:sz w:val="28"/>
          <w:szCs w:val="28"/>
          <w:lang w:val="en-US"/>
        </w:rPr>
        <w:t xml:space="preserve"> </w:t>
      </w:r>
      <w:r w:rsidRPr="000F3C80">
        <w:rPr>
          <w:sz w:val="28"/>
          <w:szCs w:val="28"/>
        </w:rPr>
        <w:t>трансформація</w:t>
      </w:r>
      <w:r w:rsidRPr="000F3C80">
        <w:rPr>
          <w:sz w:val="28"/>
          <w:szCs w:val="28"/>
          <w:lang w:val="en-US"/>
        </w:rPr>
        <w:t xml:space="preserve"> </w:t>
      </w:r>
      <w:r w:rsidRPr="000F3C80">
        <w:rPr>
          <w:sz w:val="28"/>
          <w:szCs w:val="28"/>
        </w:rPr>
        <w:t>в</w:t>
      </w:r>
      <w:r w:rsidRPr="000F3C80">
        <w:rPr>
          <w:sz w:val="28"/>
          <w:szCs w:val="28"/>
          <w:lang w:val="en-US"/>
        </w:rPr>
        <w:t xml:space="preserve"> </w:t>
      </w:r>
      <w:r w:rsidRPr="000F3C80">
        <w:rPr>
          <w:sz w:val="28"/>
          <w:szCs w:val="28"/>
        </w:rPr>
        <w:t>менеджменті</w:t>
      </w:r>
      <w:r w:rsidRPr="000F3C80">
        <w:rPr>
          <w:sz w:val="28"/>
          <w:szCs w:val="28"/>
          <w:lang w:val="en-US"/>
        </w:rPr>
        <w:t xml:space="preserve"> </w:t>
      </w:r>
      <w:r w:rsidRPr="000F3C80">
        <w:rPr>
          <w:sz w:val="28"/>
          <w:szCs w:val="28"/>
        </w:rPr>
        <w:t>підприємства</w:t>
      </w:r>
      <w:r w:rsidRPr="000F3C80">
        <w:rPr>
          <w:sz w:val="28"/>
          <w:szCs w:val="28"/>
          <w:lang w:val="en-US"/>
        </w:rPr>
        <w:t xml:space="preserve">: </w:t>
      </w:r>
      <w:r w:rsidRPr="000F3C80">
        <w:rPr>
          <w:sz w:val="28"/>
          <w:szCs w:val="28"/>
        </w:rPr>
        <w:t>адаптація</w:t>
      </w:r>
      <w:r w:rsidRPr="000F3C80">
        <w:rPr>
          <w:sz w:val="28"/>
          <w:szCs w:val="28"/>
          <w:lang w:val="en-US"/>
        </w:rPr>
        <w:t xml:space="preserve"> </w:t>
      </w:r>
      <w:r w:rsidRPr="000F3C80">
        <w:rPr>
          <w:sz w:val="28"/>
          <w:szCs w:val="28"/>
        </w:rPr>
        <w:t>бізнес</w:t>
      </w:r>
      <w:r w:rsidRPr="000F3C80">
        <w:rPr>
          <w:sz w:val="28"/>
          <w:szCs w:val="28"/>
          <w:lang w:val="en-US"/>
        </w:rPr>
        <w:t>-</w:t>
      </w:r>
      <w:r w:rsidRPr="000F3C80">
        <w:rPr>
          <w:sz w:val="28"/>
          <w:szCs w:val="28"/>
        </w:rPr>
        <w:t>моделей</w:t>
      </w:r>
      <w:r w:rsidRPr="000F3C80">
        <w:rPr>
          <w:sz w:val="28"/>
          <w:szCs w:val="28"/>
          <w:lang w:val="en-US"/>
        </w:rPr>
        <w:t xml:space="preserve"> </w:t>
      </w:r>
      <w:r w:rsidRPr="000F3C80">
        <w:rPr>
          <w:sz w:val="28"/>
          <w:szCs w:val="28"/>
        </w:rPr>
        <w:t>під</w:t>
      </w:r>
      <w:r w:rsidRPr="000F3C80">
        <w:rPr>
          <w:sz w:val="28"/>
          <w:szCs w:val="28"/>
          <w:lang w:val="en-US"/>
        </w:rPr>
        <w:t xml:space="preserve"> </w:t>
      </w:r>
      <w:r w:rsidRPr="000F3C80">
        <w:rPr>
          <w:sz w:val="28"/>
          <w:szCs w:val="28"/>
        </w:rPr>
        <w:t>впливом</w:t>
      </w:r>
      <w:r w:rsidRPr="000F3C80">
        <w:rPr>
          <w:sz w:val="28"/>
          <w:szCs w:val="28"/>
          <w:lang w:val="en-US"/>
        </w:rPr>
        <w:t xml:space="preserve"> </w:t>
      </w:r>
      <w:r w:rsidRPr="000F3C80">
        <w:rPr>
          <w:sz w:val="28"/>
          <w:szCs w:val="28"/>
        </w:rPr>
        <w:t>інноваційних</w:t>
      </w:r>
      <w:r w:rsidRPr="000F3C80">
        <w:rPr>
          <w:sz w:val="28"/>
          <w:szCs w:val="28"/>
          <w:lang w:val="en-US"/>
        </w:rPr>
        <w:t xml:space="preserve"> </w:t>
      </w:r>
      <w:r w:rsidRPr="000F3C80">
        <w:rPr>
          <w:sz w:val="28"/>
          <w:szCs w:val="28"/>
        </w:rPr>
        <w:t>технологій</w:t>
      </w:r>
      <w:r w:rsidRPr="000F3C80">
        <w:rPr>
          <w:sz w:val="28"/>
          <w:szCs w:val="28"/>
          <w:lang w:val="en-US"/>
        </w:rPr>
        <w:t xml:space="preserve"> // </w:t>
      </w:r>
      <w:r w:rsidRPr="000F3C80">
        <w:rPr>
          <w:sz w:val="28"/>
          <w:szCs w:val="28"/>
        </w:rPr>
        <w:t>Економічний</w:t>
      </w:r>
      <w:r w:rsidRPr="000F3C80">
        <w:rPr>
          <w:sz w:val="28"/>
          <w:szCs w:val="28"/>
          <w:lang w:val="en-US"/>
        </w:rPr>
        <w:t xml:space="preserve"> </w:t>
      </w:r>
      <w:r w:rsidRPr="000F3C80">
        <w:rPr>
          <w:sz w:val="28"/>
          <w:szCs w:val="28"/>
        </w:rPr>
        <w:t>аналіз</w:t>
      </w:r>
      <w:r w:rsidRPr="000F3C80">
        <w:rPr>
          <w:sz w:val="28"/>
          <w:szCs w:val="28"/>
          <w:lang w:val="en-US"/>
        </w:rPr>
        <w:t xml:space="preserve">. – 2024. – </w:t>
      </w:r>
      <w:r w:rsidRPr="000F3C80">
        <w:rPr>
          <w:sz w:val="28"/>
          <w:szCs w:val="28"/>
        </w:rPr>
        <w:t>Т</w:t>
      </w:r>
      <w:r w:rsidRPr="000F3C80">
        <w:rPr>
          <w:sz w:val="28"/>
          <w:szCs w:val="28"/>
          <w:lang w:val="en-US"/>
        </w:rPr>
        <w:t xml:space="preserve">. 34. – № 3. – </w:t>
      </w:r>
      <w:r w:rsidRPr="000F3C80">
        <w:rPr>
          <w:sz w:val="28"/>
          <w:szCs w:val="28"/>
        </w:rPr>
        <w:t>С</w:t>
      </w:r>
      <w:r w:rsidRPr="000F3C80">
        <w:rPr>
          <w:sz w:val="28"/>
          <w:szCs w:val="28"/>
          <w:lang w:val="en-US"/>
        </w:rPr>
        <w:t>. 40</w:t>
      </w:r>
      <w:r w:rsidR="00FD5797" w:rsidRPr="000F3C80">
        <w:rPr>
          <w:sz w:val="28"/>
          <w:szCs w:val="28"/>
          <w:lang w:val="en-US"/>
        </w:rPr>
        <w:t>-</w:t>
      </w:r>
      <w:r w:rsidRPr="000F3C80">
        <w:rPr>
          <w:sz w:val="28"/>
          <w:szCs w:val="28"/>
          <w:lang w:val="en-US"/>
        </w:rPr>
        <w:t>53.</w:t>
      </w:r>
    </w:p>
    <w:p w14:paraId="098E4D12" w14:textId="4EE25D18"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Satpayeva Z., Bekmurat Z., Medeni T., Kangalakova D., Xue L. Digital transformation readiness of Kazakhstani enterprises: mapping regional and sectoral capacities // Problems and Perspectives in Management. – 2025. – </w:t>
      </w:r>
      <w:r w:rsidRPr="000F3C80">
        <w:rPr>
          <w:sz w:val="28"/>
          <w:szCs w:val="28"/>
        </w:rPr>
        <w:t>Т</w:t>
      </w:r>
      <w:r w:rsidRPr="000F3C80">
        <w:rPr>
          <w:sz w:val="28"/>
          <w:szCs w:val="28"/>
          <w:lang w:val="en-US"/>
        </w:rPr>
        <w:t xml:space="preserve">. 23. – № 3. – </w:t>
      </w:r>
      <w:r w:rsidRPr="000F3C80">
        <w:rPr>
          <w:sz w:val="28"/>
          <w:szCs w:val="28"/>
        </w:rPr>
        <w:t>С</w:t>
      </w:r>
      <w:r w:rsidRPr="000F3C80">
        <w:rPr>
          <w:sz w:val="28"/>
          <w:szCs w:val="28"/>
          <w:lang w:val="en-US"/>
        </w:rPr>
        <w:t>. 161</w:t>
      </w:r>
      <w:r w:rsidR="00FD5797" w:rsidRPr="000F3C80">
        <w:rPr>
          <w:sz w:val="28"/>
          <w:szCs w:val="28"/>
          <w:lang w:val="en-US"/>
        </w:rPr>
        <w:t>-</w:t>
      </w:r>
      <w:r w:rsidRPr="000F3C80">
        <w:rPr>
          <w:sz w:val="28"/>
          <w:szCs w:val="28"/>
          <w:lang w:val="en-US"/>
        </w:rPr>
        <w:t>175.</w:t>
      </w:r>
    </w:p>
    <w:p w14:paraId="332F61F0" w14:textId="55D1443B"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Moeini Gharagozloo M. M., Chen C., Nair A., Moeini Gharagozloo A. A digitalized global economy: studying the effect of digital readiness of countries on </w:t>
      </w:r>
      <w:r w:rsidRPr="000F3C80">
        <w:rPr>
          <w:sz w:val="28"/>
          <w:szCs w:val="28"/>
          <w:lang w:val="en-US"/>
        </w:rPr>
        <w:lastRenderedPageBreak/>
        <w:t xml:space="preserve">international merger and acquisition flows // Journal of Global Information Technology Management. – 2022. – </w:t>
      </w:r>
      <w:r w:rsidRPr="000F3C80">
        <w:rPr>
          <w:sz w:val="28"/>
          <w:szCs w:val="28"/>
        </w:rPr>
        <w:t>Т</w:t>
      </w:r>
      <w:r w:rsidRPr="000F3C80">
        <w:rPr>
          <w:sz w:val="28"/>
          <w:szCs w:val="28"/>
          <w:lang w:val="en-US"/>
        </w:rPr>
        <w:t xml:space="preserve">. 25. – № 2. – </w:t>
      </w:r>
      <w:r w:rsidRPr="000F3C80">
        <w:rPr>
          <w:sz w:val="28"/>
          <w:szCs w:val="28"/>
        </w:rPr>
        <w:t>С</w:t>
      </w:r>
      <w:r w:rsidRPr="000F3C80">
        <w:rPr>
          <w:sz w:val="28"/>
          <w:szCs w:val="28"/>
          <w:lang w:val="en-US"/>
        </w:rPr>
        <w:t>. 159</w:t>
      </w:r>
      <w:r w:rsidR="00FD5797" w:rsidRPr="000F3C80">
        <w:rPr>
          <w:sz w:val="28"/>
          <w:szCs w:val="28"/>
          <w:lang w:val="en-US"/>
        </w:rPr>
        <w:t>-</w:t>
      </w:r>
      <w:r w:rsidRPr="000F3C80">
        <w:rPr>
          <w:sz w:val="28"/>
          <w:szCs w:val="28"/>
          <w:lang w:val="en-US"/>
        </w:rPr>
        <w:t>187.</w:t>
      </w:r>
    </w:p>
    <w:p w14:paraId="3BCD0915" w14:textId="547BF940"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Moeini Gharagozloo M. M., Askarzadeh F., Moeini Gharagozloo A. More power for international entrepreneurs: the effect of digital readiness of economies on channeling national R&amp;D resources to entrepreneurship // Journal of International Entrepreneurship. – 2022. – </w:t>
      </w:r>
      <w:r w:rsidRPr="000F3C80">
        <w:rPr>
          <w:sz w:val="28"/>
          <w:szCs w:val="28"/>
        </w:rPr>
        <w:t>Т</w:t>
      </w:r>
      <w:r w:rsidRPr="000F3C80">
        <w:rPr>
          <w:sz w:val="28"/>
          <w:szCs w:val="28"/>
          <w:lang w:val="en-US"/>
        </w:rPr>
        <w:t xml:space="preserve">. 20. – № 3. – </w:t>
      </w:r>
      <w:r w:rsidRPr="000F3C80">
        <w:rPr>
          <w:sz w:val="28"/>
          <w:szCs w:val="28"/>
        </w:rPr>
        <w:t>С</w:t>
      </w:r>
      <w:r w:rsidRPr="000F3C80">
        <w:rPr>
          <w:sz w:val="28"/>
          <w:szCs w:val="28"/>
          <w:lang w:val="en-US"/>
        </w:rPr>
        <w:t>. 474</w:t>
      </w:r>
      <w:r w:rsidR="00FD5797" w:rsidRPr="000F3C80">
        <w:rPr>
          <w:sz w:val="28"/>
          <w:szCs w:val="28"/>
          <w:lang w:val="en-US"/>
        </w:rPr>
        <w:t>-</w:t>
      </w:r>
      <w:r w:rsidRPr="000F3C80">
        <w:rPr>
          <w:sz w:val="28"/>
          <w:szCs w:val="28"/>
          <w:lang w:val="en-US"/>
        </w:rPr>
        <w:t>502.</w:t>
      </w:r>
    </w:p>
    <w:p w14:paraId="43E23CC0" w14:textId="0A59AE92"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Karlibaeva R., Yakhshiboyev R. Innovative approaches to sustainable business development in the era of digital transformation // Innovative Economics and Management. – 2024. – </w:t>
      </w:r>
      <w:r w:rsidRPr="000F3C80">
        <w:rPr>
          <w:sz w:val="28"/>
          <w:szCs w:val="28"/>
        </w:rPr>
        <w:t>Т</w:t>
      </w:r>
      <w:r w:rsidRPr="000F3C80">
        <w:rPr>
          <w:sz w:val="28"/>
          <w:szCs w:val="28"/>
          <w:lang w:val="en-US"/>
        </w:rPr>
        <w:t xml:space="preserve">. 11. – № 2. – </w:t>
      </w:r>
      <w:r w:rsidRPr="000F3C80">
        <w:rPr>
          <w:sz w:val="28"/>
          <w:szCs w:val="28"/>
        </w:rPr>
        <w:t>С</w:t>
      </w:r>
      <w:r w:rsidRPr="000F3C80">
        <w:rPr>
          <w:sz w:val="28"/>
          <w:szCs w:val="28"/>
          <w:lang w:val="en-US"/>
        </w:rPr>
        <w:t>. 101</w:t>
      </w:r>
      <w:r w:rsidR="00FD5797" w:rsidRPr="000F3C80">
        <w:rPr>
          <w:sz w:val="28"/>
          <w:szCs w:val="28"/>
          <w:lang w:val="en-US"/>
        </w:rPr>
        <w:t>-</w:t>
      </w:r>
      <w:r w:rsidRPr="000F3C80">
        <w:rPr>
          <w:sz w:val="28"/>
          <w:szCs w:val="28"/>
          <w:lang w:val="en-US"/>
        </w:rPr>
        <w:t>108.</w:t>
      </w:r>
    </w:p>
    <w:p w14:paraId="59416E96" w14:textId="54342054"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Lu S. Examining green innovation and digital transformation as essential factors of sustainable performance // Highlights in Business, Economics and Management. – 2024. – </w:t>
      </w:r>
      <w:r w:rsidRPr="000F3C80">
        <w:rPr>
          <w:sz w:val="28"/>
          <w:szCs w:val="28"/>
        </w:rPr>
        <w:t>Т</w:t>
      </w:r>
      <w:r w:rsidRPr="000F3C80">
        <w:rPr>
          <w:sz w:val="28"/>
          <w:szCs w:val="28"/>
          <w:lang w:val="en-US"/>
        </w:rPr>
        <w:t xml:space="preserve">. 39. – </w:t>
      </w:r>
      <w:r w:rsidRPr="000F3C80">
        <w:rPr>
          <w:sz w:val="28"/>
          <w:szCs w:val="28"/>
        </w:rPr>
        <w:t>С</w:t>
      </w:r>
      <w:r w:rsidRPr="000F3C80">
        <w:rPr>
          <w:sz w:val="28"/>
          <w:szCs w:val="28"/>
          <w:lang w:val="en-US"/>
        </w:rPr>
        <w:t>. 625</w:t>
      </w:r>
      <w:r w:rsidR="00FD5797" w:rsidRPr="000F3C80">
        <w:rPr>
          <w:sz w:val="28"/>
          <w:szCs w:val="28"/>
          <w:lang w:val="en-US"/>
        </w:rPr>
        <w:t>-</w:t>
      </w:r>
      <w:r w:rsidRPr="000F3C80">
        <w:rPr>
          <w:sz w:val="28"/>
          <w:szCs w:val="28"/>
          <w:lang w:val="en-US"/>
        </w:rPr>
        <w:t>630.</w:t>
      </w:r>
    </w:p>
    <w:p w14:paraId="3E3C4C5B" w14:textId="4DC2BA70"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Hilorme T. Transformational economy: theoretical and practical aspects</w:t>
      </w:r>
      <w:r w:rsidR="00B948F3" w:rsidRPr="000F3C80">
        <w:rPr>
          <w:sz w:val="28"/>
          <w:szCs w:val="28"/>
          <w:lang w:val="kk-KZ"/>
        </w:rPr>
        <w:t>: Collective monograph</w:t>
      </w:r>
      <w:r w:rsidRPr="000F3C80">
        <w:rPr>
          <w:sz w:val="28"/>
          <w:szCs w:val="28"/>
          <w:lang w:val="en-US"/>
        </w:rPr>
        <w:t xml:space="preserve">. – Riga: Baltija Publishing, 2024. – </w:t>
      </w:r>
      <w:r w:rsidR="00B948F3" w:rsidRPr="000F3C80">
        <w:rPr>
          <w:sz w:val="28"/>
          <w:szCs w:val="28"/>
          <w:lang w:val="kk-KZ"/>
        </w:rPr>
        <w:t xml:space="preserve">684 </w:t>
      </w:r>
      <w:r w:rsidRPr="000F3C80">
        <w:rPr>
          <w:rStyle w:val="af1"/>
          <w:b w:val="0"/>
          <w:iCs/>
          <w:sz w:val="28"/>
          <w:szCs w:val="28"/>
          <w:lang w:val="en-US"/>
        </w:rPr>
        <w:t>p.</w:t>
      </w:r>
    </w:p>
    <w:p w14:paraId="2A4A0D10" w14:textId="1D077F5D"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Philp S., Ulrich P., Metzger J., Stockert F. Exploring future research paths for the twin transformation – combining digital and sustainable innovation // International Journal of Innovation Management. – 2025. – </w:t>
      </w:r>
      <w:r w:rsidRPr="000F3C80">
        <w:rPr>
          <w:sz w:val="28"/>
          <w:szCs w:val="28"/>
        </w:rPr>
        <w:t>Т</w:t>
      </w:r>
      <w:r w:rsidRPr="000F3C80">
        <w:rPr>
          <w:sz w:val="28"/>
          <w:szCs w:val="28"/>
          <w:lang w:val="en-US"/>
        </w:rPr>
        <w:t>. 29. – № 5</w:t>
      </w:r>
      <w:r w:rsidR="00FD5797" w:rsidRPr="000F3C80">
        <w:rPr>
          <w:sz w:val="28"/>
          <w:szCs w:val="28"/>
          <w:lang w:val="en-US"/>
        </w:rPr>
        <w:t>-</w:t>
      </w:r>
      <w:r w:rsidRPr="000F3C80">
        <w:rPr>
          <w:sz w:val="28"/>
          <w:szCs w:val="28"/>
          <w:lang w:val="en-US"/>
        </w:rPr>
        <w:t>6. – Article 2540013.</w:t>
      </w:r>
    </w:p>
    <w:p w14:paraId="75E3D5A8" w14:textId="7752CB8A"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Krysovatyy I., Aliiev E. Business processes in conditions of sustainable development: digital transformation of marketing and innovation // Actual Problems of International Relations. – 2024. – № 161. – </w:t>
      </w:r>
      <w:r w:rsidRPr="000F3C80">
        <w:rPr>
          <w:sz w:val="28"/>
          <w:szCs w:val="28"/>
        </w:rPr>
        <w:t>С</w:t>
      </w:r>
      <w:r w:rsidRPr="000F3C80">
        <w:rPr>
          <w:sz w:val="28"/>
          <w:szCs w:val="28"/>
          <w:lang w:val="en-US"/>
        </w:rPr>
        <w:t>. 168</w:t>
      </w:r>
      <w:r w:rsidR="00630F08" w:rsidRPr="000F3C80">
        <w:rPr>
          <w:sz w:val="28"/>
          <w:szCs w:val="28"/>
          <w:lang w:val="en-US"/>
        </w:rPr>
        <w:t>-</w:t>
      </w:r>
      <w:r w:rsidRPr="000F3C80">
        <w:rPr>
          <w:sz w:val="28"/>
          <w:szCs w:val="28"/>
          <w:lang w:val="en-US"/>
        </w:rPr>
        <w:t>176.</w:t>
      </w:r>
    </w:p>
    <w:p w14:paraId="40888CBC" w14:textId="0C948F23"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Wu Y. Research on enterprise management innovation driven by digital transformation: a case study of Haier Group // International Journal of Global Economy and Management. – 2024. – </w:t>
      </w:r>
      <w:r w:rsidRPr="000F3C80">
        <w:rPr>
          <w:sz w:val="28"/>
          <w:szCs w:val="28"/>
        </w:rPr>
        <w:t>Т</w:t>
      </w:r>
      <w:r w:rsidRPr="000F3C80">
        <w:rPr>
          <w:sz w:val="28"/>
          <w:szCs w:val="28"/>
          <w:lang w:val="en-US"/>
        </w:rPr>
        <w:t xml:space="preserve">. 4. – № 3. – </w:t>
      </w:r>
      <w:r w:rsidRPr="000F3C80">
        <w:rPr>
          <w:sz w:val="28"/>
          <w:szCs w:val="28"/>
        </w:rPr>
        <w:t>С</w:t>
      </w:r>
      <w:r w:rsidRPr="000F3C80">
        <w:rPr>
          <w:sz w:val="28"/>
          <w:szCs w:val="28"/>
          <w:lang w:val="en-US"/>
        </w:rPr>
        <w:t>. 62</w:t>
      </w:r>
      <w:r w:rsidR="00630F08" w:rsidRPr="000F3C80">
        <w:rPr>
          <w:sz w:val="28"/>
          <w:szCs w:val="28"/>
          <w:lang w:val="en-US"/>
        </w:rPr>
        <w:t>-</w:t>
      </w:r>
      <w:r w:rsidRPr="000F3C80">
        <w:rPr>
          <w:sz w:val="28"/>
          <w:szCs w:val="28"/>
          <w:lang w:val="en-US"/>
        </w:rPr>
        <w:t>67.</w:t>
      </w:r>
    </w:p>
    <w:p w14:paraId="518BE821" w14:textId="5855A23B"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Rudakova L. V., Trofimova N. N. Innovative capabilities and organizational flexibility in the era of digital transformation // </w:t>
      </w:r>
      <w:r w:rsidRPr="000F3C80">
        <w:rPr>
          <w:sz w:val="28"/>
          <w:szCs w:val="28"/>
        </w:rPr>
        <w:t>Экономика</w:t>
      </w:r>
      <w:r w:rsidRPr="000F3C80">
        <w:rPr>
          <w:sz w:val="28"/>
          <w:szCs w:val="28"/>
          <w:lang w:val="en-US"/>
        </w:rPr>
        <w:t xml:space="preserve"> </w:t>
      </w:r>
      <w:r w:rsidRPr="000F3C80">
        <w:rPr>
          <w:sz w:val="28"/>
          <w:szCs w:val="28"/>
        </w:rPr>
        <w:t>и</w:t>
      </w:r>
      <w:r w:rsidRPr="000F3C80">
        <w:rPr>
          <w:sz w:val="28"/>
          <w:szCs w:val="28"/>
          <w:lang w:val="en-US"/>
        </w:rPr>
        <w:t xml:space="preserve"> </w:t>
      </w:r>
      <w:r w:rsidRPr="000F3C80">
        <w:rPr>
          <w:sz w:val="28"/>
          <w:szCs w:val="28"/>
        </w:rPr>
        <w:t>управление</w:t>
      </w:r>
      <w:r w:rsidRPr="000F3C80">
        <w:rPr>
          <w:sz w:val="28"/>
          <w:szCs w:val="28"/>
          <w:lang w:val="en-US"/>
        </w:rPr>
        <w:t xml:space="preserve">: </w:t>
      </w:r>
      <w:r w:rsidRPr="000F3C80">
        <w:rPr>
          <w:sz w:val="28"/>
          <w:szCs w:val="28"/>
        </w:rPr>
        <w:t>проблемы</w:t>
      </w:r>
      <w:r w:rsidRPr="000F3C80">
        <w:rPr>
          <w:sz w:val="28"/>
          <w:szCs w:val="28"/>
          <w:lang w:val="en-US"/>
        </w:rPr>
        <w:t xml:space="preserve"> </w:t>
      </w:r>
      <w:r w:rsidRPr="000F3C80">
        <w:rPr>
          <w:sz w:val="28"/>
          <w:szCs w:val="28"/>
        </w:rPr>
        <w:t>решения</w:t>
      </w:r>
      <w:r w:rsidRPr="000F3C80">
        <w:rPr>
          <w:sz w:val="28"/>
          <w:szCs w:val="28"/>
          <w:lang w:val="en-US"/>
        </w:rPr>
        <w:t xml:space="preserve">. – 2024. – </w:t>
      </w:r>
      <w:r w:rsidRPr="000F3C80">
        <w:rPr>
          <w:sz w:val="28"/>
          <w:szCs w:val="28"/>
        </w:rPr>
        <w:t>Т</w:t>
      </w:r>
      <w:r w:rsidRPr="000F3C80">
        <w:rPr>
          <w:sz w:val="28"/>
          <w:szCs w:val="28"/>
          <w:lang w:val="en-US"/>
        </w:rPr>
        <w:t xml:space="preserve">. 12/7. – </w:t>
      </w:r>
      <w:r w:rsidRPr="000F3C80">
        <w:rPr>
          <w:sz w:val="28"/>
          <w:szCs w:val="28"/>
        </w:rPr>
        <w:t>Вып</w:t>
      </w:r>
      <w:r w:rsidRPr="000F3C80">
        <w:rPr>
          <w:sz w:val="28"/>
          <w:szCs w:val="28"/>
          <w:lang w:val="en-US"/>
        </w:rPr>
        <w:t xml:space="preserve">. 153. – </w:t>
      </w:r>
      <w:r w:rsidRPr="000F3C80">
        <w:rPr>
          <w:sz w:val="28"/>
          <w:szCs w:val="28"/>
        </w:rPr>
        <w:t>С</w:t>
      </w:r>
      <w:r w:rsidRPr="000F3C80">
        <w:rPr>
          <w:sz w:val="28"/>
          <w:szCs w:val="28"/>
          <w:lang w:val="en-US"/>
        </w:rPr>
        <w:t>. 199</w:t>
      </w:r>
      <w:r w:rsidR="00630F08" w:rsidRPr="000F3C80">
        <w:rPr>
          <w:sz w:val="28"/>
          <w:szCs w:val="28"/>
          <w:lang w:val="en-US"/>
        </w:rPr>
        <w:t>-</w:t>
      </w:r>
      <w:r w:rsidRPr="000F3C80">
        <w:rPr>
          <w:sz w:val="28"/>
          <w:szCs w:val="28"/>
          <w:lang w:val="en-US"/>
        </w:rPr>
        <w:t>205.</w:t>
      </w:r>
    </w:p>
    <w:p w14:paraId="7F552009" w14:textId="7D186E0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rPr>
      </w:pPr>
      <w:r w:rsidRPr="000F3C80">
        <w:rPr>
          <w:sz w:val="28"/>
          <w:szCs w:val="28"/>
        </w:rPr>
        <w:t>Киселёв Р. О. Инновационный потенциал субъектов хозяйственной деятельности в условиях цифровой трансформации // Вестник Челябинского государственного университета. – 2023. – Т. 478. – № 8. – С. 194</w:t>
      </w:r>
      <w:r w:rsidR="00630F08" w:rsidRPr="000F3C80">
        <w:rPr>
          <w:sz w:val="28"/>
          <w:szCs w:val="28"/>
        </w:rPr>
        <w:t>-</w:t>
      </w:r>
      <w:r w:rsidRPr="000F3C80">
        <w:rPr>
          <w:sz w:val="28"/>
          <w:szCs w:val="28"/>
        </w:rPr>
        <w:t>204.</w:t>
      </w:r>
    </w:p>
    <w:p w14:paraId="7FBB089B" w14:textId="5DCDAF28"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rPr>
      </w:pPr>
      <w:r w:rsidRPr="000F3C80">
        <w:rPr>
          <w:sz w:val="28"/>
          <w:szCs w:val="28"/>
        </w:rPr>
        <w:t>Молохович М. В. Инновационный инструментарий управления ресурсным потенциалом компании // Вестник Полоцкого государственного университета. Серия экономические и юридические науки. – 2023. – № 3. – С. 45</w:t>
      </w:r>
      <w:r w:rsidR="00630F08" w:rsidRPr="000F3C80">
        <w:rPr>
          <w:sz w:val="28"/>
          <w:szCs w:val="28"/>
        </w:rPr>
        <w:t>-</w:t>
      </w:r>
      <w:r w:rsidRPr="000F3C80">
        <w:rPr>
          <w:sz w:val="28"/>
          <w:szCs w:val="28"/>
        </w:rPr>
        <w:t>48.</w:t>
      </w:r>
    </w:p>
    <w:p w14:paraId="45460E94" w14:textId="590A374C"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rPr>
      </w:pPr>
      <w:r w:rsidRPr="000F3C80">
        <w:rPr>
          <w:sz w:val="28"/>
          <w:szCs w:val="28"/>
        </w:rPr>
        <w:t>Трофимова Н. Н. Стратегия укрепления инновационного потенциала компании и его адаптации к высокодинамичным рыночным условиям // Экономика и управление: проблемы решения. – 2024. – Т. 12/1. – Вып. 153. – С. 63</w:t>
      </w:r>
      <w:r w:rsidR="00630F08" w:rsidRPr="000F3C80">
        <w:rPr>
          <w:sz w:val="28"/>
          <w:szCs w:val="28"/>
        </w:rPr>
        <w:t>-</w:t>
      </w:r>
      <w:r w:rsidRPr="000F3C80">
        <w:rPr>
          <w:sz w:val="28"/>
          <w:szCs w:val="28"/>
        </w:rPr>
        <w:t>70.</w:t>
      </w:r>
    </w:p>
    <w:p w14:paraId="2BAA2FBD" w14:textId="33AE340D"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Illiashenko S., Shypulina Y., Illiashenko N., Raiko D. Management of the innovative development potential of industrial enterprises in the digital economy // Economic Herald of SHEI USUCT. – 2022. – </w:t>
      </w:r>
      <w:r w:rsidRPr="000F3C80">
        <w:rPr>
          <w:sz w:val="28"/>
          <w:szCs w:val="28"/>
        </w:rPr>
        <w:t>Т</w:t>
      </w:r>
      <w:r w:rsidRPr="000F3C80">
        <w:rPr>
          <w:sz w:val="28"/>
          <w:szCs w:val="28"/>
          <w:lang w:val="en-US"/>
        </w:rPr>
        <w:t xml:space="preserve">. 16. – № 2. – </w:t>
      </w:r>
      <w:r w:rsidRPr="000F3C80">
        <w:rPr>
          <w:sz w:val="28"/>
          <w:szCs w:val="28"/>
        </w:rPr>
        <w:t>С</w:t>
      </w:r>
      <w:r w:rsidRPr="000F3C80">
        <w:rPr>
          <w:sz w:val="28"/>
          <w:szCs w:val="28"/>
          <w:lang w:val="en-US"/>
        </w:rPr>
        <w:t>. 97</w:t>
      </w:r>
      <w:r w:rsidR="00630F08" w:rsidRPr="000F3C80">
        <w:rPr>
          <w:sz w:val="28"/>
          <w:szCs w:val="28"/>
          <w:lang w:val="en-US"/>
        </w:rPr>
        <w:t>-</w:t>
      </w:r>
      <w:r w:rsidRPr="000F3C80">
        <w:rPr>
          <w:sz w:val="28"/>
          <w:szCs w:val="28"/>
          <w:lang w:val="en-US"/>
        </w:rPr>
        <w:t>106.</w:t>
      </w:r>
    </w:p>
    <w:p w14:paraId="3AF635AF" w14:textId="78AB073E"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Kero C. A., Bogale A. T. A systematic review of resource-based view and dynamic capabilities of firms and future research avenues // International Journal of Sustainable Development and Planning. – 2023. – </w:t>
      </w:r>
      <w:r w:rsidRPr="000F3C80">
        <w:rPr>
          <w:sz w:val="28"/>
          <w:szCs w:val="28"/>
        </w:rPr>
        <w:t>Т</w:t>
      </w:r>
      <w:r w:rsidRPr="000F3C80">
        <w:rPr>
          <w:sz w:val="28"/>
          <w:szCs w:val="28"/>
          <w:lang w:val="en-US"/>
        </w:rPr>
        <w:t xml:space="preserve">. 18. – № 10. – </w:t>
      </w:r>
      <w:r w:rsidRPr="000F3C80">
        <w:rPr>
          <w:sz w:val="28"/>
          <w:szCs w:val="28"/>
        </w:rPr>
        <w:t>С</w:t>
      </w:r>
      <w:r w:rsidRPr="000F3C80">
        <w:rPr>
          <w:sz w:val="28"/>
          <w:szCs w:val="28"/>
          <w:lang w:val="en-US"/>
        </w:rPr>
        <w:t>. 3137</w:t>
      </w:r>
      <w:r w:rsidR="00630F08" w:rsidRPr="000F3C80">
        <w:rPr>
          <w:sz w:val="28"/>
          <w:szCs w:val="28"/>
          <w:lang w:val="en-US"/>
        </w:rPr>
        <w:t>-</w:t>
      </w:r>
      <w:r w:rsidRPr="000F3C80">
        <w:rPr>
          <w:sz w:val="28"/>
          <w:szCs w:val="28"/>
          <w:lang w:val="en-US"/>
        </w:rPr>
        <w:t>3154.</w:t>
      </w:r>
    </w:p>
    <w:p w14:paraId="1276541E" w14:textId="1F1AC505"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lastRenderedPageBreak/>
        <w:t xml:space="preserve">Kim M., Song J., Triche J. Toward an integrated framework for innovation in service: a resource-based view and dynamic capabilities approach // Information Systems Frontiers. – 2015. – </w:t>
      </w:r>
      <w:r w:rsidRPr="000F3C80">
        <w:rPr>
          <w:sz w:val="28"/>
          <w:szCs w:val="28"/>
        </w:rPr>
        <w:t>Т</w:t>
      </w:r>
      <w:r w:rsidRPr="000F3C80">
        <w:rPr>
          <w:sz w:val="28"/>
          <w:szCs w:val="28"/>
          <w:lang w:val="en-US"/>
        </w:rPr>
        <w:t xml:space="preserve">. 17. – № 3. – </w:t>
      </w:r>
      <w:r w:rsidRPr="000F3C80">
        <w:rPr>
          <w:sz w:val="28"/>
          <w:szCs w:val="28"/>
        </w:rPr>
        <w:t>С</w:t>
      </w:r>
      <w:r w:rsidRPr="000F3C80">
        <w:rPr>
          <w:sz w:val="28"/>
          <w:szCs w:val="28"/>
          <w:lang w:val="en-US"/>
        </w:rPr>
        <w:t>. 533</w:t>
      </w:r>
      <w:r w:rsidR="00630F08" w:rsidRPr="000F3C80">
        <w:rPr>
          <w:sz w:val="28"/>
          <w:szCs w:val="28"/>
          <w:lang w:val="en-US"/>
        </w:rPr>
        <w:t>-</w:t>
      </w:r>
      <w:r w:rsidRPr="000F3C80">
        <w:rPr>
          <w:sz w:val="28"/>
          <w:szCs w:val="28"/>
          <w:lang w:val="en-US"/>
        </w:rPr>
        <w:t>546.</w:t>
      </w:r>
    </w:p>
    <w:p w14:paraId="6085B8B2" w14:textId="26630D13"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Nazara D. S., Sutrisno A., Nersiwad, Muslimin M. Digital transformation in operations management: leveraging technology to improve business efficiency // Maneggio. – 2024. – </w:t>
      </w:r>
      <w:r w:rsidRPr="000F3C80">
        <w:rPr>
          <w:sz w:val="28"/>
          <w:szCs w:val="28"/>
        </w:rPr>
        <w:t>Т</w:t>
      </w:r>
      <w:r w:rsidRPr="000F3C80">
        <w:rPr>
          <w:sz w:val="28"/>
          <w:szCs w:val="28"/>
          <w:lang w:val="en-US"/>
        </w:rPr>
        <w:t xml:space="preserve">. 1. – № 5. – </w:t>
      </w:r>
      <w:r w:rsidRPr="000F3C80">
        <w:rPr>
          <w:sz w:val="28"/>
          <w:szCs w:val="28"/>
        </w:rPr>
        <w:t>С</w:t>
      </w:r>
      <w:r w:rsidRPr="000F3C80">
        <w:rPr>
          <w:sz w:val="28"/>
          <w:szCs w:val="28"/>
          <w:lang w:val="en-US"/>
        </w:rPr>
        <w:t>. 77</w:t>
      </w:r>
      <w:r w:rsidR="00630F08" w:rsidRPr="000F3C80">
        <w:rPr>
          <w:sz w:val="28"/>
          <w:szCs w:val="28"/>
          <w:lang w:val="en-US"/>
        </w:rPr>
        <w:t>-</w:t>
      </w:r>
      <w:r w:rsidRPr="000F3C80">
        <w:rPr>
          <w:sz w:val="28"/>
          <w:szCs w:val="28"/>
          <w:lang w:val="en-US"/>
        </w:rPr>
        <w:t>84.</w:t>
      </w:r>
    </w:p>
    <w:p w14:paraId="050B6E8B"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Jiang K., Chen L., Li J., Du X. The risk effects of corporate digitalization: exacerbate or mitigate? // Humanities and Social Sciences Communications. – 2025. – </w:t>
      </w:r>
      <w:r w:rsidRPr="000F3C80">
        <w:rPr>
          <w:sz w:val="28"/>
          <w:szCs w:val="28"/>
        </w:rPr>
        <w:t>Т</w:t>
      </w:r>
      <w:r w:rsidRPr="000F3C80">
        <w:rPr>
          <w:sz w:val="28"/>
          <w:szCs w:val="28"/>
          <w:lang w:val="en-US"/>
        </w:rPr>
        <w:t>. 12. – № 1. – Article 317.</w:t>
      </w:r>
    </w:p>
    <w:p w14:paraId="229C70DD"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Ginting H., Utami H. N., Riyadi R., Hutahayan B. Exploring the impact of servitization and digitalization on firm competitiveness and performance: the moderating role of government support // Sustainability. – 2025. – </w:t>
      </w:r>
      <w:r w:rsidRPr="000F3C80">
        <w:rPr>
          <w:sz w:val="28"/>
          <w:szCs w:val="28"/>
        </w:rPr>
        <w:t>Т</w:t>
      </w:r>
      <w:r w:rsidRPr="000F3C80">
        <w:rPr>
          <w:sz w:val="28"/>
          <w:szCs w:val="28"/>
          <w:lang w:val="en-US"/>
        </w:rPr>
        <w:t>. 17. – № 19. – Article 8756.</w:t>
      </w:r>
    </w:p>
    <w:p w14:paraId="66A281C2"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Kraus S., Durst S., Ferreira J. J., Veiga P., Kailer N., Weinmann A. Digital transformation in business and management research: an overview of the current status quo // International Journal of Information Management. – 2022. – </w:t>
      </w:r>
      <w:r w:rsidRPr="000F3C80">
        <w:rPr>
          <w:sz w:val="28"/>
          <w:szCs w:val="28"/>
        </w:rPr>
        <w:t>Т</w:t>
      </w:r>
      <w:r w:rsidRPr="000F3C80">
        <w:rPr>
          <w:sz w:val="28"/>
          <w:szCs w:val="28"/>
          <w:lang w:val="en-US"/>
        </w:rPr>
        <w:t>. 63. – Article 102466.</w:t>
      </w:r>
    </w:p>
    <w:p w14:paraId="0358E784"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Cui Z., Diwu S. Human capital upgrading and enterprise innovation efficiency // Finance Research Letters. – 2024. – </w:t>
      </w:r>
      <w:r w:rsidRPr="000F3C80">
        <w:rPr>
          <w:sz w:val="28"/>
          <w:szCs w:val="28"/>
        </w:rPr>
        <w:t>Т</w:t>
      </w:r>
      <w:r w:rsidRPr="000F3C80">
        <w:rPr>
          <w:sz w:val="28"/>
          <w:szCs w:val="28"/>
          <w:lang w:val="en-US"/>
        </w:rPr>
        <w:t>. 65. – Article 105628.</w:t>
      </w:r>
    </w:p>
    <w:p w14:paraId="04B665FC"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Tatlı H. S. Linking human capital to innovation capability: a dynamic capabilities perspective // Karamanoğlu Mehmetbey Üniversitesi Sosyal ve Ekonomik Araştırmalar Dergisi. – 2024. – </w:t>
      </w:r>
      <w:r w:rsidRPr="000F3C80">
        <w:rPr>
          <w:sz w:val="28"/>
          <w:szCs w:val="28"/>
        </w:rPr>
        <w:t>Т</w:t>
      </w:r>
      <w:r w:rsidRPr="000F3C80">
        <w:rPr>
          <w:sz w:val="28"/>
          <w:szCs w:val="28"/>
          <w:lang w:val="en-US"/>
        </w:rPr>
        <w:t xml:space="preserve">. 26. – № 47. – </w:t>
      </w:r>
      <w:r w:rsidRPr="000F3C80">
        <w:rPr>
          <w:sz w:val="28"/>
          <w:szCs w:val="28"/>
        </w:rPr>
        <w:t>С</w:t>
      </w:r>
      <w:r w:rsidRPr="000F3C80">
        <w:rPr>
          <w:sz w:val="28"/>
          <w:szCs w:val="28"/>
          <w:lang w:val="en-US"/>
        </w:rPr>
        <w:t>. 961–977.</w:t>
      </w:r>
    </w:p>
    <w:p w14:paraId="64731C68" w14:textId="13E72819"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Younas M. Z. Regional institutional quality and firm-level innovation: a case of selected South Asian economies // Quality &amp; Quantity. – 2023. – </w:t>
      </w:r>
      <w:r w:rsidRPr="000F3C80">
        <w:rPr>
          <w:sz w:val="28"/>
          <w:szCs w:val="28"/>
        </w:rPr>
        <w:t>Т</w:t>
      </w:r>
      <w:r w:rsidRPr="000F3C80">
        <w:rPr>
          <w:sz w:val="28"/>
          <w:szCs w:val="28"/>
          <w:lang w:val="en-US"/>
        </w:rPr>
        <w:t xml:space="preserve">. 57. – № 1. – </w:t>
      </w:r>
      <w:r w:rsidRPr="000F3C80">
        <w:rPr>
          <w:sz w:val="28"/>
          <w:szCs w:val="28"/>
        </w:rPr>
        <w:t>С</w:t>
      </w:r>
      <w:r w:rsidRPr="000F3C80">
        <w:rPr>
          <w:sz w:val="28"/>
          <w:szCs w:val="28"/>
          <w:lang w:val="en-US"/>
        </w:rPr>
        <w:t>. 615</w:t>
      </w:r>
      <w:r w:rsidR="00630F08" w:rsidRPr="000F3C80">
        <w:rPr>
          <w:sz w:val="28"/>
          <w:szCs w:val="28"/>
          <w:lang w:val="en-US"/>
        </w:rPr>
        <w:t>-</w:t>
      </w:r>
      <w:r w:rsidRPr="000F3C80">
        <w:rPr>
          <w:sz w:val="28"/>
          <w:szCs w:val="28"/>
          <w:lang w:val="en-US"/>
        </w:rPr>
        <w:t>643.</w:t>
      </w:r>
    </w:p>
    <w:p w14:paraId="2F15B3E6"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Lushaku-Elshani F. The role of institutional factors on SME firm growth // Multidisciplinary Science Journal. – 2024. – </w:t>
      </w:r>
      <w:r w:rsidRPr="000F3C80">
        <w:rPr>
          <w:sz w:val="28"/>
          <w:szCs w:val="28"/>
        </w:rPr>
        <w:t>Т</w:t>
      </w:r>
      <w:r w:rsidRPr="000F3C80">
        <w:rPr>
          <w:sz w:val="28"/>
          <w:szCs w:val="28"/>
          <w:lang w:val="en-US"/>
        </w:rPr>
        <w:t>. 7. – № 5. – Article 2025249.</w:t>
      </w:r>
    </w:p>
    <w:p w14:paraId="6EA34A88"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Su X., Mou C., Zhou S. Institutional environment, technological innovation capability and service-oriented transformation // PLOS ONE. – 2023. – </w:t>
      </w:r>
      <w:r w:rsidRPr="000F3C80">
        <w:rPr>
          <w:sz w:val="28"/>
          <w:szCs w:val="28"/>
        </w:rPr>
        <w:t>Т</w:t>
      </w:r>
      <w:r w:rsidRPr="000F3C80">
        <w:rPr>
          <w:sz w:val="28"/>
          <w:szCs w:val="28"/>
          <w:lang w:val="en-US"/>
        </w:rPr>
        <w:t>. 18. – № 2. – Article e0281403.</w:t>
      </w:r>
    </w:p>
    <w:p w14:paraId="096F244B"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OECD. The digital transformation of SMEs // OECD Studies on SMEs and Entrepreneurship. – Paris: OECD Publishing, 2021.</w:t>
      </w:r>
    </w:p>
    <w:p w14:paraId="07CFFF7B"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Radicic D., Petković S. Impact of digitalization on technological innovations in small and medium-sized enterprises (SMEs) // Technological Forecasting and Social Change. – 2023. – </w:t>
      </w:r>
      <w:r w:rsidRPr="000F3C80">
        <w:rPr>
          <w:sz w:val="28"/>
          <w:szCs w:val="28"/>
        </w:rPr>
        <w:t>Т</w:t>
      </w:r>
      <w:r w:rsidRPr="000F3C80">
        <w:rPr>
          <w:sz w:val="28"/>
          <w:szCs w:val="28"/>
          <w:lang w:val="en-US"/>
        </w:rPr>
        <w:t>. 191. – Article 122474.</w:t>
      </w:r>
    </w:p>
    <w:p w14:paraId="5188C7EE" w14:textId="51C5B95F"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Frias J., Cirera X., Hill J., Li Y. A practitioner’s guide to innovation policy. – Washington, DC: World Bank, 2020. – </w:t>
      </w:r>
      <w:r w:rsidR="00B948F3" w:rsidRPr="000F3C80">
        <w:rPr>
          <w:sz w:val="28"/>
          <w:szCs w:val="28"/>
          <w:lang w:val="kk-KZ"/>
        </w:rPr>
        <w:t xml:space="preserve">348 </w:t>
      </w:r>
      <w:r w:rsidRPr="000F3C80">
        <w:rPr>
          <w:rStyle w:val="af1"/>
          <w:b w:val="0"/>
          <w:iCs/>
          <w:sz w:val="28"/>
          <w:szCs w:val="28"/>
          <w:lang w:val="en-US"/>
        </w:rPr>
        <w:t>p.</w:t>
      </w:r>
    </w:p>
    <w:p w14:paraId="076AE2C9"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Yang J., Yu M. The influence of institutional support on the innovation performance of new ventures: the mediating mechanism of entrepreneurial orientation // Sustainability. – 2022. – </w:t>
      </w:r>
      <w:r w:rsidRPr="000F3C80">
        <w:rPr>
          <w:sz w:val="28"/>
          <w:szCs w:val="28"/>
        </w:rPr>
        <w:t>Т</w:t>
      </w:r>
      <w:r w:rsidRPr="000F3C80">
        <w:rPr>
          <w:sz w:val="28"/>
          <w:szCs w:val="28"/>
          <w:lang w:val="en-US"/>
        </w:rPr>
        <w:t>. 14. – № 4. – Article 2212.</w:t>
      </w:r>
    </w:p>
    <w:p w14:paraId="2A8AED05" w14:textId="68EFFEEC"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rPr>
      </w:pPr>
      <w:r w:rsidRPr="000F3C80">
        <w:rPr>
          <w:sz w:val="28"/>
          <w:szCs w:val="28"/>
        </w:rPr>
        <w:t>Никитская Е. Ф., Валишвили М. А. Институциональные аспекты инновационного развития территорий // Креативная экономика. – 2018. – Т. 12. – № 5. – С. 573</w:t>
      </w:r>
      <w:r w:rsidR="00630F08" w:rsidRPr="000F3C80">
        <w:rPr>
          <w:sz w:val="28"/>
          <w:szCs w:val="28"/>
        </w:rPr>
        <w:t>-</w:t>
      </w:r>
      <w:r w:rsidRPr="000F3C80">
        <w:rPr>
          <w:sz w:val="28"/>
          <w:szCs w:val="28"/>
        </w:rPr>
        <w:t>586.</w:t>
      </w:r>
    </w:p>
    <w:p w14:paraId="2EB3B4E8"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lastRenderedPageBreak/>
        <w:t>Akbar A., Usman M., Lin T. Institutional dynamics and corporate innovation: A pathway to sustainable development // Sustainable Development. – 2024. – Vol. 32. – No. 3. – P. 2474–2488.</w:t>
      </w:r>
    </w:p>
    <w:p w14:paraId="3F2FE4D3" w14:textId="6DF7C923"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Almansoori S. I., Araci Z. C., Dweiri F. A structural equation modeling approach to evaluating innovation dynamics’ effect on SME performance in the United Arab Emirates // Discover Applied Sciences. – 2025. – Vol. 7. – No. 5. – P. 357</w:t>
      </w:r>
      <w:r w:rsidR="00630F08" w:rsidRPr="000F3C80">
        <w:rPr>
          <w:sz w:val="28"/>
          <w:szCs w:val="28"/>
          <w:lang w:val="en-US"/>
        </w:rPr>
        <w:t>-</w:t>
      </w:r>
      <w:r w:rsidRPr="000F3C80">
        <w:rPr>
          <w:sz w:val="28"/>
          <w:szCs w:val="28"/>
          <w:lang w:val="en-US"/>
        </w:rPr>
        <w:t>369.</w:t>
      </w:r>
    </w:p>
    <w:p w14:paraId="2B6A4380" w14:textId="5C51095D"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rPr>
      </w:pPr>
      <w:r w:rsidRPr="000F3C80">
        <w:rPr>
          <w:sz w:val="28"/>
          <w:szCs w:val="28"/>
        </w:rPr>
        <w:t>Черяпина А. В. Методические подходы к оценке инновационного потенциала малого промышленного предприятия // Креативная экономика. – 2015. – Т. 9. – № 10. – С. 1239</w:t>
      </w:r>
      <w:r w:rsidR="00630F08" w:rsidRPr="000F3C80">
        <w:rPr>
          <w:sz w:val="28"/>
          <w:szCs w:val="28"/>
        </w:rPr>
        <w:t>-</w:t>
      </w:r>
      <w:r w:rsidRPr="000F3C80">
        <w:rPr>
          <w:sz w:val="28"/>
          <w:szCs w:val="28"/>
        </w:rPr>
        <w:t>1254.</w:t>
      </w:r>
    </w:p>
    <w:p w14:paraId="26AC5EF7" w14:textId="78D903EF"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rPr>
      </w:pPr>
      <w:r w:rsidRPr="000F3C80">
        <w:rPr>
          <w:sz w:val="28"/>
          <w:szCs w:val="28"/>
        </w:rPr>
        <w:t>Гуркова М. Д. Обоснование важности применения регрессионного анализа как инструмента контроля и прогнозирования при реализации инновационной стратегии предприятия // Journal of Economics and Business. – 2020. – Vol. 64. – No. 6. – P. 83</w:t>
      </w:r>
      <w:r w:rsidR="00630F08" w:rsidRPr="000F3C80">
        <w:rPr>
          <w:sz w:val="28"/>
          <w:szCs w:val="28"/>
        </w:rPr>
        <w:t>-</w:t>
      </w:r>
      <w:r w:rsidRPr="000F3C80">
        <w:rPr>
          <w:sz w:val="28"/>
          <w:szCs w:val="28"/>
        </w:rPr>
        <w:t>88.</w:t>
      </w:r>
    </w:p>
    <w:p w14:paraId="3DC3FEED" w14:textId="5A46492B"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Liu W., Yang S. Why are executives interested in technology policy? Research on the mechanism of science and technology policy affecting enterprise innovation // Journal of Frontier Economics and Management Research. – 2025. – Vol. 1. – No. 1. – P. 185</w:t>
      </w:r>
      <w:r w:rsidR="00630F08" w:rsidRPr="000F3C80">
        <w:rPr>
          <w:sz w:val="28"/>
          <w:szCs w:val="28"/>
          <w:lang w:val="en-US"/>
        </w:rPr>
        <w:t>-</w:t>
      </w:r>
      <w:r w:rsidRPr="000F3C80">
        <w:rPr>
          <w:sz w:val="28"/>
          <w:szCs w:val="28"/>
          <w:lang w:val="en-US"/>
        </w:rPr>
        <w:t>204.</w:t>
      </w:r>
    </w:p>
    <w:p w14:paraId="231791BB" w14:textId="33450171"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Vijayalakshmi T., Kunel K., Madeshwaren V., Manju K. V. Financial institutions and SME growth in South India through access, innovation, and policy support // International Journal of Accounting and Economics Studies. – 2025. – Vol. 12. – No. 5. – P. 596</w:t>
      </w:r>
      <w:r w:rsidR="00630F08" w:rsidRPr="000F3C80">
        <w:rPr>
          <w:sz w:val="28"/>
          <w:szCs w:val="28"/>
          <w:lang w:val="en-US"/>
        </w:rPr>
        <w:t>-</w:t>
      </w:r>
      <w:r w:rsidRPr="000F3C80">
        <w:rPr>
          <w:sz w:val="28"/>
          <w:szCs w:val="28"/>
          <w:lang w:val="en-US"/>
        </w:rPr>
        <w:t>607.</w:t>
      </w:r>
    </w:p>
    <w:p w14:paraId="5A3E7F49" w14:textId="3645C2DF"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Karami M., Hossain M., Hashemi O., Mehrara N. Business ties and effectuation for radical innovation in small firms: the moderating role of competitive aggressiveness // Marketing Intelligence and Planning. – 2025. – Vol. 43. – No. 6. – P. 1</w:t>
      </w:r>
      <w:r w:rsidR="00630F08" w:rsidRPr="000F3C80">
        <w:rPr>
          <w:sz w:val="28"/>
          <w:szCs w:val="28"/>
          <w:lang w:val="en-US"/>
        </w:rPr>
        <w:t>-</w:t>
      </w:r>
      <w:r w:rsidRPr="000F3C80">
        <w:rPr>
          <w:sz w:val="28"/>
          <w:szCs w:val="28"/>
          <w:lang w:val="en-US"/>
        </w:rPr>
        <w:t>23.</w:t>
      </w:r>
    </w:p>
    <w:p w14:paraId="2AA5F0E2" w14:textId="47546ED1"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Seisenbayeva A., Imramziyeva M., Maukenova A. The impact of state support on the innovative activities of small and medium businesses in Kazakhstan // Bulletin of L. N. Gumilyov Eurasian National University. Economics Series. – 2023. – No. 3. – P. 279</w:t>
      </w:r>
      <w:r w:rsidR="00630F08" w:rsidRPr="000F3C80">
        <w:rPr>
          <w:sz w:val="28"/>
          <w:szCs w:val="28"/>
        </w:rPr>
        <w:t>-</w:t>
      </w:r>
      <w:r w:rsidRPr="000F3C80">
        <w:rPr>
          <w:sz w:val="28"/>
          <w:szCs w:val="28"/>
          <w:lang w:val="en-US"/>
        </w:rPr>
        <w:t>290.</w:t>
      </w:r>
    </w:p>
    <w:p w14:paraId="3B16CE04" w14:textId="198659DF"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Sadykova K., Barlybayeva A., Nemec J. Instruments for government support for innovation: international experience and options for Kazakhstan // Public Administration and Civil Service. – 2025. – Vol. 93. – No. 2. – P. 45</w:t>
      </w:r>
      <w:r w:rsidR="00630F08" w:rsidRPr="000F3C80">
        <w:rPr>
          <w:sz w:val="28"/>
          <w:szCs w:val="28"/>
          <w:lang w:val="en-US"/>
        </w:rPr>
        <w:t>-</w:t>
      </w:r>
      <w:r w:rsidRPr="000F3C80">
        <w:rPr>
          <w:sz w:val="28"/>
          <w:szCs w:val="28"/>
          <w:lang w:val="en-US"/>
        </w:rPr>
        <w:t>62.</w:t>
      </w:r>
    </w:p>
    <w:p w14:paraId="74EA46F7" w14:textId="37A94823"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Mukhiyayeva D., Kabikenov A., Nurkenova M. State of the innovation investment and innovation management in SMEs of Kazakhstan // Bulletin of L. N. Gumilyov Eurasian National University. Economics Series. – 2024. – No. 2. – P. 201</w:t>
      </w:r>
      <w:r w:rsidR="00630F08" w:rsidRPr="000F3C80">
        <w:rPr>
          <w:sz w:val="28"/>
          <w:szCs w:val="28"/>
        </w:rPr>
        <w:t>-</w:t>
      </w:r>
      <w:r w:rsidRPr="000F3C80">
        <w:rPr>
          <w:sz w:val="28"/>
          <w:szCs w:val="28"/>
          <w:lang w:val="en-US"/>
        </w:rPr>
        <w:t>216.</w:t>
      </w:r>
    </w:p>
    <w:p w14:paraId="5AB177ED" w14:textId="3DB26C30"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rPr>
      </w:pPr>
      <w:r w:rsidRPr="000F3C80">
        <w:rPr>
          <w:sz w:val="28"/>
          <w:szCs w:val="28"/>
        </w:rPr>
        <w:t>Смагулов Р. С., Бордияну И. В., Кайгородцев А. А., Браувайлер Г. К., Цирклер Б. Оптимизация управления малым бизнесом в Казахстане в постковидный период // Вестник Торайгыров университета. Экономическая серия. – 2025. – № 3. – С. 433</w:t>
      </w:r>
      <w:r w:rsidR="00630F08" w:rsidRPr="000F3C80">
        <w:rPr>
          <w:sz w:val="28"/>
          <w:szCs w:val="28"/>
        </w:rPr>
        <w:t>-</w:t>
      </w:r>
      <w:r w:rsidRPr="000F3C80">
        <w:rPr>
          <w:sz w:val="28"/>
          <w:szCs w:val="28"/>
        </w:rPr>
        <w:t>453.</w:t>
      </w:r>
    </w:p>
    <w:p w14:paraId="6552A539" w14:textId="17065B79"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Seitz J., Doblinger C. More money, more digital? The impact of state grants on digital transformation in small and medium-sized enterprises // SSRN Electronic Journal. – 2023. – P. 1</w:t>
      </w:r>
      <w:r w:rsidR="00630F08" w:rsidRPr="000F3C80">
        <w:rPr>
          <w:sz w:val="28"/>
          <w:szCs w:val="28"/>
          <w:lang w:val="en-US"/>
        </w:rPr>
        <w:t>-</w:t>
      </w:r>
      <w:r w:rsidRPr="000F3C80">
        <w:rPr>
          <w:sz w:val="28"/>
          <w:szCs w:val="28"/>
          <w:lang w:val="en-US"/>
        </w:rPr>
        <w:t>32.</w:t>
      </w:r>
    </w:p>
    <w:p w14:paraId="2E996BA7" w14:textId="5397E696"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lastRenderedPageBreak/>
        <w:t>Bindeeba D. S., Atuhaire S., Bakashaba R., Tukamushaba E. K. Digital business process integration and sustainability among SMEs: the mediating role of operational efficiency and the moderating role of credit access // Journal of Sustainable Business. – 2025. – Vol. 10. – No. 11. – P. 1</w:t>
      </w:r>
      <w:r w:rsidR="00630F08" w:rsidRPr="000F3C80">
        <w:rPr>
          <w:sz w:val="28"/>
          <w:szCs w:val="28"/>
          <w:lang w:val="en-US"/>
        </w:rPr>
        <w:t>-</w:t>
      </w:r>
      <w:r w:rsidRPr="000F3C80">
        <w:rPr>
          <w:sz w:val="28"/>
          <w:szCs w:val="28"/>
          <w:lang w:val="en-US"/>
        </w:rPr>
        <w:t>17.</w:t>
      </w:r>
    </w:p>
    <w:p w14:paraId="4EC3A761" w14:textId="6E957AB3"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Willie M. M., Mbongwe N. A. Assessing the impact of digitalisation on SME policy: a comparative analysis of approaches to support the manufacturing sector in the digital age – South Africa // Journal of Public Administration. – 2023. – Vol. 58. – No. 2. – P. 337</w:t>
      </w:r>
      <w:r w:rsidR="00630F08" w:rsidRPr="000F3C80">
        <w:rPr>
          <w:sz w:val="28"/>
          <w:szCs w:val="28"/>
          <w:lang w:val="en-US"/>
        </w:rPr>
        <w:t>-</w:t>
      </w:r>
      <w:r w:rsidRPr="000F3C80">
        <w:rPr>
          <w:sz w:val="28"/>
          <w:szCs w:val="28"/>
          <w:lang w:val="en-US"/>
        </w:rPr>
        <w:t>350.</w:t>
      </w:r>
    </w:p>
    <w:p w14:paraId="42F9198B"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Jun W., Ran X. Q. Dynamics in digital finance and its impact on SME financing // Heliyon. – 2024. – Vol. 10. – No. 9. – P. e30586.</w:t>
      </w:r>
    </w:p>
    <w:p w14:paraId="6955B326" w14:textId="3E4C820C"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Mallett O., Wapshott R., Vorley T. How do regulations affect SMEs? A review of the qualitative evidence and a research agenda // International Journal of Management Reviews. – 2019. – Vol. 21. – No. 3. – P. 294</w:t>
      </w:r>
      <w:r w:rsidR="00630F08" w:rsidRPr="000F3C80">
        <w:rPr>
          <w:sz w:val="28"/>
          <w:szCs w:val="28"/>
          <w:lang w:val="en-US"/>
        </w:rPr>
        <w:t>-</w:t>
      </w:r>
      <w:r w:rsidRPr="000F3C80">
        <w:rPr>
          <w:sz w:val="28"/>
          <w:szCs w:val="28"/>
          <w:lang w:val="en-US"/>
        </w:rPr>
        <w:t>316.</w:t>
      </w:r>
    </w:p>
    <w:p w14:paraId="17C6A7DA"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Financing SMEs and entrepreneurs 2024: an OECD scoreboard. – Paris: OECD Publishing, 2024. – 210 p.</w:t>
      </w:r>
    </w:p>
    <w:p w14:paraId="3B221104" w14:textId="784DEBAD"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Siahaan M., Kosasi S., Sukendri N., Husain A. Enhancing SMEs business performance through strategic digital transformation // IAIC Transactions on Sustainable Digital Innovation. – 2025. – Vol. 7. – No. 1. – P. 85</w:t>
      </w:r>
      <w:r w:rsidR="00630F08" w:rsidRPr="000F3C80">
        <w:rPr>
          <w:sz w:val="28"/>
          <w:szCs w:val="28"/>
          <w:lang w:val="en-US"/>
        </w:rPr>
        <w:t>-</w:t>
      </w:r>
      <w:r w:rsidRPr="000F3C80">
        <w:rPr>
          <w:sz w:val="28"/>
          <w:szCs w:val="28"/>
          <w:lang w:val="en-US"/>
        </w:rPr>
        <w:t>96.</w:t>
      </w:r>
    </w:p>
    <w:p w14:paraId="24F3907C" w14:textId="46C3B820"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Rampaul K. Digital transformation and SME growth in emerging markets // Journal of Emerging Market Management. – 2025. – Vol. 1. – No. 1. – P. 15</w:t>
      </w:r>
      <w:r w:rsidR="00630F08" w:rsidRPr="000F3C80">
        <w:rPr>
          <w:sz w:val="28"/>
          <w:szCs w:val="28"/>
          <w:lang w:val="en-US"/>
        </w:rPr>
        <w:t>-</w:t>
      </w:r>
      <w:r w:rsidRPr="000F3C80">
        <w:rPr>
          <w:sz w:val="28"/>
          <w:szCs w:val="28"/>
          <w:lang w:val="en-US"/>
        </w:rPr>
        <w:t>25.</w:t>
      </w:r>
    </w:p>
    <w:p w14:paraId="2EFAAA35" w14:textId="528BDF2B"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Ankrah S. N., Al-Tabbaa O. Universities–industry collaboration: a systematic review // SSRN Electronic Journal. – 2015. – P. 1</w:t>
      </w:r>
      <w:r w:rsidR="00630F08" w:rsidRPr="000F3C80">
        <w:rPr>
          <w:sz w:val="28"/>
          <w:szCs w:val="28"/>
          <w:lang w:val="en-US"/>
        </w:rPr>
        <w:t>-</w:t>
      </w:r>
      <w:r w:rsidRPr="000F3C80">
        <w:rPr>
          <w:sz w:val="28"/>
          <w:szCs w:val="28"/>
          <w:lang w:val="en-US"/>
        </w:rPr>
        <w:t>45.</w:t>
      </w:r>
    </w:p>
    <w:p w14:paraId="61607FD4"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Moradi Y., Noori S. Entrepreneurial cooperation model between university and SMEs: a case study in Iran // Sustainability. – 2020. – Vol. 12. – No. 21. – P. 9140.</w:t>
      </w:r>
    </w:p>
    <w:p w14:paraId="4E14DA48"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Annamalah S., Aravindan K. L., Raman M., Paraman P. SME engagement with open innovation: commitments and challenges towards collaborative innovation // Journal of Open Innovation: Technology, Market, and Complexity. – 2022. – Vol. 8. – No. 3. – P. 146.</w:t>
      </w:r>
    </w:p>
    <w:p w14:paraId="1106D613" w14:textId="3E3D2FDA"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Tereshchenko E., Salmela E., Melkko E., Phang S. K., Happonen A. Emerging best strategies and capabilities for university–industry cooperation: opportunities for MSMEs and universities to improve collaboration. A literature </w:t>
      </w:r>
      <w:r w:rsidR="00630F08" w:rsidRPr="000F3C80">
        <w:rPr>
          <w:sz w:val="28"/>
          <w:szCs w:val="28"/>
          <w:lang w:val="en-US"/>
        </w:rPr>
        <w:t>reviews</w:t>
      </w:r>
      <w:r w:rsidRPr="000F3C80">
        <w:rPr>
          <w:sz w:val="28"/>
          <w:szCs w:val="28"/>
          <w:lang w:val="en-US"/>
        </w:rPr>
        <w:t xml:space="preserve"> 2000–2023 // Journal of Innovation and Entrepreneurship. – 2024. – Vol. 13. – No. 1. – P. 28.</w:t>
      </w:r>
    </w:p>
    <w:p w14:paraId="4E4F492E" w14:textId="4A29BCF0"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rPr>
      </w:pPr>
      <w:r w:rsidRPr="000F3C80">
        <w:rPr>
          <w:sz w:val="28"/>
          <w:szCs w:val="28"/>
        </w:rPr>
        <w:t>Дарханқызы Г., Вдовина Д. В., Саденова А. М. Управление человеческими ресурсами в условиях влияния Индустрии 4.0 // Экономика, финансы и управление: актуальные вопросы теории и практики: сборник статей IV Международной научно-практической конференции. – Пенза: МЦНС «Наука и Просвещение», 2023. – С. 124</w:t>
      </w:r>
      <w:r w:rsidR="00630F08" w:rsidRPr="000F3C80">
        <w:rPr>
          <w:sz w:val="28"/>
          <w:szCs w:val="28"/>
        </w:rPr>
        <w:t>-</w:t>
      </w:r>
      <w:r w:rsidRPr="000F3C80">
        <w:rPr>
          <w:sz w:val="28"/>
          <w:szCs w:val="28"/>
        </w:rPr>
        <w:t>132.</w:t>
      </w:r>
    </w:p>
    <w:p w14:paraId="52B73EFB"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Alnatsheh A. Y., Karaatmaca A. G., Çavuşoğlu B. Intellectual capital and organizational innovation: examining the mediation role of knowledge sharing in Palestinian universities during the COVID-19 pandemic // Sustainability. – 2023. – Vol. 15. – No. 4. – P. 3673.</w:t>
      </w:r>
    </w:p>
    <w:p w14:paraId="5AF7F1C8"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lastRenderedPageBreak/>
        <w:t>Rabelo Neto J., Figueiredo C., Gabriel B. C., Valente R. Factors for innovation ecosystem frameworks: comprehensive organizational aspects for evolution // Technological Forecasting and Social Change. – 2024. – Vol. 203. – P. 123383.</w:t>
      </w:r>
    </w:p>
    <w:p w14:paraId="7503743F"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Amamou M. The effect of an innovation-driven corporate culture on firm success: a new survey of Saudi digital firms // Future Business Journal. – 2025. – Vol. 11. – No. 1. – P. 136.</w:t>
      </w:r>
    </w:p>
    <w:p w14:paraId="208F98FD"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Akhilla K. Z., Sukmawati A., Sartono B. Identifying the types of future skills needed in the manufacturing industry: a systematic literature review // Jurnal Aplikasi Bisnis dan Manajemen. – 2025. – Vol. 11. – No. 3. – P. 1099.</w:t>
      </w:r>
    </w:p>
    <w:p w14:paraId="3FECDE61" w14:textId="09DD3C74"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Nafees M., Jumani A., Rana Z., Mustafa H. M. A., Rind T. A., Tahir M. R. Industry 5.0 and human–technology collaboration: the role of AI and machine learning in shaping future workplaces // Kashf Journal of Multidisciplinary Research. – 2025. – Vol. 2. – No. 9. – P. 89</w:t>
      </w:r>
      <w:r w:rsidR="00630F08" w:rsidRPr="000F3C80">
        <w:rPr>
          <w:sz w:val="28"/>
          <w:szCs w:val="28"/>
          <w:lang w:val="en-US"/>
        </w:rPr>
        <w:t>-</w:t>
      </w:r>
      <w:r w:rsidRPr="000F3C80">
        <w:rPr>
          <w:sz w:val="28"/>
          <w:szCs w:val="28"/>
          <w:lang w:val="en-US"/>
        </w:rPr>
        <w:t>102.</w:t>
      </w:r>
    </w:p>
    <w:p w14:paraId="7D1BF91D"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Olszak C. M., Sączewska-Piotrowska A. The role of higher education institutions in shaping sustainability and digital ethics in the era of Industry 5.0: universities as incubators of future skills // Sustainability. – 2025. – Vol. 17. – No. 19. – P. 8530.</w:t>
      </w:r>
    </w:p>
    <w:p w14:paraId="3530D17C" w14:textId="5B92D68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Verano R. M., Bantilan J. A., Castillano J. M. A., Tajaran G. C., Mantilla J. G. M., Bongcayat J. T. Artificial intelligence (AI) usage and critical thinking skills of second year BSED-English students // International Journal of Innovative Science, Research and Technology. – 2025. – P. 1555</w:t>
      </w:r>
      <w:r w:rsidR="00630F08" w:rsidRPr="000F3C80">
        <w:rPr>
          <w:sz w:val="28"/>
          <w:szCs w:val="28"/>
          <w:lang w:val="en-US"/>
        </w:rPr>
        <w:t>-</w:t>
      </w:r>
      <w:r w:rsidRPr="000F3C80">
        <w:rPr>
          <w:sz w:val="28"/>
          <w:szCs w:val="28"/>
          <w:lang w:val="en-US"/>
        </w:rPr>
        <w:t>1562.</w:t>
      </w:r>
    </w:p>
    <w:p w14:paraId="2CE156F1" w14:textId="67572406"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Moh’d S., Gregory P., Barroca L., Sharp H. Agile human resource management: a systematic mapping study // German Journal of Human Resource Management. – 2024. – Vol. 38. – No. 4. – P. 345</w:t>
      </w:r>
      <w:r w:rsidR="00630F08" w:rsidRPr="000F3C80">
        <w:rPr>
          <w:sz w:val="28"/>
          <w:szCs w:val="28"/>
          <w:lang w:val="en-US"/>
        </w:rPr>
        <w:t>-</w:t>
      </w:r>
      <w:r w:rsidRPr="000F3C80">
        <w:rPr>
          <w:sz w:val="28"/>
          <w:szCs w:val="28"/>
          <w:lang w:val="en-US"/>
        </w:rPr>
        <w:t>374.</w:t>
      </w:r>
    </w:p>
    <w:p w14:paraId="5BD12DAC" w14:textId="56A98419"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Mollet L. S., Kaudela-Baum S. Critical HR capabilities in agile organisations: a cross-case analysis in Swiss SMEs // Review of Managerial Science. – 2023. – Vol. 17. – No. 6. – P. 2055</w:t>
      </w:r>
      <w:r w:rsidR="00630F08" w:rsidRPr="000F3C80">
        <w:rPr>
          <w:sz w:val="28"/>
          <w:szCs w:val="28"/>
          <w:lang w:val="en-US"/>
        </w:rPr>
        <w:t>-</w:t>
      </w:r>
      <w:r w:rsidRPr="000F3C80">
        <w:rPr>
          <w:sz w:val="28"/>
          <w:szCs w:val="28"/>
          <w:lang w:val="en-US"/>
        </w:rPr>
        <w:t>2075.</w:t>
      </w:r>
    </w:p>
    <w:p w14:paraId="02D1FC53"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Steegh R., De Voorde K. V., Paauwe J., Peeters T. The agile way of working and team adaptive performance: a goal-setting perspective // Journal of Business Research. – 2025. – Vol. 189. – P. 115163.</w:t>
      </w:r>
    </w:p>
    <w:p w14:paraId="4CC9B1A7" w14:textId="2A31506A"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Shyyab Y., Mutahar A. M., Zouria A., Rawlinson J. Driving innovation in banking sector: the role of transformational leadership and knowledge sharing // Strategy &amp; Leadership. – 2025. – P. 1</w:t>
      </w:r>
      <w:r w:rsidR="00630F08" w:rsidRPr="000F3C80">
        <w:rPr>
          <w:sz w:val="28"/>
          <w:szCs w:val="28"/>
          <w:lang w:val="en-US"/>
        </w:rPr>
        <w:t>-</w:t>
      </w:r>
      <w:r w:rsidRPr="000F3C80">
        <w:rPr>
          <w:sz w:val="28"/>
          <w:szCs w:val="28"/>
          <w:lang w:val="en-US"/>
        </w:rPr>
        <w:t>12.</w:t>
      </w:r>
    </w:p>
    <w:p w14:paraId="70B121AB" w14:textId="57B1C5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Abbass M., Mahmood H., Furqan M., Qaralleh T. J. The knowledge-innovation pathway: how organizational culture, structure, and technology drive process improvement and product innovation // Journal of Education Culture and Society. – 2025. – Vol. 16. – No. 2. – P. 213</w:t>
      </w:r>
      <w:r w:rsidR="00630F08" w:rsidRPr="000F3C80">
        <w:rPr>
          <w:sz w:val="28"/>
          <w:szCs w:val="28"/>
          <w:lang w:val="en-US"/>
        </w:rPr>
        <w:t>-</w:t>
      </w:r>
      <w:r w:rsidRPr="000F3C80">
        <w:rPr>
          <w:sz w:val="28"/>
          <w:szCs w:val="28"/>
          <w:lang w:val="en-US"/>
        </w:rPr>
        <w:t>233.</w:t>
      </w:r>
    </w:p>
    <w:p w14:paraId="56659155" w14:textId="64D90E1C"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Luo K., Dong X. Research on the influence mechanism of knowledge sharing on the innovation ability of high-tech enterprises // International Journal of Sociology and Anthropology Science Review. – 2025. – Vol. 6. – No. 1. – P. 165</w:t>
      </w:r>
      <w:r w:rsidR="00630F08" w:rsidRPr="000F3C80">
        <w:rPr>
          <w:sz w:val="28"/>
          <w:szCs w:val="28"/>
          <w:lang w:val="en-US"/>
        </w:rPr>
        <w:t>-</w:t>
      </w:r>
      <w:r w:rsidRPr="000F3C80">
        <w:rPr>
          <w:sz w:val="28"/>
          <w:szCs w:val="28"/>
          <w:lang w:val="en-US"/>
        </w:rPr>
        <w:t>178.</w:t>
      </w:r>
    </w:p>
    <w:p w14:paraId="11855F98" w14:textId="533A24AC"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Denissova O., Suieubayeva S., Belgibayeva A., Rakhimberdinova M., Ordabayeva M., Sadenova A. Migration processes in the labor market associated with the uncertainty of behavior of the employed population during and after the pandemic // Montenegrin Journal of Economics. – 2025. – Vol. 21. – No. 3. – P. 67</w:t>
      </w:r>
      <w:r w:rsidR="00630F08" w:rsidRPr="000F3C80">
        <w:rPr>
          <w:sz w:val="28"/>
          <w:szCs w:val="28"/>
          <w:lang w:val="en-US"/>
        </w:rPr>
        <w:t>-</w:t>
      </w:r>
      <w:r w:rsidRPr="000F3C80">
        <w:rPr>
          <w:sz w:val="28"/>
          <w:szCs w:val="28"/>
          <w:lang w:val="en-US"/>
        </w:rPr>
        <w:t>79.</w:t>
      </w:r>
    </w:p>
    <w:p w14:paraId="44B10B68"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lastRenderedPageBreak/>
        <w:t>Laoha R., Bojukrapan S. The immersive connectivist learning environment to enhance creative innovation skills for higher education // Journal of Education and Learning. – 2025. – Vol. 15. – No. 1. – P. 193.</w:t>
      </w:r>
    </w:p>
    <w:p w14:paraId="570F6FAB"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Maranguis M. G., Asparin A. Self-Directed Learning and its Impact on Students’ Attitude towards Learning // Psychology and Education: Multidisciplinary Journal. – 2025. – Vol. 47. – No. 1. – P. 24–31.</w:t>
      </w:r>
    </w:p>
    <w:p w14:paraId="063BD9A0" w14:textId="0689023C"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Ainapur P., Nagendra S., Nikhila P., Johnson F., Musthaf H., Ramapriya H. D. A Study on Psychological Safety, Team Learning Behavior, and Its Effects on Team Efficacy and Team Effectiveness Between Teams of Blue-Collar Employees // Journal of International Commercial Law and Technology. – 2025. – Vol. 6. – No. 1. – P. 270</w:t>
      </w:r>
      <w:r w:rsidR="00630F08" w:rsidRPr="000F3C80">
        <w:rPr>
          <w:sz w:val="28"/>
          <w:szCs w:val="28"/>
          <w:lang w:val="en-US"/>
        </w:rPr>
        <w:t>-</w:t>
      </w:r>
      <w:r w:rsidRPr="000F3C80">
        <w:rPr>
          <w:sz w:val="28"/>
          <w:szCs w:val="28"/>
          <w:lang w:val="en-US"/>
        </w:rPr>
        <w:t>281.</w:t>
      </w:r>
    </w:p>
    <w:p w14:paraId="4118952F"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Ali M., Iyiola K., Alzubi A., Aljuhmani H. Y. Using Safety-Specific Transformational Leadership to Improve Safety Behavior Among Construction Workers: Exploring the Role of Knowledge Sharing and Psychological Safety // Buildings. – 2025. – Vol. 15. – No. 18. – P. 3340.</w:t>
      </w:r>
    </w:p>
    <w:p w14:paraId="671FFF8B" w14:textId="4BADC074"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Zhou S. AI Empowerment and Measurement: Reconstructing the Enterprise Digital Maturity Model and its Implications for Service Ecosystem // Frontiers in Sustainable Development. – 2025. – Vol. 5. – No. 9. – P. 173</w:t>
      </w:r>
      <w:r w:rsidR="00630F08" w:rsidRPr="000F3C80">
        <w:rPr>
          <w:sz w:val="28"/>
          <w:szCs w:val="28"/>
          <w:lang w:val="en-US"/>
        </w:rPr>
        <w:t>-</w:t>
      </w:r>
      <w:r w:rsidRPr="000F3C80">
        <w:rPr>
          <w:sz w:val="28"/>
          <w:szCs w:val="28"/>
          <w:lang w:val="en-US"/>
        </w:rPr>
        <w:t>180.</w:t>
      </w:r>
    </w:p>
    <w:p w14:paraId="519B5EAC" w14:textId="0CB7B6A6"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Anusi H. I., Dlamini B. I. Influence of Digital Leadership and Green Digital Innovation on SMEs in Enugu State, Nigeria // International Journal of Advanced Business Studies. – 2025. – Vol. 4. – No. 5. – P. 33</w:t>
      </w:r>
      <w:r w:rsidR="00630F08" w:rsidRPr="000F3C80">
        <w:rPr>
          <w:sz w:val="28"/>
          <w:szCs w:val="28"/>
          <w:lang w:val="en-US"/>
        </w:rPr>
        <w:t>-</w:t>
      </w:r>
      <w:r w:rsidRPr="000F3C80">
        <w:rPr>
          <w:sz w:val="28"/>
          <w:szCs w:val="28"/>
          <w:lang w:val="en-US"/>
        </w:rPr>
        <w:t>46.</w:t>
      </w:r>
    </w:p>
    <w:p w14:paraId="508BCAE5"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Bobro N. Assessing the Maturity of the Digital University Architecture as an Institutional Model for Education Transformation // Journal of Economics, Finance and Management Studies. – 2025. – Vol. 8. – No. 9.</w:t>
      </w:r>
    </w:p>
    <w:p w14:paraId="1DF387F0"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Huy Nhuong B., Minh Ngoc N. Connecting Knowledge Creation, Management, and Transfer Organizations into the Innovation Startup Ecosystem: Models and Policies // VNU Journal of Science: Policy and Management Studies. – 2025. – Vol. 41. – No. 3.</w:t>
      </w:r>
    </w:p>
    <w:p w14:paraId="22B2C660" w14:textId="142DBFD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Abdelmalak F. Smart Tourism Governance: An Institutional Perspective on Sustainability, Innovation, and Resilience // Journal of Smart Tourism. – 2025. – Vol. 5. – No. 4. – P. 185</w:t>
      </w:r>
      <w:r w:rsidR="00630F08" w:rsidRPr="000F3C80">
        <w:rPr>
          <w:sz w:val="28"/>
          <w:szCs w:val="28"/>
          <w:lang w:val="en-US"/>
        </w:rPr>
        <w:t>-</w:t>
      </w:r>
      <w:r w:rsidRPr="000F3C80">
        <w:rPr>
          <w:sz w:val="28"/>
          <w:szCs w:val="28"/>
          <w:lang w:val="en-US"/>
        </w:rPr>
        <w:t>202.</w:t>
      </w:r>
    </w:p>
    <w:p w14:paraId="3F710F97" w14:textId="77777777"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 xml:space="preserve">Cruz E. F. </w:t>
      </w:r>
      <w:r w:rsidRPr="000F3C80">
        <w:rPr>
          <w:sz w:val="28"/>
          <w:szCs w:val="28"/>
        </w:rPr>
        <w:t>и</w:t>
      </w:r>
      <w:r w:rsidRPr="000F3C80">
        <w:rPr>
          <w:sz w:val="28"/>
          <w:szCs w:val="28"/>
          <w:lang w:val="en-US"/>
        </w:rPr>
        <w:t xml:space="preserve"> </w:t>
      </w:r>
      <w:r w:rsidRPr="000F3C80">
        <w:rPr>
          <w:sz w:val="28"/>
          <w:szCs w:val="28"/>
        </w:rPr>
        <w:t>др</w:t>
      </w:r>
      <w:r w:rsidRPr="000F3C80">
        <w:rPr>
          <w:sz w:val="28"/>
          <w:szCs w:val="28"/>
          <w:lang w:val="en-US"/>
        </w:rPr>
        <w:t>. Machine Learning-Based Data Quality Assessment for the Textile and Clothing Digital Product Passport // Applied Sciences. – 2025. – Vol. 15. – No. 18. – P. 10259.</w:t>
      </w:r>
    </w:p>
    <w:p w14:paraId="6F6FEEF7" w14:textId="348ADD0B"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Zou X. Research on the Integration and Development of Digital Economy and Real Economy under the Perspective of New Quality Productive Forces: Taking Fujian Province as an Example // Financial Economics Research. – 2025. – Vol. 2. – No. 3. – P. 18</w:t>
      </w:r>
      <w:r w:rsidR="00630F08" w:rsidRPr="000F3C80">
        <w:rPr>
          <w:sz w:val="28"/>
          <w:szCs w:val="28"/>
          <w:lang w:val="en-US"/>
        </w:rPr>
        <w:t>-</w:t>
      </w:r>
      <w:r w:rsidRPr="000F3C80">
        <w:rPr>
          <w:sz w:val="28"/>
          <w:szCs w:val="28"/>
          <w:lang w:val="en-US"/>
        </w:rPr>
        <w:t>36.</w:t>
      </w:r>
    </w:p>
    <w:p w14:paraId="342F7523" w14:textId="6CB65DB8" w:rsidR="005435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Yaroshenko O., Verstiak A., Skrashchuk L., Makhanets L. Digital Analytics Platform for Educational Services Quality Management in Higher Education Institutions // Economic Scope. – 2025. – No. 204. – P. 363</w:t>
      </w:r>
      <w:r w:rsidR="00630F08" w:rsidRPr="000F3C80">
        <w:rPr>
          <w:sz w:val="28"/>
          <w:szCs w:val="28"/>
          <w:lang w:val="en-US"/>
        </w:rPr>
        <w:t>-</w:t>
      </w:r>
      <w:r w:rsidRPr="000F3C80">
        <w:rPr>
          <w:sz w:val="28"/>
          <w:szCs w:val="28"/>
          <w:lang w:val="en-US"/>
        </w:rPr>
        <w:t>370.</w:t>
      </w:r>
    </w:p>
    <w:p w14:paraId="37B16105" w14:textId="4480ADC9" w:rsidR="000F3C80" w:rsidRPr="000F3C80" w:rsidRDefault="00543580" w:rsidP="000F3C80">
      <w:pPr>
        <w:pStyle w:val="af2"/>
        <w:numPr>
          <w:ilvl w:val="0"/>
          <w:numId w:val="72"/>
        </w:numPr>
        <w:tabs>
          <w:tab w:val="left" w:pos="1064"/>
        </w:tabs>
        <w:spacing w:before="0" w:beforeAutospacing="0" w:after="0" w:afterAutospacing="0"/>
        <w:ind w:left="0" w:firstLine="567"/>
        <w:jc w:val="both"/>
        <w:rPr>
          <w:sz w:val="28"/>
          <w:szCs w:val="28"/>
          <w:lang w:val="en-US"/>
        </w:rPr>
      </w:pPr>
      <w:r w:rsidRPr="000F3C80">
        <w:rPr>
          <w:sz w:val="28"/>
          <w:szCs w:val="28"/>
          <w:lang w:val="en-US"/>
        </w:rPr>
        <w:t>Liu J. The Core Dilemma and the Path of Enterprise Digital Transformation // Advances in Economics, Management and Political Sciences. – 2025. – Vol. 216. – No. 1. – P. 50</w:t>
      </w:r>
      <w:r w:rsidR="00630F08" w:rsidRPr="000F3C80">
        <w:rPr>
          <w:sz w:val="28"/>
          <w:szCs w:val="28"/>
          <w:lang w:val="en-US"/>
        </w:rPr>
        <w:t>-</w:t>
      </w:r>
      <w:r w:rsidRPr="000F3C80">
        <w:rPr>
          <w:sz w:val="28"/>
          <w:szCs w:val="28"/>
          <w:lang w:val="en-US"/>
        </w:rPr>
        <w:t>56.</w:t>
      </w:r>
    </w:p>
    <w:p w14:paraId="41C081F9" w14:textId="3CF28C7B" w:rsidR="001C54CD" w:rsidRDefault="001C54CD" w:rsidP="0055725A">
      <w:pPr>
        <w:pStyle w:val="11"/>
        <w:spacing w:before="0"/>
      </w:pPr>
      <w:r>
        <w:lastRenderedPageBreak/>
        <w:t>ПРИЛОЖЕНИЕ А</w:t>
      </w:r>
    </w:p>
    <w:p w14:paraId="400424E6" w14:textId="77777777" w:rsidR="000F3C80" w:rsidRDefault="000F3C80" w:rsidP="0055725A">
      <w:pPr>
        <w:pStyle w:val="11"/>
        <w:spacing w:before="0"/>
      </w:pPr>
    </w:p>
    <w:p w14:paraId="6B82D09C" w14:textId="388D21C1" w:rsidR="0055725A" w:rsidRDefault="005D4A88" w:rsidP="0055725A">
      <w:pPr>
        <w:widowControl w:val="0"/>
        <w:shd w:val="clear" w:color="auto" w:fill="FFFFFF"/>
        <w:tabs>
          <w:tab w:val="left" w:pos="0"/>
        </w:tabs>
        <w:autoSpaceDE w:val="0"/>
        <w:autoSpaceDN w:val="0"/>
        <w:adjustRightInd w:val="0"/>
        <w:spacing w:after="0" w:line="240" w:lineRule="auto"/>
        <w:jc w:val="center"/>
        <w:rPr>
          <w:rFonts w:ascii="Times New Roman" w:hAnsi="Times New Roman" w:cs="Times New Roman"/>
          <w:sz w:val="28"/>
          <w:szCs w:val="28"/>
        </w:rPr>
      </w:pPr>
      <w:r w:rsidRPr="005D4A88">
        <w:rPr>
          <w:rFonts w:ascii="Times New Roman" w:hAnsi="Times New Roman" w:cs="Times New Roman"/>
          <w:sz w:val="28"/>
          <w:szCs w:val="28"/>
        </w:rPr>
        <w:t>Справк</w:t>
      </w:r>
      <w:r w:rsidR="00B15BD7">
        <w:rPr>
          <w:rFonts w:ascii="Times New Roman" w:hAnsi="Times New Roman" w:cs="Times New Roman"/>
          <w:sz w:val="28"/>
          <w:szCs w:val="28"/>
          <w:lang w:val="kk-KZ"/>
        </w:rPr>
        <w:t>и</w:t>
      </w:r>
      <w:r w:rsidRPr="005D4A88">
        <w:rPr>
          <w:rFonts w:ascii="Times New Roman" w:hAnsi="Times New Roman" w:cs="Times New Roman"/>
          <w:sz w:val="28"/>
          <w:szCs w:val="28"/>
        </w:rPr>
        <w:t xml:space="preserve"> об использовании результатов диссертации (акт</w:t>
      </w:r>
      <w:r w:rsidR="00B15BD7">
        <w:rPr>
          <w:rFonts w:ascii="Times New Roman" w:hAnsi="Times New Roman" w:cs="Times New Roman"/>
          <w:sz w:val="28"/>
          <w:szCs w:val="28"/>
          <w:lang w:val="kk-KZ"/>
        </w:rPr>
        <w:t>ы</w:t>
      </w:r>
      <w:r w:rsidRPr="005D4A88">
        <w:rPr>
          <w:rFonts w:ascii="Times New Roman" w:hAnsi="Times New Roman" w:cs="Times New Roman"/>
          <w:sz w:val="28"/>
          <w:szCs w:val="28"/>
        </w:rPr>
        <w:t xml:space="preserve"> внедрения)</w:t>
      </w:r>
      <w:r w:rsidR="0055725A" w:rsidRPr="0055725A">
        <w:rPr>
          <w:rFonts w:ascii="Times New Roman" w:hAnsi="Times New Roman" w:cs="Times New Roman"/>
          <w:sz w:val="28"/>
          <w:szCs w:val="28"/>
        </w:rPr>
        <w:t xml:space="preserve"> </w:t>
      </w:r>
    </w:p>
    <w:p w14:paraId="57D5B70A" w14:textId="77777777" w:rsidR="0055725A" w:rsidRPr="0055725A" w:rsidRDefault="0055725A" w:rsidP="0055725A">
      <w:pPr>
        <w:widowControl w:val="0"/>
        <w:shd w:val="clear" w:color="auto" w:fill="FFFFFF"/>
        <w:tabs>
          <w:tab w:val="left" w:pos="0"/>
        </w:tabs>
        <w:autoSpaceDE w:val="0"/>
        <w:autoSpaceDN w:val="0"/>
        <w:adjustRightInd w:val="0"/>
        <w:spacing w:after="0" w:line="240" w:lineRule="auto"/>
        <w:jc w:val="center"/>
        <w:rPr>
          <w:rFonts w:ascii="Times New Roman" w:hAnsi="Times New Roman" w:cs="Times New Roman"/>
          <w:sz w:val="28"/>
          <w:szCs w:val="28"/>
        </w:rPr>
      </w:pPr>
    </w:p>
    <w:p w14:paraId="5FED585E" w14:textId="3DD0F9DE" w:rsidR="001C54CD" w:rsidRDefault="001C54CD" w:rsidP="0055725A">
      <w:pPr>
        <w:widowControl w:val="0"/>
        <w:shd w:val="clear" w:color="auto" w:fill="FFFFFF"/>
        <w:tabs>
          <w:tab w:val="left" w:pos="0"/>
        </w:tabs>
        <w:autoSpaceDE w:val="0"/>
        <w:autoSpaceDN w:val="0"/>
        <w:adjustRightInd w:val="0"/>
        <w:spacing w:after="0" w:line="240" w:lineRule="auto"/>
        <w:jc w:val="center"/>
      </w:pPr>
      <w:r>
        <w:rPr>
          <w:noProof/>
          <w:lang w:eastAsia="ru-RU"/>
        </w:rPr>
        <w:drawing>
          <wp:inline distT="0" distB="0" distL="0" distR="0" wp14:anchorId="793ACD92" wp14:editId="58727C62">
            <wp:extent cx="5842211" cy="8262605"/>
            <wp:effectExtent l="0" t="0" r="6350" b="5715"/>
            <wp:docPr id="1" name="Рисунок 1" descr="C:\Users\User\Desktop\диссер\приложения\Акт внед Ас-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иссер\приложения\Акт внед Ас-1.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46254" cy="8268323"/>
                    </a:xfrm>
                    <a:prstGeom prst="rect">
                      <a:avLst/>
                    </a:prstGeom>
                    <a:noFill/>
                    <a:ln>
                      <a:noFill/>
                    </a:ln>
                  </pic:spPr>
                </pic:pic>
              </a:graphicData>
            </a:graphic>
          </wp:inline>
        </w:drawing>
      </w:r>
    </w:p>
    <w:p w14:paraId="352133C6" w14:textId="55A2F6CC" w:rsidR="001C54CD" w:rsidRDefault="001C54CD" w:rsidP="001C54CD">
      <w:pPr>
        <w:pStyle w:val="af2"/>
      </w:pPr>
      <w:r>
        <w:rPr>
          <w:noProof/>
        </w:rPr>
        <w:lastRenderedPageBreak/>
        <w:drawing>
          <wp:inline distT="0" distB="0" distL="0" distR="0" wp14:anchorId="679408C4" wp14:editId="3B1AB2F7">
            <wp:extent cx="5963487" cy="8434125"/>
            <wp:effectExtent l="0" t="0" r="0" b="5080"/>
            <wp:docPr id="2" name="Рисунок 2" descr="C:\Users\User\Desktop\диссер\приложения\Акт внед Ас-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диссер\приложения\Акт внед Ас-2.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77594" cy="8454077"/>
                    </a:xfrm>
                    <a:prstGeom prst="rect">
                      <a:avLst/>
                    </a:prstGeom>
                    <a:noFill/>
                    <a:ln>
                      <a:noFill/>
                    </a:ln>
                  </pic:spPr>
                </pic:pic>
              </a:graphicData>
            </a:graphic>
          </wp:inline>
        </w:drawing>
      </w:r>
    </w:p>
    <w:p w14:paraId="6E992D23" w14:textId="62E73A7E" w:rsidR="001C54CD" w:rsidRDefault="00755C04" w:rsidP="001C54CD">
      <w:pPr>
        <w:widowControl w:val="0"/>
        <w:shd w:val="clear" w:color="auto" w:fill="FFFFFF"/>
        <w:tabs>
          <w:tab w:val="left" w:pos="0"/>
          <w:tab w:val="left" w:pos="1134"/>
        </w:tabs>
        <w:autoSpaceDE w:val="0"/>
        <w:autoSpaceDN w:val="0"/>
        <w:adjustRightInd w:val="0"/>
        <w:spacing w:after="0" w:line="240" w:lineRule="auto"/>
        <w:jc w:val="both"/>
        <w:rPr>
          <w:rFonts w:ascii="Times New Roman" w:hAnsi="Times New Roman" w:cs="Times New Roman"/>
          <w:color w:val="5B9BD5" w:themeColor="accent1"/>
          <w:sz w:val="28"/>
          <w:szCs w:val="28"/>
        </w:rPr>
      </w:pPr>
      <w:r>
        <w:rPr>
          <w:noProof/>
          <w:lang w:eastAsia="ru-RU"/>
        </w:rPr>
        <w:lastRenderedPageBreak/>
        <w:drawing>
          <wp:inline distT="0" distB="0" distL="0" distR="0" wp14:anchorId="25FB6518" wp14:editId="38622296">
            <wp:extent cx="5938108" cy="8434813"/>
            <wp:effectExtent l="0" t="0" r="5715" b="4445"/>
            <wp:docPr id="154" name="Рисунок 154" descr="C:\Users\User\Desktop\список публикаций\Титкову отпр\акт внед Атамеке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список публикаций\Титкову отпр\акт внед Атамекен.jpe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53283" cy="8456368"/>
                    </a:xfrm>
                    <a:prstGeom prst="rect">
                      <a:avLst/>
                    </a:prstGeom>
                    <a:noFill/>
                    <a:ln>
                      <a:noFill/>
                    </a:ln>
                  </pic:spPr>
                </pic:pic>
              </a:graphicData>
            </a:graphic>
          </wp:inline>
        </w:drawing>
      </w:r>
    </w:p>
    <w:p w14:paraId="5BBBDC5F" w14:textId="16E5FC45" w:rsidR="00755C04" w:rsidRPr="00D67F35" w:rsidRDefault="00755C04" w:rsidP="001C54CD">
      <w:pPr>
        <w:widowControl w:val="0"/>
        <w:shd w:val="clear" w:color="auto" w:fill="FFFFFF"/>
        <w:tabs>
          <w:tab w:val="left" w:pos="0"/>
          <w:tab w:val="left" w:pos="1134"/>
        </w:tabs>
        <w:autoSpaceDE w:val="0"/>
        <w:autoSpaceDN w:val="0"/>
        <w:adjustRightInd w:val="0"/>
        <w:spacing w:after="0" w:line="240" w:lineRule="auto"/>
        <w:jc w:val="both"/>
        <w:rPr>
          <w:rFonts w:ascii="Times New Roman" w:hAnsi="Times New Roman" w:cs="Times New Roman"/>
          <w:color w:val="5B9BD5" w:themeColor="accent1"/>
          <w:sz w:val="28"/>
          <w:szCs w:val="28"/>
        </w:rPr>
      </w:pPr>
      <w:r>
        <w:rPr>
          <w:noProof/>
          <w:lang w:eastAsia="ru-RU"/>
        </w:rPr>
        <w:lastRenderedPageBreak/>
        <w:drawing>
          <wp:inline distT="0" distB="0" distL="0" distR="0" wp14:anchorId="100BA827" wp14:editId="2A3EA5C7">
            <wp:extent cx="5834992" cy="8358505"/>
            <wp:effectExtent l="0" t="0" r="0" b="4445"/>
            <wp:docPr id="162" name="Рисунок 162" descr="C:\Users\User\Desktop\список публикаций\Титкову отпр\акт внед Кэмон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список публикаций\Титкову отпр\акт внед Кэмонт.jpeg"/>
                    <pic:cNvPicPr>
                      <a:picLocks noChangeAspect="1" noChangeArrowheads="1"/>
                    </pic:cNvPicPr>
                  </pic:nvPicPr>
                  <pic:blipFill rotWithShape="1">
                    <a:blip r:embed="rId58">
                      <a:extLst>
                        <a:ext uri="{28A0092B-C50C-407E-A947-70E740481C1C}">
                          <a14:useLocalDpi xmlns:a14="http://schemas.microsoft.com/office/drawing/2010/main" val="0"/>
                        </a:ext>
                      </a:extLst>
                    </a:blip>
                    <a:srcRect l="2297"/>
                    <a:stretch/>
                  </pic:blipFill>
                  <pic:spPr bwMode="auto">
                    <a:xfrm>
                      <a:off x="0" y="0"/>
                      <a:ext cx="5841945" cy="8368465"/>
                    </a:xfrm>
                    <a:prstGeom prst="rect">
                      <a:avLst/>
                    </a:prstGeom>
                    <a:noFill/>
                    <a:ln>
                      <a:noFill/>
                    </a:ln>
                    <a:extLst>
                      <a:ext uri="{53640926-AAD7-44D8-BBD7-CCE9431645EC}">
                        <a14:shadowObscured xmlns:a14="http://schemas.microsoft.com/office/drawing/2010/main"/>
                      </a:ext>
                    </a:extLst>
                  </pic:spPr>
                </pic:pic>
              </a:graphicData>
            </a:graphic>
          </wp:inline>
        </w:drawing>
      </w:r>
    </w:p>
    <w:p w14:paraId="71F9A7F2" w14:textId="5694FD5B" w:rsidR="001C54CD" w:rsidRDefault="001C54CD">
      <w:pPr>
        <w:rPr>
          <w:rFonts w:ascii="Times New Roman" w:hAnsi="Times New Roman" w:cs="Times New Roman"/>
          <w:sz w:val="28"/>
          <w:szCs w:val="28"/>
        </w:rPr>
      </w:pPr>
      <w:r>
        <w:rPr>
          <w:rFonts w:ascii="Times New Roman" w:hAnsi="Times New Roman" w:cs="Times New Roman"/>
          <w:sz w:val="28"/>
          <w:szCs w:val="28"/>
        </w:rPr>
        <w:br w:type="page"/>
      </w:r>
    </w:p>
    <w:p w14:paraId="07E83B0E" w14:textId="6FBA373A" w:rsidR="00755C04" w:rsidRPr="0084493D" w:rsidRDefault="0084493D" w:rsidP="00755C04">
      <w:pPr>
        <w:pStyle w:val="11"/>
        <w:spacing w:before="0"/>
        <w:rPr>
          <w:lang w:val="kk-KZ"/>
        </w:rPr>
      </w:pPr>
      <w:r>
        <w:lastRenderedPageBreak/>
        <w:t xml:space="preserve">ПРИЛОЖЕНИЕ </w:t>
      </w:r>
      <w:r>
        <w:rPr>
          <w:lang w:val="kk-KZ"/>
        </w:rPr>
        <w:t>Б</w:t>
      </w:r>
    </w:p>
    <w:p w14:paraId="0CA0A4DA" w14:textId="637E8841" w:rsidR="00755C04" w:rsidRPr="0084493D" w:rsidRDefault="0084493D" w:rsidP="00755C04">
      <w:pPr>
        <w:pStyle w:val="11"/>
        <w:rPr>
          <w:b w:val="0"/>
        </w:rPr>
      </w:pPr>
      <w:r>
        <w:rPr>
          <w:b w:val="0"/>
          <w:lang w:val="kk-KZ"/>
        </w:rPr>
        <w:t>Свидетельство на авторское право</w:t>
      </w:r>
    </w:p>
    <w:p w14:paraId="22AA770C" w14:textId="4C5FAE38" w:rsidR="0084493D" w:rsidRDefault="0084493D" w:rsidP="0084493D">
      <w:pPr>
        <w:pStyle w:val="af2"/>
      </w:pPr>
      <w:r>
        <w:rPr>
          <w:noProof/>
        </w:rPr>
        <w:drawing>
          <wp:inline distT="0" distB="0" distL="0" distR="0" wp14:anchorId="260B82ED" wp14:editId="5B206EAB">
            <wp:extent cx="5918411" cy="8370374"/>
            <wp:effectExtent l="0" t="0" r="6350" b="0"/>
            <wp:docPr id="163" name="Рисунок 163" descr="C:\Users\User\AppData\Local\Temp\AweZip\Temp2\AweZip4\Свидетельство\fil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AweZip\Temp2\AweZip4\Свидетельство\file-002.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25105" cy="8379841"/>
                    </a:xfrm>
                    <a:prstGeom prst="rect">
                      <a:avLst/>
                    </a:prstGeom>
                    <a:noFill/>
                    <a:ln>
                      <a:noFill/>
                    </a:ln>
                  </pic:spPr>
                </pic:pic>
              </a:graphicData>
            </a:graphic>
          </wp:inline>
        </w:drawing>
      </w:r>
    </w:p>
    <w:p w14:paraId="1392AF3B" w14:textId="6876106A" w:rsidR="001C54CD" w:rsidRPr="001C54CD" w:rsidRDefault="001C54CD" w:rsidP="001C54CD">
      <w:pPr>
        <w:pStyle w:val="11"/>
        <w:rPr>
          <w:lang w:val="kk-KZ"/>
        </w:rPr>
      </w:pPr>
      <w:r>
        <w:lastRenderedPageBreak/>
        <w:t xml:space="preserve">ПРИЛОЖЕНИЕ </w:t>
      </w:r>
      <w:r w:rsidR="0084493D">
        <w:rPr>
          <w:lang w:val="kk-KZ"/>
        </w:rPr>
        <w:t>В</w:t>
      </w:r>
    </w:p>
    <w:p w14:paraId="460C9349" w14:textId="77777777" w:rsidR="000F3C80" w:rsidRDefault="000F3C80" w:rsidP="00857B3E">
      <w:pPr>
        <w:tabs>
          <w:tab w:val="left" w:pos="851"/>
        </w:tabs>
        <w:spacing w:after="0" w:line="240" w:lineRule="auto"/>
        <w:jc w:val="center"/>
        <w:rPr>
          <w:rFonts w:ascii="Times New Roman" w:hAnsi="Times New Roman" w:cs="Times New Roman"/>
          <w:sz w:val="28"/>
          <w:szCs w:val="28"/>
        </w:rPr>
      </w:pPr>
    </w:p>
    <w:p w14:paraId="2CC870B0" w14:textId="05B32E87" w:rsidR="000547B4" w:rsidRPr="0097729F" w:rsidRDefault="0097729F" w:rsidP="00857B3E">
      <w:pPr>
        <w:tabs>
          <w:tab w:val="left" w:pos="851"/>
        </w:tabs>
        <w:spacing w:after="0" w:line="240" w:lineRule="auto"/>
        <w:jc w:val="center"/>
        <w:rPr>
          <w:rFonts w:ascii="Times New Roman" w:hAnsi="Times New Roman" w:cs="Times New Roman"/>
          <w:sz w:val="28"/>
          <w:szCs w:val="28"/>
          <w:lang w:val="kk-KZ"/>
        </w:rPr>
      </w:pPr>
      <w:r w:rsidRPr="0097729F">
        <w:rPr>
          <w:rFonts w:ascii="Times New Roman" w:hAnsi="Times New Roman" w:cs="Times New Roman"/>
          <w:sz w:val="28"/>
          <w:szCs w:val="28"/>
        </w:rPr>
        <w:t>Сопроводительное письмо руководителям предприятий о проведении анкетирования</w:t>
      </w:r>
    </w:p>
    <w:p w14:paraId="309D5E57" w14:textId="0EBC19A2" w:rsidR="001C54CD" w:rsidRDefault="000F48FE" w:rsidP="00857B3E">
      <w:pPr>
        <w:tabs>
          <w:tab w:val="left" w:pos="851"/>
        </w:tabs>
        <w:spacing w:after="0" w:line="240" w:lineRule="auto"/>
        <w:jc w:val="center"/>
        <w:rPr>
          <w:rFonts w:ascii="Times New Roman" w:hAnsi="Times New Roman" w:cs="Times New Roman"/>
          <w:sz w:val="28"/>
          <w:szCs w:val="28"/>
        </w:rPr>
      </w:pPr>
      <w:r w:rsidRPr="009E6C53">
        <w:rPr>
          <w:b/>
          <w:bCs/>
          <w:noProof/>
          <w:lang w:eastAsia="ru-RU"/>
        </w:rPr>
        <w:drawing>
          <wp:inline distT="0" distB="0" distL="0" distR="0" wp14:anchorId="08AF05C9" wp14:editId="76EBBC36">
            <wp:extent cx="4904214" cy="6629400"/>
            <wp:effectExtent l="0" t="0" r="0" b="0"/>
            <wp:docPr id="38" name="Рисунок 38" descr="C:\Users\User\Desktop\монография\приложения\письмо рук (1)\письмо рук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монография\приложения\письмо рук (1)\письмо рук (1)-1.png"/>
                    <pic:cNvPicPr>
                      <a:picLocks noChangeAspect="1" noChangeArrowheads="1"/>
                    </pic:cNvPicPr>
                  </pic:nvPicPr>
                  <pic:blipFill rotWithShape="1">
                    <a:blip r:embed="rId60">
                      <a:extLst>
                        <a:ext uri="{28A0092B-C50C-407E-A947-70E740481C1C}">
                          <a14:useLocalDpi xmlns:a14="http://schemas.microsoft.com/office/drawing/2010/main" val="0"/>
                        </a:ext>
                      </a:extLst>
                    </a:blip>
                    <a:srcRect l="7003" b="11118"/>
                    <a:stretch/>
                  </pic:blipFill>
                  <pic:spPr bwMode="auto">
                    <a:xfrm>
                      <a:off x="0" y="0"/>
                      <a:ext cx="4915106" cy="6644124"/>
                    </a:xfrm>
                    <a:prstGeom prst="rect">
                      <a:avLst/>
                    </a:prstGeom>
                    <a:noFill/>
                    <a:ln>
                      <a:noFill/>
                    </a:ln>
                    <a:extLst>
                      <a:ext uri="{53640926-AAD7-44D8-BBD7-CCE9431645EC}">
                        <a14:shadowObscured xmlns:a14="http://schemas.microsoft.com/office/drawing/2010/main"/>
                      </a:ext>
                    </a:extLst>
                  </pic:spPr>
                </pic:pic>
              </a:graphicData>
            </a:graphic>
          </wp:inline>
        </w:drawing>
      </w:r>
    </w:p>
    <w:p w14:paraId="00121434" w14:textId="68A2E612" w:rsidR="000F48FE" w:rsidRDefault="000F48FE" w:rsidP="0097729F">
      <w:pPr>
        <w:tabs>
          <w:tab w:val="left" w:pos="851"/>
        </w:tabs>
        <w:spacing w:after="0" w:line="240" w:lineRule="auto"/>
        <w:ind w:firstLine="709"/>
        <w:rPr>
          <w:rFonts w:ascii="Times New Roman" w:hAnsi="Times New Roman" w:cs="Times New Roman"/>
          <w:sz w:val="28"/>
          <w:szCs w:val="28"/>
        </w:rPr>
      </w:pPr>
      <w:r w:rsidRPr="009E6C53">
        <w:rPr>
          <w:noProof/>
          <w:lang w:eastAsia="ru-RU"/>
        </w:rPr>
        <w:drawing>
          <wp:inline distT="0" distB="0" distL="0" distR="0" wp14:anchorId="3AF92FC9" wp14:editId="4AB64884">
            <wp:extent cx="3429000" cy="1524000"/>
            <wp:effectExtent l="0" t="0" r="0" b="0"/>
            <wp:docPr id="39" name="Рисунок 39" descr="C:\Users\User\Desktop\монография\приложения\письмо рук (1)\письмо рук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монография\приложения\письмо рук (1)\письмо рук (1)-2.png"/>
                    <pic:cNvPicPr>
                      <a:picLocks noChangeAspect="1" noChangeArrowheads="1"/>
                    </pic:cNvPicPr>
                  </pic:nvPicPr>
                  <pic:blipFill rotWithShape="1">
                    <a:blip r:embed="rId61">
                      <a:extLst>
                        <a:ext uri="{28A0092B-C50C-407E-A947-70E740481C1C}">
                          <a14:useLocalDpi xmlns:a14="http://schemas.microsoft.com/office/drawing/2010/main" val="0"/>
                        </a:ext>
                      </a:extLst>
                    </a:blip>
                    <a:srcRect l="6094" t="2494" r="36177" b="79365"/>
                    <a:stretch/>
                  </pic:blipFill>
                  <pic:spPr bwMode="auto">
                    <a:xfrm>
                      <a:off x="0" y="0"/>
                      <a:ext cx="3429367" cy="152416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rPr>
        <w:br w:type="page"/>
      </w:r>
    </w:p>
    <w:p w14:paraId="7C028F91" w14:textId="05803E7C" w:rsidR="000F48FE" w:rsidRPr="001C54CD" w:rsidRDefault="000F48FE" w:rsidP="000F48FE">
      <w:pPr>
        <w:pStyle w:val="11"/>
        <w:rPr>
          <w:lang w:val="kk-KZ"/>
        </w:rPr>
      </w:pPr>
      <w:r>
        <w:lastRenderedPageBreak/>
        <w:t xml:space="preserve">ПРИЛОЖЕНИЕ </w:t>
      </w:r>
      <w:r w:rsidR="0084493D">
        <w:rPr>
          <w:lang w:val="kk-KZ"/>
        </w:rPr>
        <w:t>Г</w:t>
      </w:r>
    </w:p>
    <w:p w14:paraId="5063EE7F" w14:textId="77777777" w:rsidR="000F3C80" w:rsidRDefault="000F3C80" w:rsidP="007743B9">
      <w:pPr>
        <w:tabs>
          <w:tab w:val="left" w:pos="851"/>
        </w:tabs>
        <w:spacing w:after="0" w:line="240" w:lineRule="auto"/>
        <w:jc w:val="center"/>
        <w:rPr>
          <w:rFonts w:ascii="Times New Roman" w:hAnsi="Times New Roman" w:cs="Times New Roman"/>
          <w:sz w:val="28"/>
          <w:szCs w:val="28"/>
          <w:lang w:val="kk-KZ"/>
        </w:rPr>
      </w:pPr>
    </w:p>
    <w:p w14:paraId="00717A90" w14:textId="642090E8" w:rsidR="000F48FE" w:rsidRDefault="007743B9" w:rsidP="007743B9">
      <w:pPr>
        <w:tabs>
          <w:tab w:val="left" w:pos="851"/>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Вопросы </w:t>
      </w:r>
      <w:r w:rsidR="0097729F">
        <w:rPr>
          <w:rFonts w:ascii="Times New Roman" w:hAnsi="Times New Roman" w:cs="Times New Roman"/>
          <w:sz w:val="28"/>
          <w:szCs w:val="28"/>
          <w:lang w:val="kk-KZ"/>
        </w:rPr>
        <w:t xml:space="preserve">анкетирования </w:t>
      </w:r>
      <w:r w:rsidR="0097729F" w:rsidRPr="0097729F">
        <w:rPr>
          <w:rFonts w:ascii="Times New Roman" w:hAnsi="Times New Roman" w:cs="Times New Roman"/>
          <w:sz w:val="28"/>
          <w:szCs w:val="28"/>
          <w:lang w:val="kk-KZ"/>
        </w:rPr>
        <w:t>«Оценка инновационного потенциала предпринимательских структур»</w:t>
      </w:r>
    </w:p>
    <w:p w14:paraId="7E2EA78B" w14:textId="77777777" w:rsidR="00857B3E" w:rsidRDefault="00857B3E" w:rsidP="007743B9">
      <w:pPr>
        <w:tabs>
          <w:tab w:val="left" w:pos="851"/>
        </w:tabs>
        <w:spacing w:after="0" w:line="240" w:lineRule="auto"/>
        <w:jc w:val="center"/>
        <w:rPr>
          <w:rFonts w:ascii="Times New Roman" w:hAnsi="Times New Roman" w:cs="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043020" w:rsidRPr="00392FE6" w14:paraId="05A04FA0" w14:textId="77777777" w:rsidTr="00BE6E4B">
        <w:tc>
          <w:tcPr>
            <w:tcW w:w="9345" w:type="dxa"/>
          </w:tcPr>
          <w:p w14:paraId="0B3742CB" w14:textId="77777777" w:rsidR="00043020" w:rsidRPr="005174F0" w:rsidRDefault="00043020" w:rsidP="00043020">
            <w:pPr>
              <w:ind w:left="35" w:firstLine="0"/>
              <w:jc w:val="center"/>
              <w:rPr>
                <w:b/>
                <w:sz w:val="22"/>
                <w:lang w:val="kk-KZ"/>
              </w:rPr>
            </w:pPr>
            <w:r w:rsidRPr="005174F0">
              <w:rPr>
                <w:b/>
                <w:sz w:val="22"/>
                <w:lang w:val="kk-KZ"/>
              </w:rPr>
              <w:t>«Оценка инновационного потенциала предпринимательских структур»</w:t>
            </w:r>
          </w:p>
          <w:p w14:paraId="620A2270" w14:textId="77777777" w:rsidR="00043020" w:rsidRDefault="00043020" w:rsidP="00043020">
            <w:pPr>
              <w:ind w:left="35" w:firstLine="0"/>
              <w:jc w:val="center"/>
              <w:rPr>
                <w:sz w:val="22"/>
                <w:lang w:val="kk-KZ"/>
              </w:rPr>
            </w:pPr>
          </w:p>
          <w:p w14:paraId="39D80179" w14:textId="77777777" w:rsidR="00043020" w:rsidRPr="005174F0" w:rsidRDefault="00043020" w:rsidP="00043020">
            <w:pPr>
              <w:ind w:left="35" w:firstLine="0"/>
              <w:rPr>
                <w:sz w:val="22"/>
                <w:lang w:val="kk-KZ"/>
              </w:rPr>
            </w:pPr>
            <w:r>
              <w:rPr>
                <w:sz w:val="22"/>
                <w:lang w:val="kk-KZ"/>
              </w:rPr>
              <w:t>Увжвемые респонденты, д</w:t>
            </w:r>
            <w:r w:rsidRPr="005174F0">
              <w:rPr>
                <w:sz w:val="22"/>
                <w:lang w:val="kk-KZ"/>
              </w:rPr>
              <w:t>анная анкета предназначена для систематического сбора данных в рамках научного исследования, направленного на анализ инновационного потенциала предпринимательских структур и выявление факторов, как способствующих, так и препятствующих успешному внедрению инноваций. Ваш вклад в заполнение данной анкеты будет важным элементом для формирования фундаментальных предпосылок качественного исследования в области инновационной активности. Ваши ответы помогут не только понять текущую ситуацию, но и разработать эффективные стратегии для развития инновационной активности предпринимательских структур.</w:t>
            </w:r>
          </w:p>
          <w:p w14:paraId="2EBD502E" w14:textId="77777777" w:rsidR="00043020" w:rsidRPr="005174F0" w:rsidRDefault="00043020" w:rsidP="00043020">
            <w:pPr>
              <w:ind w:left="35" w:firstLine="0"/>
              <w:rPr>
                <w:sz w:val="22"/>
                <w:lang w:val="kk-KZ"/>
              </w:rPr>
            </w:pPr>
          </w:p>
          <w:p w14:paraId="2FB9CAA8" w14:textId="77777777" w:rsidR="00043020" w:rsidRPr="005174F0" w:rsidRDefault="00043020" w:rsidP="00043020">
            <w:pPr>
              <w:ind w:left="35" w:firstLine="0"/>
              <w:rPr>
                <w:sz w:val="22"/>
                <w:lang w:val="kk-KZ"/>
              </w:rPr>
            </w:pPr>
            <w:r w:rsidRPr="005174F0">
              <w:rPr>
                <w:sz w:val="22"/>
                <w:lang w:val="kk-KZ"/>
              </w:rPr>
              <w:t>Пожалуйста, отвечайте честно и основывайтесь на реальном опыте вашей организации.</w:t>
            </w:r>
          </w:p>
        </w:tc>
      </w:tr>
      <w:tr w:rsidR="00043020" w:rsidRPr="00392FE6" w14:paraId="19CEE299" w14:textId="77777777" w:rsidTr="00BE6E4B">
        <w:tc>
          <w:tcPr>
            <w:tcW w:w="9345" w:type="dxa"/>
          </w:tcPr>
          <w:p w14:paraId="721B5043" w14:textId="4ECA451D" w:rsidR="00043020" w:rsidRPr="00392FE6" w:rsidRDefault="0097729F" w:rsidP="00043020">
            <w:pPr>
              <w:ind w:firstLine="0"/>
              <w:rPr>
                <w:b/>
                <w:i/>
                <w:iCs/>
                <w:color w:val="202124"/>
                <w:sz w:val="22"/>
                <w:shd w:val="clear" w:color="auto" w:fill="FFFFFF"/>
                <w:lang w:val="kk-KZ"/>
              </w:rPr>
            </w:pPr>
            <w:r>
              <w:rPr>
                <w:b/>
                <w:i/>
                <w:iCs/>
                <w:color w:val="202124"/>
                <w:sz w:val="22"/>
                <w:shd w:val="clear" w:color="auto" w:fill="FFFFFF"/>
                <w:lang w:val="kk-KZ"/>
              </w:rPr>
              <w:t xml:space="preserve">І </w:t>
            </w:r>
            <w:r w:rsidR="00043020" w:rsidRPr="00392FE6">
              <w:rPr>
                <w:b/>
                <w:i/>
                <w:iCs/>
                <w:color w:val="202124"/>
                <w:sz w:val="22"/>
                <w:shd w:val="clear" w:color="auto" w:fill="FFFFFF"/>
                <w:lang w:val="kk-KZ"/>
              </w:rPr>
              <w:t>Общие сведения</w:t>
            </w:r>
          </w:p>
          <w:p w14:paraId="1CE321D0" w14:textId="77777777" w:rsidR="00043020" w:rsidRPr="00392FE6" w:rsidRDefault="00043020" w:rsidP="00B20582">
            <w:pPr>
              <w:pStyle w:val="a3"/>
              <w:numPr>
                <w:ilvl w:val="0"/>
                <w:numId w:val="44"/>
              </w:numPr>
              <w:jc w:val="both"/>
              <w:rPr>
                <w:i/>
                <w:iCs/>
                <w:color w:val="202124"/>
                <w:sz w:val="22"/>
                <w:shd w:val="clear" w:color="auto" w:fill="FFFFFF"/>
              </w:rPr>
            </w:pPr>
            <w:r w:rsidRPr="00392FE6">
              <w:rPr>
                <w:i/>
                <w:iCs/>
                <w:color w:val="202124"/>
                <w:sz w:val="22"/>
                <w:shd w:val="clear" w:color="auto" w:fill="FFFFFF"/>
              </w:rPr>
              <w:t>Введите наименование вашей компании</w:t>
            </w:r>
          </w:p>
          <w:p w14:paraId="5094EB9F" w14:textId="77777777" w:rsidR="00043020" w:rsidRPr="00392FE6" w:rsidRDefault="00043020" w:rsidP="00B20582">
            <w:pPr>
              <w:pStyle w:val="a3"/>
              <w:numPr>
                <w:ilvl w:val="0"/>
                <w:numId w:val="44"/>
              </w:numPr>
              <w:jc w:val="both"/>
              <w:rPr>
                <w:i/>
                <w:iCs/>
                <w:color w:val="202124"/>
                <w:sz w:val="22"/>
                <w:shd w:val="clear" w:color="auto" w:fill="FFFFFF"/>
              </w:rPr>
            </w:pPr>
            <w:r w:rsidRPr="00392FE6">
              <w:rPr>
                <w:i/>
                <w:iCs/>
                <w:color w:val="202124"/>
                <w:sz w:val="22"/>
                <w:shd w:val="clear" w:color="auto" w:fill="FFFFFF"/>
              </w:rPr>
              <w:t>Укажите регион, в котором зарегистрирована компания</w:t>
            </w:r>
          </w:p>
          <w:p w14:paraId="7C202267" w14:textId="77777777" w:rsidR="00043020" w:rsidRPr="00392FE6" w:rsidRDefault="00043020" w:rsidP="00B20582">
            <w:pPr>
              <w:pStyle w:val="a3"/>
              <w:numPr>
                <w:ilvl w:val="0"/>
                <w:numId w:val="44"/>
              </w:numPr>
              <w:jc w:val="both"/>
              <w:rPr>
                <w:i/>
                <w:iCs/>
                <w:color w:val="202124"/>
                <w:sz w:val="22"/>
                <w:shd w:val="clear" w:color="auto" w:fill="FFFFFF"/>
                <w:lang w:val="kk-KZ"/>
              </w:rPr>
            </w:pPr>
            <w:r w:rsidRPr="00392FE6">
              <w:rPr>
                <w:i/>
                <w:iCs/>
                <w:color w:val="202124"/>
                <w:sz w:val="22"/>
                <w:shd w:val="clear" w:color="auto" w:fill="FFFFFF"/>
              </w:rPr>
              <w:t>Выберите вид предпринимательской деятельности, который наилучшим образом соответствует размеру вашей компании в зависимости от количества сотрудников</w:t>
            </w:r>
            <w:r w:rsidRPr="00392FE6">
              <w:rPr>
                <w:i/>
                <w:iCs/>
                <w:color w:val="202124"/>
                <w:sz w:val="22"/>
                <w:shd w:val="clear" w:color="auto" w:fill="FFFFFF"/>
                <w:lang w:val="kk-KZ"/>
              </w:rPr>
              <w:t>:</w:t>
            </w:r>
          </w:p>
          <w:p w14:paraId="77D4BBFB" w14:textId="77777777" w:rsidR="00043020" w:rsidRPr="00392FE6" w:rsidRDefault="00043020" w:rsidP="00B20582">
            <w:pPr>
              <w:pStyle w:val="a3"/>
              <w:numPr>
                <w:ilvl w:val="0"/>
                <w:numId w:val="45"/>
              </w:numPr>
              <w:jc w:val="both"/>
              <w:rPr>
                <w:sz w:val="22"/>
                <w:lang w:val="kk-KZ"/>
              </w:rPr>
            </w:pPr>
            <w:r w:rsidRPr="00392FE6">
              <w:rPr>
                <w:sz w:val="22"/>
                <w:lang w:val="kk-KZ"/>
              </w:rPr>
              <w:t xml:space="preserve">Малое предпринимательство (16-100) </w:t>
            </w:r>
          </w:p>
          <w:p w14:paraId="373C820C" w14:textId="77777777" w:rsidR="00043020" w:rsidRPr="00392FE6" w:rsidRDefault="00043020" w:rsidP="00B20582">
            <w:pPr>
              <w:pStyle w:val="a3"/>
              <w:numPr>
                <w:ilvl w:val="0"/>
                <w:numId w:val="45"/>
              </w:numPr>
              <w:jc w:val="both"/>
              <w:rPr>
                <w:sz w:val="22"/>
                <w:lang w:val="kk-KZ"/>
              </w:rPr>
            </w:pPr>
            <w:r w:rsidRPr="00392FE6">
              <w:rPr>
                <w:sz w:val="22"/>
                <w:lang w:val="kk-KZ"/>
              </w:rPr>
              <w:t>Среднее предпринимательство (101-250)</w:t>
            </w:r>
          </w:p>
          <w:p w14:paraId="2755D58F" w14:textId="77777777" w:rsidR="00043020" w:rsidRPr="00392FE6" w:rsidRDefault="00043020" w:rsidP="00B20582">
            <w:pPr>
              <w:pStyle w:val="a3"/>
              <w:numPr>
                <w:ilvl w:val="0"/>
                <w:numId w:val="45"/>
              </w:numPr>
              <w:jc w:val="both"/>
              <w:rPr>
                <w:sz w:val="22"/>
                <w:lang w:val="kk-KZ"/>
              </w:rPr>
            </w:pPr>
            <w:r w:rsidRPr="00392FE6">
              <w:rPr>
                <w:sz w:val="22"/>
                <w:lang w:val="kk-KZ"/>
              </w:rPr>
              <w:t>Крупное предпринимательство (более 250 чел.)</w:t>
            </w:r>
            <w:r w:rsidRPr="00392FE6">
              <w:rPr>
                <w:i/>
                <w:iCs/>
                <w:color w:val="202124"/>
                <w:sz w:val="22"/>
                <w:shd w:val="clear" w:color="auto" w:fill="FFFFFF"/>
              </w:rPr>
              <w:t xml:space="preserve"> </w:t>
            </w:r>
          </w:p>
          <w:p w14:paraId="22EEA891" w14:textId="77777777" w:rsidR="00043020" w:rsidRPr="00392FE6" w:rsidRDefault="00043020" w:rsidP="00B20582">
            <w:pPr>
              <w:pStyle w:val="a3"/>
              <w:numPr>
                <w:ilvl w:val="0"/>
                <w:numId w:val="44"/>
              </w:numPr>
              <w:jc w:val="both"/>
              <w:rPr>
                <w:i/>
                <w:iCs/>
                <w:color w:val="202124"/>
                <w:sz w:val="22"/>
                <w:shd w:val="clear" w:color="auto" w:fill="FFFFFF"/>
                <w:lang w:val="kk-KZ"/>
              </w:rPr>
            </w:pPr>
            <w:r w:rsidRPr="00392FE6">
              <w:rPr>
                <w:i/>
                <w:iCs/>
                <w:color w:val="202124"/>
                <w:sz w:val="22"/>
                <w:shd w:val="clear" w:color="auto" w:fill="FFFFFF"/>
              </w:rPr>
              <w:t>Укажите форму собственности вашей компании. При необходимости, уточните особенности, указав их в строке "Другое"</w:t>
            </w:r>
            <w:r w:rsidRPr="00392FE6">
              <w:rPr>
                <w:i/>
                <w:iCs/>
                <w:color w:val="202124"/>
                <w:sz w:val="22"/>
                <w:shd w:val="clear" w:color="auto" w:fill="FFFFFF"/>
                <w:lang w:val="kk-KZ"/>
              </w:rPr>
              <w:t>:</w:t>
            </w:r>
          </w:p>
          <w:p w14:paraId="38C57F72" w14:textId="77777777" w:rsidR="00043020" w:rsidRPr="00392FE6" w:rsidRDefault="00043020" w:rsidP="00B20582">
            <w:pPr>
              <w:pStyle w:val="a3"/>
              <w:numPr>
                <w:ilvl w:val="0"/>
                <w:numId w:val="46"/>
              </w:numPr>
              <w:jc w:val="both"/>
              <w:rPr>
                <w:sz w:val="22"/>
                <w:lang w:val="kk-KZ"/>
              </w:rPr>
            </w:pPr>
            <w:r w:rsidRPr="00392FE6">
              <w:rPr>
                <w:sz w:val="22"/>
                <w:lang w:val="kk-KZ"/>
              </w:rPr>
              <w:t xml:space="preserve">частная </w:t>
            </w:r>
          </w:p>
          <w:p w14:paraId="0BB6F7CF" w14:textId="77777777" w:rsidR="00043020" w:rsidRPr="00392FE6" w:rsidRDefault="00043020" w:rsidP="00B20582">
            <w:pPr>
              <w:pStyle w:val="a3"/>
              <w:numPr>
                <w:ilvl w:val="0"/>
                <w:numId w:val="46"/>
              </w:numPr>
              <w:jc w:val="both"/>
              <w:rPr>
                <w:sz w:val="22"/>
                <w:lang w:val="kk-KZ"/>
              </w:rPr>
            </w:pPr>
            <w:r w:rsidRPr="00392FE6">
              <w:rPr>
                <w:sz w:val="22"/>
                <w:lang w:val="kk-KZ"/>
              </w:rPr>
              <w:t xml:space="preserve">государственная </w:t>
            </w:r>
          </w:p>
          <w:p w14:paraId="054D66F1" w14:textId="77777777" w:rsidR="00043020" w:rsidRPr="00392FE6" w:rsidRDefault="00043020" w:rsidP="00B20582">
            <w:pPr>
              <w:pStyle w:val="a3"/>
              <w:numPr>
                <w:ilvl w:val="0"/>
                <w:numId w:val="46"/>
              </w:numPr>
              <w:jc w:val="both"/>
              <w:rPr>
                <w:sz w:val="22"/>
                <w:lang w:val="kk-KZ"/>
              </w:rPr>
            </w:pPr>
            <w:r w:rsidRPr="00392FE6">
              <w:rPr>
                <w:sz w:val="22"/>
                <w:lang w:val="kk-KZ"/>
              </w:rPr>
              <w:t xml:space="preserve">смешанная </w:t>
            </w:r>
          </w:p>
          <w:p w14:paraId="0572DB82" w14:textId="77777777" w:rsidR="00043020" w:rsidRDefault="00043020" w:rsidP="00B20582">
            <w:pPr>
              <w:pStyle w:val="a3"/>
              <w:numPr>
                <w:ilvl w:val="0"/>
                <w:numId w:val="46"/>
              </w:numPr>
              <w:jc w:val="both"/>
              <w:rPr>
                <w:sz w:val="22"/>
                <w:lang w:val="kk-KZ"/>
              </w:rPr>
            </w:pPr>
            <w:r w:rsidRPr="00392FE6">
              <w:rPr>
                <w:sz w:val="22"/>
                <w:lang w:val="kk-KZ"/>
              </w:rPr>
              <w:t>иностранная</w:t>
            </w:r>
          </w:p>
          <w:p w14:paraId="225BC74C" w14:textId="77777777" w:rsidR="00043020" w:rsidRPr="00392FE6" w:rsidRDefault="00043020" w:rsidP="00B20582">
            <w:pPr>
              <w:pStyle w:val="a3"/>
              <w:numPr>
                <w:ilvl w:val="0"/>
                <w:numId w:val="46"/>
              </w:numPr>
              <w:jc w:val="both"/>
              <w:rPr>
                <w:sz w:val="22"/>
                <w:lang w:val="kk-KZ"/>
              </w:rPr>
            </w:pPr>
            <w:r>
              <w:rPr>
                <w:iCs/>
                <w:color w:val="202124"/>
                <w:sz w:val="22"/>
                <w:shd w:val="clear" w:color="auto" w:fill="FFFFFF"/>
                <w:lang w:val="kk-KZ"/>
              </w:rPr>
              <w:t>д</w:t>
            </w:r>
            <w:r w:rsidRPr="00392FE6">
              <w:rPr>
                <w:iCs/>
                <w:color w:val="202124"/>
                <w:sz w:val="22"/>
                <w:shd w:val="clear" w:color="auto" w:fill="FFFFFF"/>
              </w:rPr>
              <w:t>ругое</w:t>
            </w:r>
          </w:p>
          <w:p w14:paraId="35F96382" w14:textId="77777777" w:rsidR="00043020" w:rsidRPr="00392FE6" w:rsidRDefault="00043020" w:rsidP="00B20582">
            <w:pPr>
              <w:pStyle w:val="a3"/>
              <w:numPr>
                <w:ilvl w:val="0"/>
                <w:numId w:val="44"/>
              </w:numPr>
              <w:jc w:val="both"/>
              <w:rPr>
                <w:i/>
                <w:iCs/>
                <w:color w:val="202124"/>
                <w:sz w:val="22"/>
                <w:shd w:val="clear" w:color="auto" w:fill="FFFFFF"/>
              </w:rPr>
            </w:pPr>
            <w:r w:rsidRPr="00392FE6">
              <w:rPr>
                <w:i/>
                <w:iCs/>
                <w:color w:val="202124"/>
                <w:sz w:val="22"/>
                <w:shd w:val="clear" w:color="auto" w:fill="FFFFFF"/>
              </w:rPr>
              <w:t>Укажите организационную форму хозяйствования вашей компании. </w:t>
            </w:r>
          </w:p>
          <w:p w14:paraId="3B6B5535" w14:textId="77777777" w:rsidR="00043020" w:rsidRPr="00392FE6" w:rsidRDefault="00043020" w:rsidP="00B20582">
            <w:pPr>
              <w:pStyle w:val="a3"/>
              <w:numPr>
                <w:ilvl w:val="0"/>
                <w:numId w:val="47"/>
              </w:numPr>
              <w:jc w:val="both"/>
              <w:rPr>
                <w:sz w:val="22"/>
              </w:rPr>
            </w:pPr>
            <w:r w:rsidRPr="00392FE6">
              <w:rPr>
                <w:sz w:val="22"/>
              </w:rPr>
              <w:t xml:space="preserve">ИП </w:t>
            </w:r>
          </w:p>
          <w:p w14:paraId="1FB0AA12" w14:textId="77777777" w:rsidR="00043020" w:rsidRPr="00392FE6" w:rsidRDefault="00043020" w:rsidP="00B20582">
            <w:pPr>
              <w:pStyle w:val="a3"/>
              <w:numPr>
                <w:ilvl w:val="0"/>
                <w:numId w:val="47"/>
              </w:numPr>
              <w:jc w:val="both"/>
              <w:rPr>
                <w:sz w:val="22"/>
                <w:lang w:val="kk-KZ"/>
              </w:rPr>
            </w:pPr>
            <w:r w:rsidRPr="00392FE6">
              <w:rPr>
                <w:sz w:val="22"/>
                <w:lang w:val="kk-KZ"/>
              </w:rPr>
              <w:t>ТОО</w:t>
            </w:r>
          </w:p>
          <w:p w14:paraId="577949E2" w14:textId="77777777" w:rsidR="00043020" w:rsidRPr="00392FE6" w:rsidRDefault="00043020" w:rsidP="00B20582">
            <w:pPr>
              <w:pStyle w:val="a3"/>
              <w:numPr>
                <w:ilvl w:val="0"/>
                <w:numId w:val="47"/>
              </w:numPr>
              <w:jc w:val="both"/>
              <w:rPr>
                <w:sz w:val="22"/>
                <w:lang w:val="kk-KZ"/>
              </w:rPr>
            </w:pPr>
            <w:r w:rsidRPr="00392FE6">
              <w:rPr>
                <w:sz w:val="22"/>
                <w:lang w:val="kk-KZ"/>
              </w:rPr>
              <w:t>АО</w:t>
            </w:r>
          </w:p>
          <w:p w14:paraId="631438AB" w14:textId="77777777" w:rsidR="00043020" w:rsidRPr="00392FE6" w:rsidRDefault="00043020" w:rsidP="00B20582">
            <w:pPr>
              <w:pStyle w:val="a3"/>
              <w:numPr>
                <w:ilvl w:val="0"/>
                <w:numId w:val="47"/>
              </w:numPr>
              <w:jc w:val="both"/>
              <w:rPr>
                <w:sz w:val="22"/>
                <w:lang w:val="kk-KZ"/>
              </w:rPr>
            </w:pPr>
            <w:r w:rsidRPr="00392FE6">
              <w:rPr>
                <w:sz w:val="22"/>
                <w:lang w:val="kk-KZ"/>
              </w:rPr>
              <w:t xml:space="preserve">Другое </w:t>
            </w:r>
          </w:p>
        </w:tc>
      </w:tr>
      <w:tr w:rsidR="00043020" w:rsidRPr="00392FE6" w14:paraId="5D2F126B" w14:textId="77777777" w:rsidTr="00BE6E4B">
        <w:tc>
          <w:tcPr>
            <w:tcW w:w="9345" w:type="dxa"/>
          </w:tcPr>
          <w:p w14:paraId="30D7BF54" w14:textId="5996CB89" w:rsidR="00043020" w:rsidRDefault="0097729F" w:rsidP="00043020">
            <w:pPr>
              <w:ind w:firstLine="0"/>
              <w:rPr>
                <w:b/>
                <w:i/>
                <w:iCs/>
                <w:color w:val="202124"/>
                <w:sz w:val="22"/>
                <w:shd w:val="clear" w:color="auto" w:fill="FFFFFF"/>
              </w:rPr>
            </w:pPr>
            <w:r>
              <w:rPr>
                <w:b/>
                <w:i/>
                <w:iCs/>
                <w:color w:val="202124"/>
                <w:sz w:val="22"/>
                <w:shd w:val="clear" w:color="auto" w:fill="FFFFFF"/>
                <w:lang w:val="kk-KZ"/>
              </w:rPr>
              <w:t xml:space="preserve">ІІ </w:t>
            </w:r>
            <w:r w:rsidR="00043020" w:rsidRPr="000B0C7C">
              <w:rPr>
                <w:b/>
                <w:i/>
                <w:iCs/>
                <w:color w:val="202124"/>
                <w:sz w:val="22"/>
                <w:shd w:val="clear" w:color="auto" w:fill="FFFFFF"/>
              </w:rPr>
              <w:t>Стратегия инновационного развития</w:t>
            </w:r>
          </w:p>
          <w:p w14:paraId="5FD3D8BF" w14:textId="77777777" w:rsidR="00043020" w:rsidRPr="000B0C7C" w:rsidRDefault="00043020" w:rsidP="00043020">
            <w:pPr>
              <w:ind w:firstLine="0"/>
              <w:rPr>
                <w:b/>
                <w:sz w:val="22"/>
              </w:rPr>
            </w:pPr>
            <w:r w:rsidRPr="00392FE6">
              <w:rPr>
                <w:i/>
                <w:iCs/>
                <w:color w:val="202124"/>
                <w:sz w:val="22"/>
                <w:shd w:val="clear" w:color="auto" w:fill="FFFFFF"/>
              </w:rPr>
              <w:t>Есть ли у вашей компании стратегия инновационного развития? </w:t>
            </w:r>
            <w:r w:rsidRPr="00392FE6">
              <w:rPr>
                <w:i/>
                <w:iCs/>
                <w:color w:val="202124"/>
                <w:sz w:val="22"/>
                <w:shd w:val="clear" w:color="auto" w:fill="FFFFFF"/>
                <w:lang w:val="kk-KZ"/>
              </w:rPr>
              <w:t>(да, нет)</w:t>
            </w:r>
          </w:p>
        </w:tc>
      </w:tr>
      <w:tr w:rsidR="00043020" w:rsidRPr="00392FE6" w14:paraId="1634FD2F" w14:textId="77777777" w:rsidTr="00BE6E4B">
        <w:tc>
          <w:tcPr>
            <w:tcW w:w="9345" w:type="dxa"/>
          </w:tcPr>
          <w:p w14:paraId="71E27673" w14:textId="03B138FA" w:rsidR="00043020" w:rsidRPr="000B0C7C" w:rsidRDefault="0097729F" w:rsidP="00043020">
            <w:pPr>
              <w:ind w:firstLine="0"/>
              <w:rPr>
                <w:rFonts w:eastAsia="Times New Roman"/>
                <w:b/>
                <w:i/>
                <w:iCs/>
                <w:color w:val="202124"/>
                <w:sz w:val="22"/>
                <w:shd w:val="clear" w:color="auto" w:fill="FFFFFF"/>
                <w:lang w:val="kk-KZ" w:eastAsia="ru-RU"/>
              </w:rPr>
            </w:pPr>
            <w:r>
              <w:rPr>
                <w:rFonts w:eastAsia="Times New Roman"/>
                <w:b/>
                <w:i/>
                <w:iCs/>
                <w:color w:val="202124"/>
                <w:sz w:val="22"/>
                <w:shd w:val="clear" w:color="auto" w:fill="FFFFFF"/>
                <w:lang w:val="kk-KZ" w:eastAsia="ru-RU"/>
              </w:rPr>
              <w:t xml:space="preserve">ІІІ </w:t>
            </w:r>
            <w:r w:rsidR="00043020" w:rsidRPr="000B0C7C">
              <w:rPr>
                <w:rFonts w:eastAsia="Times New Roman"/>
                <w:b/>
                <w:i/>
                <w:iCs/>
                <w:color w:val="202124"/>
                <w:sz w:val="22"/>
                <w:shd w:val="clear" w:color="auto" w:fill="FFFFFF"/>
                <w:lang w:val="kk-KZ" w:eastAsia="ru-RU"/>
              </w:rPr>
              <w:t>Ресурсная база</w:t>
            </w:r>
          </w:p>
          <w:p w14:paraId="17E702FB" w14:textId="77777777" w:rsidR="00043020" w:rsidRPr="001F77AF" w:rsidRDefault="00043020" w:rsidP="00043020">
            <w:pPr>
              <w:ind w:firstLine="0"/>
              <w:rPr>
                <w:rFonts w:eastAsia="Times New Roman"/>
                <w:sz w:val="22"/>
                <w:lang w:eastAsia="ru-RU"/>
              </w:rPr>
            </w:pPr>
            <w:r w:rsidRPr="001F77AF">
              <w:rPr>
                <w:rFonts w:eastAsia="Times New Roman"/>
                <w:i/>
                <w:iCs/>
                <w:color w:val="202124"/>
                <w:sz w:val="22"/>
                <w:shd w:val="clear" w:color="auto" w:fill="FFFFFF"/>
                <w:lang w:eastAsia="ru-RU"/>
              </w:rPr>
              <w:t>Оцените достаточность ресурсов для осуществления инновационной деятельности, включая производственные, финансовые, кадровые и научно-технические аспекты, даже если ваша компания не занимается инновационной деятельностью. </w:t>
            </w:r>
          </w:p>
          <w:p w14:paraId="146A0B90" w14:textId="77777777" w:rsidR="00043020" w:rsidRPr="001F77AF" w:rsidRDefault="00043020" w:rsidP="00043020">
            <w:pPr>
              <w:shd w:val="clear" w:color="auto" w:fill="FFFFFF"/>
              <w:ind w:firstLine="0"/>
              <w:rPr>
                <w:rFonts w:eastAsia="Times New Roman"/>
                <w:color w:val="202124"/>
                <w:sz w:val="22"/>
                <w:lang w:eastAsia="ru-RU"/>
              </w:rPr>
            </w:pPr>
            <w:r w:rsidRPr="001F77AF">
              <w:rPr>
                <w:rFonts w:eastAsia="Times New Roman"/>
                <w:i/>
                <w:iCs/>
                <w:color w:val="202124"/>
                <w:sz w:val="22"/>
                <w:lang w:eastAsia="ru-RU"/>
              </w:rPr>
              <w:t xml:space="preserve">Оцените предложенные ресурсы по балльной шкале, где 1 </w:t>
            </w:r>
            <w:r>
              <w:rPr>
                <w:rFonts w:eastAsia="Times New Roman"/>
                <w:i/>
                <w:iCs/>
                <w:color w:val="202124"/>
                <w:sz w:val="22"/>
                <w:lang w:eastAsia="ru-RU"/>
              </w:rPr>
              <w:t>–</w:t>
            </w:r>
            <w:r w:rsidRPr="001F77AF">
              <w:rPr>
                <w:rFonts w:eastAsia="Times New Roman"/>
                <w:i/>
                <w:iCs/>
                <w:color w:val="202124"/>
                <w:sz w:val="22"/>
                <w:lang w:eastAsia="ru-RU"/>
              </w:rPr>
              <w:t xml:space="preserve">крайне недостаточно, 2 </w:t>
            </w:r>
            <w:r>
              <w:rPr>
                <w:rFonts w:eastAsia="Times New Roman"/>
                <w:i/>
                <w:iCs/>
                <w:color w:val="202124"/>
                <w:sz w:val="22"/>
                <w:lang w:eastAsia="ru-RU"/>
              </w:rPr>
              <w:t>–</w:t>
            </w:r>
            <w:r w:rsidRPr="001F77AF">
              <w:rPr>
                <w:rFonts w:eastAsia="Times New Roman"/>
                <w:i/>
                <w:iCs/>
                <w:color w:val="202124"/>
                <w:sz w:val="22"/>
                <w:lang w:eastAsia="ru-RU"/>
              </w:rPr>
              <w:t xml:space="preserve">недостаточно, 3 </w:t>
            </w:r>
            <w:r>
              <w:rPr>
                <w:rFonts w:eastAsia="Times New Roman"/>
                <w:i/>
                <w:iCs/>
                <w:color w:val="202124"/>
                <w:sz w:val="22"/>
                <w:lang w:eastAsia="ru-RU"/>
              </w:rPr>
              <w:t>–</w:t>
            </w:r>
            <w:r w:rsidRPr="001F77AF">
              <w:rPr>
                <w:rFonts w:eastAsia="Times New Roman"/>
                <w:i/>
                <w:iCs/>
                <w:color w:val="202124"/>
                <w:sz w:val="22"/>
                <w:lang w:eastAsia="ru-RU"/>
              </w:rPr>
              <w:t xml:space="preserve">удовлетворительно, 4 </w:t>
            </w:r>
            <w:r>
              <w:rPr>
                <w:rFonts w:eastAsia="Times New Roman"/>
                <w:i/>
                <w:iCs/>
                <w:color w:val="202124"/>
                <w:sz w:val="22"/>
                <w:lang w:eastAsia="ru-RU"/>
              </w:rPr>
              <w:t>–</w:t>
            </w:r>
            <w:r w:rsidRPr="001F77AF">
              <w:rPr>
                <w:rFonts w:eastAsia="Times New Roman"/>
                <w:i/>
                <w:iCs/>
                <w:color w:val="202124"/>
                <w:sz w:val="22"/>
                <w:lang w:eastAsia="ru-RU"/>
              </w:rPr>
              <w:t>достаточно, 5 </w:t>
            </w:r>
            <w:r>
              <w:rPr>
                <w:rFonts w:eastAsia="Times New Roman"/>
                <w:i/>
                <w:iCs/>
                <w:color w:val="202124"/>
                <w:sz w:val="22"/>
                <w:lang w:eastAsia="ru-RU"/>
              </w:rPr>
              <w:t>–</w:t>
            </w:r>
            <w:r w:rsidRPr="001F77AF">
              <w:rPr>
                <w:rFonts w:eastAsia="Times New Roman"/>
                <w:i/>
                <w:iCs/>
                <w:color w:val="202124"/>
                <w:sz w:val="22"/>
                <w:lang w:eastAsia="ru-RU"/>
              </w:rPr>
              <w:t>избыточно.</w:t>
            </w:r>
          </w:p>
          <w:p w14:paraId="434A4584" w14:textId="77777777" w:rsidR="00043020" w:rsidRPr="00392FE6" w:rsidRDefault="00043020" w:rsidP="00B20582">
            <w:pPr>
              <w:pStyle w:val="a3"/>
              <w:numPr>
                <w:ilvl w:val="0"/>
                <w:numId w:val="42"/>
              </w:numPr>
              <w:jc w:val="both"/>
              <w:rPr>
                <w:sz w:val="22"/>
              </w:rPr>
            </w:pPr>
            <w:r w:rsidRPr="00392FE6">
              <w:rPr>
                <w:sz w:val="22"/>
              </w:rPr>
              <w:t xml:space="preserve">Техническое состояние существующего оборудования </w:t>
            </w:r>
          </w:p>
          <w:p w14:paraId="1359A742" w14:textId="77777777" w:rsidR="00043020" w:rsidRPr="00392FE6" w:rsidRDefault="00043020" w:rsidP="00B20582">
            <w:pPr>
              <w:pStyle w:val="a3"/>
              <w:numPr>
                <w:ilvl w:val="0"/>
                <w:numId w:val="42"/>
              </w:numPr>
              <w:jc w:val="both"/>
              <w:rPr>
                <w:sz w:val="22"/>
              </w:rPr>
            </w:pPr>
            <w:r w:rsidRPr="00392FE6">
              <w:rPr>
                <w:sz w:val="22"/>
              </w:rPr>
              <w:t xml:space="preserve">Наличие высокотехнологичного оборудования </w:t>
            </w:r>
          </w:p>
          <w:p w14:paraId="71723B55" w14:textId="77777777" w:rsidR="00043020" w:rsidRPr="00392FE6" w:rsidRDefault="00043020" w:rsidP="00B20582">
            <w:pPr>
              <w:pStyle w:val="a3"/>
              <w:numPr>
                <w:ilvl w:val="0"/>
                <w:numId w:val="42"/>
              </w:numPr>
              <w:jc w:val="both"/>
              <w:rPr>
                <w:sz w:val="22"/>
              </w:rPr>
            </w:pPr>
            <w:r w:rsidRPr="00392FE6">
              <w:rPr>
                <w:sz w:val="22"/>
              </w:rPr>
              <w:t xml:space="preserve">Эффективность системы технического обслуживания и мониторинга </w:t>
            </w:r>
          </w:p>
          <w:p w14:paraId="465B1A19" w14:textId="77777777" w:rsidR="00043020" w:rsidRPr="00392FE6" w:rsidRDefault="00043020" w:rsidP="00B20582">
            <w:pPr>
              <w:pStyle w:val="a3"/>
              <w:numPr>
                <w:ilvl w:val="0"/>
                <w:numId w:val="42"/>
              </w:numPr>
              <w:jc w:val="both"/>
              <w:rPr>
                <w:sz w:val="22"/>
              </w:rPr>
            </w:pPr>
            <w:r w:rsidRPr="00392FE6">
              <w:rPr>
                <w:sz w:val="22"/>
              </w:rPr>
              <w:t xml:space="preserve">Доступность источников сырья и материалов </w:t>
            </w:r>
          </w:p>
          <w:p w14:paraId="3005126A" w14:textId="77777777" w:rsidR="00043020" w:rsidRPr="00392FE6" w:rsidRDefault="00043020" w:rsidP="00B20582">
            <w:pPr>
              <w:pStyle w:val="a3"/>
              <w:numPr>
                <w:ilvl w:val="0"/>
                <w:numId w:val="42"/>
              </w:numPr>
              <w:jc w:val="both"/>
              <w:rPr>
                <w:sz w:val="22"/>
              </w:rPr>
            </w:pPr>
            <w:r w:rsidRPr="00392FE6">
              <w:rPr>
                <w:sz w:val="22"/>
              </w:rPr>
              <w:t xml:space="preserve">Эффективность системы управления запасами и логистики поставок </w:t>
            </w:r>
          </w:p>
          <w:p w14:paraId="4DA04479" w14:textId="77777777" w:rsidR="00043020" w:rsidRPr="00392FE6" w:rsidRDefault="00043020" w:rsidP="00B20582">
            <w:pPr>
              <w:pStyle w:val="a3"/>
              <w:numPr>
                <w:ilvl w:val="0"/>
                <w:numId w:val="42"/>
              </w:numPr>
              <w:jc w:val="both"/>
              <w:rPr>
                <w:sz w:val="22"/>
              </w:rPr>
            </w:pPr>
            <w:r w:rsidRPr="00392FE6">
              <w:rPr>
                <w:sz w:val="22"/>
              </w:rPr>
              <w:t xml:space="preserve">Разнообразие финансовых источников (собственные средства, заемные средства, инвестиции) </w:t>
            </w:r>
          </w:p>
          <w:p w14:paraId="186FB93D" w14:textId="77777777" w:rsidR="00043020" w:rsidRPr="00392FE6" w:rsidRDefault="00043020" w:rsidP="00B20582">
            <w:pPr>
              <w:pStyle w:val="a3"/>
              <w:numPr>
                <w:ilvl w:val="0"/>
                <w:numId w:val="42"/>
              </w:numPr>
              <w:jc w:val="both"/>
              <w:rPr>
                <w:sz w:val="22"/>
              </w:rPr>
            </w:pPr>
            <w:r w:rsidRPr="00392FE6">
              <w:rPr>
                <w:sz w:val="22"/>
              </w:rPr>
              <w:t xml:space="preserve">Доступность грантовых и иных бюджетных средств </w:t>
            </w:r>
          </w:p>
          <w:p w14:paraId="1122267D" w14:textId="77777777" w:rsidR="00043020" w:rsidRPr="00392FE6" w:rsidRDefault="00043020" w:rsidP="00B20582">
            <w:pPr>
              <w:pStyle w:val="a3"/>
              <w:numPr>
                <w:ilvl w:val="0"/>
                <w:numId w:val="42"/>
              </w:numPr>
              <w:jc w:val="both"/>
              <w:rPr>
                <w:sz w:val="22"/>
              </w:rPr>
            </w:pPr>
            <w:r w:rsidRPr="00392FE6">
              <w:rPr>
                <w:sz w:val="22"/>
              </w:rPr>
              <w:t xml:space="preserve">Использование инструментов фондового рынка </w:t>
            </w:r>
          </w:p>
          <w:p w14:paraId="662B4E44" w14:textId="77777777" w:rsidR="00043020" w:rsidRPr="00392FE6" w:rsidRDefault="00043020" w:rsidP="00B20582">
            <w:pPr>
              <w:pStyle w:val="a3"/>
              <w:numPr>
                <w:ilvl w:val="0"/>
                <w:numId w:val="42"/>
              </w:numPr>
              <w:jc w:val="both"/>
              <w:rPr>
                <w:sz w:val="22"/>
              </w:rPr>
            </w:pPr>
            <w:r w:rsidRPr="00392FE6">
              <w:rPr>
                <w:sz w:val="22"/>
              </w:rPr>
              <w:lastRenderedPageBreak/>
              <w:t xml:space="preserve">Использование в качестве инвестиционного ресурса зеленых облигаций </w:t>
            </w:r>
          </w:p>
          <w:p w14:paraId="26668423" w14:textId="77777777" w:rsidR="00043020" w:rsidRPr="00392FE6" w:rsidRDefault="00043020" w:rsidP="00B20582">
            <w:pPr>
              <w:pStyle w:val="a3"/>
              <w:numPr>
                <w:ilvl w:val="0"/>
                <w:numId w:val="42"/>
              </w:numPr>
              <w:jc w:val="both"/>
              <w:rPr>
                <w:sz w:val="22"/>
              </w:rPr>
            </w:pPr>
            <w:r w:rsidRPr="00392FE6">
              <w:rPr>
                <w:sz w:val="22"/>
              </w:rPr>
              <w:t xml:space="preserve">Участие в конкурсах госзакупок на выполнение работ или оказание услуг </w:t>
            </w:r>
          </w:p>
          <w:p w14:paraId="45E7E8BD" w14:textId="77777777" w:rsidR="00043020" w:rsidRPr="00392FE6" w:rsidRDefault="00043020" w:rsidP="00B20582">
            <w:pPr>
              <w:pStyle w:val="a3"/>
              <w:numPr>
                <w:ilvl w:val="0"/>
                <w:numId w:val="42"/>
              </w:numPr>
              <w:jc w:val="both"/>
              <w:rPr>
                <w:sz w:val="22"/>
              </w:rPr>
            </w:pPr>
            <w:r w:rsidRPr="00392FE6">
              <w:rPr>
                <w:sz w:val="22"/>
              </w:rPr>
              <w:t xml:space="preserve">Прозрачность бюджета и расходов на исследования и разработки </w:t>
            </w:r>
          </w:p>
          <w:p w14:paraId="6CD87313" w14:textId="77777777" w:rsidR="00043020" w:rsidRPr="00392FE6" w:rsidRDefault="00043020" w:rsidP="00B20582">
            <w:pPr>
              <w:pStyle w:val="a3"/>
              <w:numPr>
                <w:ilvl w:val="0"/>
                <w:numId w:val="42"/>
              </w:numPr>
              <w:jc w:val="both"/>
              <w:rPr>
                <w:sz w:val="22"/>
              </w:rPr>
            </w:pPr>
            <w:r w:rsidRPr="00392FE6">
              <w:rPr>
                <w:sz w:val="22"/>
              </w:rPr>
              <w:t xml:space="preserve">Специализированные компетенции и квалификации сотрудников </w:t>
            </w:r>
          </w:p>
          <w:p w14:paraId="46C386A1" w14:textId="77777777" w:rsidR="00043020" w:rsidRPr="00392FE6" w:rsidRDefault="00043020" w:rsidP="00B20582">
            <w:pPr>
              <w:pStyle w:val="a3"/>
              <w:numPr>
                <w:ilvl w:val="0"/>
                <w:numId w:val="42"/>
              </w:numPr>
              <w:jc w:val="both"/>
              <w:rPr>
                <w:sz w:val="22"/>
              </w:rPr>
            </w:pPr>
            <w:r w:rsidRPr="00392FE6">
              <w:rPr>
                <w:sz w:val="22"/>
              </w:rPr>
              <w:t xml:space="preserve">Наличие эффективной системы обучения и развития персонала </w:t>
            </w:r>
          </w:p>
          <w:p w14:paraId="5610A986" w14:textId="77777777" w:rsidR="00043020" w:rsidRPr="00392FE6" w:rsidRDefault="00043020" w:rsidP="00B20582">
            <w:pPr>
              <w:pStyle w:val="a3"/>
              <w:numPr>
                <w:ilvl w:val="0"/>
                <w:numId w:val="42"/>
              </w:numPr>
              <w:jc w:val="both"/>
              <w:rPr>
                <w:sz w:val="22"/>
              </w:rPr>
            </w:pPr>
            <w:r w:rsidRPr="00392FE6">
              <w:rPr>
                <w:sz w:val="22"/>
              </w:rPr>
              <w:t xml:space="preserve">Наличие и активность научно-исследовательских программ и проектов </w:t>
            </w:r>
          </w:p>
          <w:p w14:paraId="58446E1E" w14:textId="77777777" w:rsidR="00043020" w:rsidRPr="00392FE6" w:rsidRDefault="00043020" w:rsidP="00B20582">
            <w:pPr>
              <w:pStyle w:val="a3"/>
              <w:numPr>
                <w:ilvl w:val="0"/>
                <w:numId w:val="42"/>
              </w:numPr>
              <w:jc w:val="both"/>
              <w:rPr>
                <w:sz w:val="22"/>
              </w:rPr>
            </w:pPr>
            <w:r w:rsidRPr="00392FE6">
              <w:rPr>
                <w:sz w:val="22"/>
              </w:rPr>
              <w:t xml:space="preserve">Наличие научных лабораторий и уровень их технического оборудования </w:t>
            </w:r>
          </w:p>
          <w:p w14:paraId="54415914" w14:textId="77777777" w:rsidR="00043020" w:rsidRPr="00392FE6" w:rsidRDefault="00043020" w:rsidP="00B20582">
            <w:pPr>
              <w:pStyle w:val="a3"/>
              <w:numPr>
                <w:ilvl w:val="0"/>
                <w:numId w:val="42"/>
              </w:numPr>
              <w:jc w:val="both"/>
              <w:rPr>
                <w:sz w:val="22"/>
              </w:rPr>
            </w:pPr>
            <w:r w:rsidRPr="00392FE6">
              <w:rPr>
                <w:sz w:val="22"/>
              </w:rPr>
              <w:t xml:space="preserve">Эффективность систем хранения и обработки данных </w:t>
            </w:r>
          </w:p>
          <w:p w14:paraId="6A03287C" w14:textId="77777777" w:rsidR="00043020" w:rsidRPr="00392FE6" w:rsidRDefault="00043020" w:rsidP="00B20582">
            <w:pPr>
              <w:pStyle w:val="a3"/>
              <w:numPr>
                <w:ilvl w:val="0"/>
                <w:numId w:val="42"/>
              </w:numPr>
              <w:jc w:val="both"/>
              <w:rPr>
                <w:sz w:val="22"/>
              </w:rPr>
            </w:pPr>
            <w:r w:rsidRPr="00392FE6">
              <w:rPr>
                <w:sz w:val="22"/>
              </w:rPr>
              <w:t xml:space="preserve">Доступность программного обеспечения для моделирования и анализа </w:t>
            </w:r>
          </w:p>
        </w:tc>
      </w:tr>
      <w:tr w:rsidR="00043020" w:rsidRPr="00392FE6" w14:paraId="1B4D104F" w14:textId="77777777" w:rsidTr="00BE6E4B">
        <w:tc>
          <w:tcPr>
            <w:tcW w:w="9345" w:type="dxa"/>
          </w:tcPr>
          <w:p w14:paraId="09E1A947" w14:textId="38659C44" w:rsidR="00043020" w:rsidRPr="00043020" w:rsidRDefault="0097729F" w:rsidP="00043020">
            <w:pPr>
              <w:ind w:firstLine="0"/>
              <w:rPr>
                <w:b/>
                <w:i/>
                <w:sz w:val="22"/>
              </w:rPr>
            </w:pPr>
            <w:r>
              <w:rPr>
                <w:b/>
                <w:i/>
                <w:sz w:val="22"/>
                <w:lang w:val="en-US"/>
              </w:rPr>
              <w:lastRenderedPageBreak/>
              <w:t>IV</w:t>
            </w:r>
            <w:r w:rsidRPr="00BC76B6">
              <w:rPr>
                <w:b/>
                <w:i/>
                <w:sz w:val="22"/>
              </w:rPr>
              <w:t xml:space="preserve"> </w:t>
            </w:r>
            <w:r w:rsidR="00043020" w:rsidRPr="00043020">
              <w:rPr>
                <w:b/>
                <w:i/>
                <w:sz w:val="22"/>
              </w:rPr>
              <w:t>Качество человеческих ресурсов</w:t>
            </w:r>
          </w:p>
          <w:p w14:paraId="3127BAEC" w14:textId="77777777" w:rsidR="00043020" w:rsidRPr="00392FE6" w:rsidRDefault="00043020" w:rsidP="00043020">
            <w:pPr>
              <w:ind w:firstLine="0"/>
              <w:rPr>
                <w:i/>
                <w:iCs/>
                <w:color w:val="202124"/>
                <w:sz w:val="22"/>
                <w:shd w:val="clear" w:color="auto" w:fill="FFFFFF"/>
              </w:rPr>
            </w:pPr>
            <w:r w:rsidRPr="00392FE6">
              <w:rPr>
                <w:i/>
                <w:iCs/>
                <w:color w:val="202124"/>
                <w:sz w:val="22"/>
                <w:shd w:val="clear" w:color="auto" w:fill="FFFFFF"/>
              </w:rPr>
              <w:t>Оцените наличие ключевых навыков и образования среди сотрудников вашей компании по следующим аспектам</w:t>
            </w:r>
            <w:r w:rsidRPr="00392FE6">
              <w:rPr>
                <w:i/>
                <w:iCs/>
                <w:color w:val="202124"/>
                <w:sz w:val="22"/>
                <w:shd w:val="clear" w:color="auto" w:fill="FFFFFF"/>
                <w:lang w:val="kk-KZ"/>
              </w:rPr>
              <w:t xml:space="preserve"> (да, нет)</w:t>
            </w:r>
            <w:r w:rsidRPr="00392FE6">
              <w:rPr>
                <w:i/>
                <w:iCs/>
                <w:color w:val="202124"/>
                <w:sz w:val="22"/>
                <w:shd w:val="clear" w:color="auto" w:fill="FFFFFF"/>
              </w:rPr>
              <w:t>:</w:t>
            </w:r>
          </w:p>
          <w:p w14:paraId="5C3AB711" w14:textId="77777777" w:rsidR="00043020" w:rsidRPr="000B0C7C" w:rsidRDefault="00043020" w:rsidP="00B20582">
            <w:pPr>
              <w:pStyle w:val="a3"/>
              <w:numPr>
                <w:ilvl w:val="0"/>
                <w:numId w:val="43"/>
              </w:numPr>
              <w:rPr>
                <w:rFonts w:eastAsia="Times New Roman"/>
                <w:iCs/>
                <w:color w:val="202124"/>
                <w:sz w:val="22"/>
                <w:shd w:val="clear" w:color="auto" w:fill="FFFFFF"/>
                <w:lang w:eastAsia="ru-RU"/>
              </w:rPr>
            </w:pPr>
            <w:r w:rsidRPr="000B0C7C">
              <w:rPr>
                <w:rFonts w:eastAsia="Times New Roman"/>
                <w:iCs/>
                <w:color w:val="202124"/>
                <w:sz w:val="22"/>
                <w:shd w:val="clear" w:color="auto" w:fill="FFFFFF"/>
                <w:lang w:eastAsia="ru-RU"/>
              </w:rPr>
              <w:t xml:space="preserve">Проводите ли вы собеседования при приеме на работу с оценкой профессиональных качеств испытуемых? </w:t>
            </w:r>
          </w:p>
          <w:p w14:paraId="538DDE04" w14:textId="77777777" w:rsidR="00043020" w:rsidRPr="000B0C7C" w:rsidRDefault="00043020" w:rsidP="00B20582">
            <w:pPr>
              <w:pStyle w:val="a3"/>
              <w:numPr>
                <w:ilvl w:val="0"/>
                <w:numId w:val="43"/>
              </w:numPr>
              <w:rPr>
                <w:rFonts w:eastAsia="Times New Roman"/>
                <w:iCs/>
                <w:color w:val="202124"/>
                <w:sz w:val="22"/>
                <w:shd w:val="clear" w:color="auto" w:fill="FFFFFF"/>
                <w:lang w:eastAsia="ru-RU"/>
              </w:rPr>
            </w:pPr>
            <w:r w:rsidRPr="000B0C7C">
              <w:rPr>
                <w:rFonts w:eastAsia="Times New Roman"/>
                <w:iCs/>
                <w:color w:val="202124"/>
                <w:sz w:val="22"/>
                <w:shd w:val="clear" w:color="auto" w:fill="FFFFFF"/>
                <w:lang w:eastAsia="ru-RU"/>
              </w:rPr>
              <w:t xml:space="preserve">Имеются ли в вашей компании специалисты в области бигдаты, искусственного интеллекта, автоматизации производства и интернета вещей? </w:t>
            </w:r>
          </w:p>
          <w:p w14:paraId="048B2D4D" w14:textId="77777777" w:rsidR="00043020" w:rsidRPr="000B0C7C" w:rsidRDefault="00043020" w:rsidP="00B20582">
            <w:pPr>
              <w:pStyle w:val="a3"/>
              <w:numPr>
                <w:ilvl w:val="0"/>
                <w:numId w:val="43"/>
              </w:numPr>
              <w:rPr>
                <w:rFonts w:eastAsia="Times New Roman"/>
                <w:iCs/>
                <w:color w:val="202124"/>
                <w:sz w:val="22"/>
                <w:shd w:val="clear" w:color="auto" w:fill="FFFFFF"/>
                <w:lang w:eastAsia="ru-RU"/>
              </w:rPr>
            </w:pPr>
            <w:r w:rsidRPr="000B0C7C">
              <w:rPr>
                <w:rFonts w:eastAsia="Times New Roman"/>
                <w:iCs/>
                <w:color w:val="202124"/>
                <w:sz w:val="22"/>
                <w:shd w:val="clear" w:color="auto" w:fill="FFFFFF"/>
                <w:lang w:eastAsia="ru-RU"/>
              </w:rPr>
              <w:t xml:space="preserve">Имеются ли среди сотрудников люди с учеными степенями? </w:t>
            </w:r>
          </w:p>
          <w:p w14:paraId="6A55A163" w14:textId="77777777" w:rsidR="00043020" w:rsidRPr="000B0C7C" w:rsidRDefault="00043020" w:rsidP="00B20582">
            <w:pPr>
              <w:pStyle w:val="a3"/>
              <w:numPr>
                <w:ilvl w:val="0"/>
                <w:numId w:val="43"/>
              </w:numPr>
              <w:rPr>
                <w:rFonts w:eastAsia="Times New Roman"/>
                <w:iCs/>
                <w:color w:val="202124"/>
                <w:sz w:val="22"/>
                <w:shd w:val="clear" w:color="auto" w:fill="FFFFFF"/>
                <w:lang w:eastAsia="ru-RU"/>
              </w:rPr>
            </w:pPr>
            <w:r w:rsidRPr="000B0C7C">
              <w:rPr>
                <w:rFonts w:eastAsia="Times New Roman"/>
                <w:iCs/>
                <w:color w:val="202124"/>
                <w:sz w:val="22"/>
                <w:shd w:val="clear" w:color="auto" w:fill="FFFFFF"/>
                <w:lang w:eastAsia="ru-RU"/>
              </w:rPr>
              <w:t xml:space="preserve">Имеются ли у ваших сотрудников патенты на изобретения? </w:t>
            </w:r>
          </w:p>
          <w:p w14:paraId="721D3891" w14:textId="77777777" w:rsidR="00043020" w:rsidRPr="000B0C7C" w:rsidRDefault="00043020" w:rsidP="00B20582">
            <w:pPr>
              <w:pStyle w:val="a3"/>
              <w:numPr>
                <w:ilvl w:val="0"/>
                <w:numId w:val="43"/>
              </w:numPr>
              <w:rPr>
                <w:rFonts w:eastAsia="Times New Roman"/>
                <w:iCs/>
                <w:color w:val="202124"/>
                <w:sz w:val="22"/>
                <w:shd w:val="clear" w:color="auto" w:fill="FFFFFF"/>
                <w:lang w:eastAsia="ru-RU"/>
              </w:rPr>
            </w:pPr>
            <w:r w:rsidRPr="000B0C7C">
              <w:rPr>
                <w:rFonts w:eastAsia="Times New Roman"/>
                <w:iCs/>
                <w:color w:val="202124"/>
                <w:sz w:val="22"/>
                <w:shd w:val="clear" w:color="auto" w:fill="FFFFFF"/>
                <w:lang w:eastAsia="ru-RU"/>
              </w:rPr>
              <w:t xml:space="preserve">Имеются ли в вашей компании партнерства с университетами или образовательными учреждениями для обучения сотрудников? </w:t>
            </w:r>
          </w:p>
          <w:p w14:paraId="660FF834" w14:textId="77777777" w:rsidR="00043020" w:rsidRPr="000B0C7C" w:rsidRDefault="00043020" w:rsidP="00B20582">
            <w:pPr>
              <w:pStyle w:val="a3"/>
              <w:numPr>
                <w:ilvl w:val="0"/>
                <w:numId w:val="43"/>
              </w:numPr>
              <w:rPr>
                <w:rFonts w:eastAsia="Times New Roman"/>
                <w:iCs/>
                <w:color w:val="202124"/>
                <w:sz w:val="22"/>
                <w:shd w:val="clear" w:color="auto" w:fill="FFFFFF"/>
                <w:lang w:eastAsia="ru-RU"/>
              </w:rPr>
            </w:pPr>
            <w:r w:rsidRPr="000B0C7C">
              <w:rPr>
                <w:rFonts w:eastAsia="Times New Roman"/>
                <w:iCs/>
                <w:color w:val="202124"/>
                <w:sz w:val="22"/>
                <w:shd w:val="clear" w:color="auto" w:fill="FFFFFF"/>
                <w:lang w:eastAsia="ru-RU"/>
              </w:rPr>
              <w:t xml:space="preserve">Существует ли система поощрения и стимулирования сотрудников за активное участие в инновационных проектах? </w:t>
            </w:r>
          </w:p>
          <w:p w14:paraId="0DB1C187" w14:textId="77777777" w:rsidR="00043020" w:rsidRPr="000B0C7C" w:rsidRDefault="00043020" w:rsidP="00B20582">
            <w:pPr>
              <w:pStyle w:val="a3"/>
              <w:numPr>
                <w:ilvl w:val="0"/>
                <w:numId w:val="43"/>
              </w:numPr>
              <w:rPr>
                <w:rFonts w:eastAsia="Times New Roman"/>
                <w:iCs/>
                <w:color w:val="202124"/>
                <w:sz w:val="22"/>
                <w:shd w:val="clear" w:color="auto" w:fill="FFFFFF"/>
                <w:lang w:eastAsia="ru-RU"/>
              </w:rPr>
            </w:pPr>
            <w:r w:rsidRPr="000B0C7C">
              <w:rPr>
                <w:rFonts w:eastAsia="Times New Roman"/>
                <w:iCs/>
                <w:color w:val="202124"/>
                <w:sz w:val="22"/>
                <w:shd w:val="clear" w:color="auto" w:fill="FFFFFF"/>
                <w:lang w:eastAsia="ru-RU"/>
              </w:rPr>
              <w:t xml:space="preserve">Существует ли формальная система сбора и поощрения идей от сотрудников? </w:t>
            </w:r>
          </w:p>
          <w:p w14:paraId="775A1B53" w14:textId="77777777" w:rsidR="00043020" w:rsidRPr="000B0C7C" w:rsidRDefault="00043020" w:rsidP="00B20582">
            <w:pPr>
              <w:pStyle w:val="a3"/>
              <w:numPr>
                <w:ilvl w:val="0"/>
                <w:numId w:val="43"/>
              </w:numPr>
              <w:rPr>
                <w:rFonts w:eastAsia="Times New Roman"/>
                <w:iCs/>
                <w:color w:val="202124"/>
                <w:sz w:val="22"/>
                <w:shd w:val="clear" w:color="auto" w:fill="FFFFFF"/>
                <w:lang w:eastAsia="ru-RU"/>
              </w:rPr>
            </w:pPr>
            <w:r w:rsidRPr="000B0C7C">
              <w:rPr>
                <w:rFonts w:eastAsia="Times New Roman"/>
                <w:iCs/>
                <w:color w:val="202124"/>
                <w:sz w:val="22"/>
                <w:shd w:val="clear" w:color="auto" w:fill="FFFFFF"/>
                <w:lang w:eastAsia="ru-RU"/>
              </w:rPr>
              <w:t xml:space="preserve">Проводятся ли регулярные анализы компетенций и потребности в обучении среди персонала? </w:t>
            </w:r>
          </w:p>
          <w:p w14:paraId="56D743B3" w14:textId="77777777" w:rsidR="00043020" w:rsidRPr="00392FE6" w:rsidRDefault="00043020" w:rsidP="00B20582">
            <w:pPr>
              <w:pStyle w:val="a3"/>
              <w:numPr>
                <w:ilvl w:val="0"/>
                <w:numId w:val="43"/>
              </w:numPr>
              <w:rPr>
                <w:rFonts w:eastAsia="Times New Roman"/>
                <w:i/>
                <w:iCs/>
                <w:color w:val="202124"/>
                <w:sz w:val="22"/>
                <w:shd w:val="clear" w:color="auto" w:fill="FFFFFF"/>
                <w:lang w:eastAsia="ru-RU"/>
              </w:rPr>
            </w:pPr>
            <w:r w:rsidRPr="000B0C7C">
              <w:rPr>
                <w:rFonts w:eastAsia="Times New Roman"/>
                <w:iCs/>
                <w:color w:val="202124"/>
                <w:sz w:val="22"/>
                <w:shd w:val="clear" w:color="auto" w:fill="FFFFFF"/>
                <w:lang w:eastAsia="ru-RU"/>
              </w:rPr>
              <w:t>Существует ли программа подготовки персонала для адаптации к технологическим изменениям в отрасли?</w:t>
            </w:r>
            <w:r w:rsidRPr="00392FE6">
              <w:rPr>
                <w:rFonts w:eastAsia="Times New Roman"/>
                <w:i/>
                <w:iCs/>
                <w:color w:val="202124"/>
                <w:sz w:val="22"/>
                <w:shd w:val="clear" w:color="auto" w:fill="FFFFFF"/>
                <w:lang w:eastAsia="ru-RU"/>
              </w:rPr>
              <w:t xml:space="preserve"> </w:t>
            </w:r>
          </w:p>
        </w:tc>
      </w:tr>
      <w:tr w:rsidR="00043020" w:rsidRPr="00392FE6" w14:paraId="7AF6AF59" w14:textId="77777777" w:rsidTr="00BE6E4B">
        <w:tc>
          <w:tcPr>
            <w:tcW w:w="9345" w:type="dxa"/>
          </w:tcPr>
          <w:p w14:paraId="767757D9" w14:textId="77777777" w:rsidR="00043020" w:rsidRPr="00043020" w:rsidRDefault="00043020" w:rsidP="00043020">
            <w:pPr>
              <w:ind w:firstLine="0"/>
              <w:rPr>
                <w:b/>
                <w:i/>
                <w:sz w:val="22"/>
              </w:rPr>
            </w:pPr>
            <w:r w:rsidRPr="00043020">
              <w:rPr>
                <w:b/>
                <w:i/>
                <w:sz w:val="22"/>
              </w:rPr>
              <w:t>Soft Skills (Мягкие навыки)</w:t>
            </w:r>
          </w:p>
          <w:p w14:paraId="5B722607" w14:textId="77777777" w:rsidR="00043020" w:rsidRPr="001F77AF" w:rsidRDefault="00043020" w:rsidP="00043020">
            <w:pPr>
              <w:ind w:firstLine="0"/>
              <w:rPr>
                <w:rFonts w:eastAsia="Times New Roman"/>
                <w:sz w:val="22"/>
                <w:lang w:eastAsia="ru-RU"/>
              </w:rPr>
            </w:pPr>
            <w:r w:rsidRPr="001F77AF">
              <w:rPr>
                <w:rFonts w:eastAsia="Times New Roman"/>
                <w:i/>
                <w:iCs/>
                <w:color w:val="202124"/>
                <w:sz w:val="22"/>
                <w:shd w:val="clear" w:color="auto" w:fill="FFFFFF"/>
                <w:lang w:eastAsia="ru-RU"/>
              </w:rPr>
              <w:t>Это персональные качества, общечеловеческие навыки и способности к взаимодействию, которые позволяют эффективно работать и взаимодействовать с другими людьми. </w:t>
            </w:r>
          </w:p>
          <w:p w14:paraId="4529C0AC" w14:textId="77777777" w:rsidR="00043020" w:rsidRPr="001F77AF" w:rsidRDefault="00043020" w:rsidP="00043020">
            <w:pPr>
              <w:shd w:val="clear" w:color="auto" w:fill="FFFFFF"/>
              <w:ind w:firstLine="0"/>
              <w:rPr>
                <w:rFonts w:eastAsia="Times New Roman"/>
                <w:color w:val="202124"/>
                <w:sz w:val="22"/>
                <w:lang w:eastAsia="ru-RU"/>
              </w:rPr>
            </w:pPr>
            <w:r w:rsidRPr="001F77AF">
              <w:rPr>
                <w:rFonts w:eastAsia="Times New Roman"/>
                <w:i/>
                <w:iCs/>
                <w:color w:val="202124"/>
                <w:sz w:val="22"/>
                <w:lang w:eastAsia="ru-RU"/>
              </w:rPr>
              <w:t>Оцените наличие Soft Skills у сотрудников в процентах от общей численности персонала вашего предприятия</w:t>
            </w:r>
            <w:r w:rsidRPr="00392FE6">
              <w:rPr>
                <w:rFonts w:eastAsia="Times New Roman"/>
                <w:i/>
                <w:iCs/>
                <w:color w:val="202124"/>
                <w:sz w:val="22"/>
                <w:lang w:val="kk-KZ" w:eastAsia="ru-RU"/>
              </w:rPr>
              <w:t xml:space="preserve"> (0-20; 20-40; 40-60; 60-80; 80-100)</w:t>
            </w:r>
            <w:r w:rsidRPr="001F77AF">
              <w:rPr>
                <w:rFonts w:eastAsia="Times New Roman"/>
                <w:i/>
                <w:iCs/>
                <w:color w:val="202124"/>
                <w:sz w:val="22"/>
                <w:lang w:eastAsia="ru-RU"/>
              </w:rPr>
              <w:t>.</w:t>
            </w:r>
          </w:p>
          <w:p w14:paraId="6DD15010" w14:textId="77777777" w:rsidR="00043020" w:rsidRPr="00043020" w:rsidRDefault="00043020" w:rsidP="00B20582">
            <w:pPr>
              <w:pStyle w:val="a3"/>
              <w:numPr>
                <w:ilvl w:val="0"/>
                <w:numId w:val="53"/>
              </w:numPr>
              <w:rPr>
                <w:sz w:val="22"/>
              </w:rPr>
            </w:pPr>
            <w:r w:rsidRPr="00043020">
              <w:rPr>
                <w:sz w:val="22"/>
              </w:rPr>
              <w:t xml:space="preserve">Адаптивность и гибкость: Способность быстро адаптироваться к новым условиям и изменениям </w:t>
            </w:r>
          </w:p>
          <w:p w14:paraId="11F95DE4" w14:textId="77777777" w:rsidR="00043020" w:rsidRPr="00043020" w:rsidRDefault="00043020" w:rsidP="00B20582">
            <w:pPr>
              <w:pStyle w:val="a3"/>
              <w:numPr>
                <w:ilvl w:val="0"/>
                <w:numId w:val="53"/>
              </w:numPr>
              <w:rPr>
                <w:sz w:val="22"/>
              </w:rPr>
            </w:pPr>
            <w:r w:rsidRPr="00043020">
              <w:rPr>
                <w:sz w:val="22"/>
              </w:rPr>
              <w:t xml:space="preserve">Креативное мышление и способность генерировать идеи: Умение мыслить нестандартно и находить оригинальные решения </w:t>
            </w:r>
          </w:p>
          <w:p w14:paraId="2693B2D8" w14:textId="77777777" w:rsidR="00043020" w:rsidRPr="00043020" w:rsidRDefault="00043020" w:rsidP="00B20582">
            <w:pPr>
              <w:pStyle w:val="a3"/>
              <w:numPr>
                <w:ilvl w:val="0"/>
                <w:numId w:val="53"/>
              </w:numPr>
              <w:rPr>
                <w:sz w:val="22"/>
              </w:rPr>
            </w:pPr>
            <w:r w:rsidRPr="00043020">
              <w:rPr>
                <w:sz w:val="22"/>
              </w:rPr>
              <w:t xml:space="preserve">Навыки решения сложных задач: Способность анализировать сложные ситуации и находить эффективные решения </w:t>
            </w:r>
          </w:p>
          <w:p w14:paraId="0B40D918" w14:textId="77777777" w:rsidR="00043020" w:rsidRPr="00043020" w:rsidRDefault="00043020" w:rsidP="00B20582">
            <w:pPr>
              <w:pStyle w:val="a3"/>
              <w:numPr>
                <w:ilvl w:val="0"/>
                <w:numId w:val="53"/>
              </w:numPr>
              <w:rPr>
                <w:sz w:val="22"/>
              </w:rPr>
            </w:pPr>
            <w:r w:rsidRPr="00043020">
              <w:rPr>
                <w:sz w:val="22"/>
              </w:rPr>
              <w:t>Умение работать в команде и коммуникативные навыки: Эффективное общение и сотрудничество с коллегами для достижения общих целей</w:t>
            </w:r>
          </w:p>
          <w:p w14:paraId="51D53247" w14:textId="77777777" w:rsidR="00043020" w:rsidRPr="00043020" w:rsidRDefault="00043020" w:rsidP="00B20582">
            <w:pPr>
              <w:pStyle w:val="a3"/>
              <w:numPr>
                <w:ilvl w:val="0"/>
                <w:numId w:val="53"/>
              </w:numPr>
              <w:rPr>
                <w:shd w:val="clear" w:color="auto" w:fill="F8F9FA"/>
              </w:rPr>
            </w:pPr>
            <w:r w:rsidRPr="00043020">
              <w:rPr>
                <w:sz w:val="22"/>
              </w:rPr>
              <w:t>Экологичность мышления,  приверженность целям устойчивого развития и принципам ESG, осознание сотрудниками ответственности за результаты своей деятельности перед будущими поколениями , поддержка идеологии шеринг-потребления</w:t>
            </w:r>
            <w:r w:rsidRPr="00043020">
              <w:rPr>
                <w:shd w:val="clear" w:color="auto" w:fill="F8F9FA"/>
              </w:rPr>
              <w:t xml:space="preserve"> </w:t>
            </w:r>
          </w:p>
        </w:tc>
      </w:tr>
      <w:tr w:rsidR="00043020" w:rsidRPr="00392FE6" w14:paraId="44BD37EB" w14:textId="77777777" w:rsidTr="00BE6E4B">
        <w:tc>
          <w:tcPr>
            <w:tcW w:w="9345" w:type="dxa"/>
          </w:tcPr>
          <w:p w14:paraId="64B1D633" w14:textId="77777777" w:rsidR="00043020" w:rsidRPr="00043020" w:rsidRDefault="00043020" w:rsidP="00043020">
            <w:pPr>
              <w:ind w:firstLine="0"/>
              <w:rPr>
                <w:b/>
                <w:i/>
                <w:sz w:val="22"/>
              </w:rPr>
            </w:pPr>
            <w:r w:rsidRPr="00043020">
              <w:rPr>
                <w:b/>
                <w:i/>
                <w:sz w:val="22"/>
              </w:rPr>
              <w:t>Hard Skills (Твердые навыки)</w:t>
            </w:r>
          </w:p>
          <w:p w14:paraId="15735FE3" w14:textId="77777777" w:rsidR="00043020" w:rsidRPr="001F77AF" w:rsidRDefault="00043020" w:rsidP="00043020">
            <w:pPr>
              <w:shd w:val="clear" w:color="auto" w:fill="FFFFFF"/>
              <w:ind w:firstLine="0"/>
              <w:rPr>
                <w:rFonts w:eastAsia="Times New Roman"/>
                <w:color w:val="202124"/>
                <w:sz w:val="22"/>
                <w:lang w:eastAsia="ru-RU"/>
              </w:rPr>
            </w:pPr>
            <w:r w:rsidRPr="001F77AF">
              <w:rPr>
                <w:rFonts w:eastAsia="Times New Roman"/>
                <w:i/>
                <w:iCs/>
                <w:color w:val="202124"/>
                <w:sz w:val="22"/>
                <w:lang w:eastAsia="ru-RU"/>
              </w:rPr>
              <w:t>Это конкретные, измеримые способности и знания, которые чаще всего приобретаются через формальное образование и тренировки. </w:t>
            </w:r>
          </w:p>
          <w:p w14:paraId="06323686" w14:textId="77777777" w:rsidR="00043020" w:rsidRPr="001F77AF" w:rsidRDefault="00043020" w:rsidP="00043020">
            <w:pPr>
              <w:shd w:val="clear" w:color="auto" w:fill="FFFFFF"/>
              <w:ind w:firstLine="0"/>
              <w:rPr>
                <w:rFonts w:eastAsia="Times New Roman"/>
                <w:color w:val="202124"/>
                <w:sz w:val="22"/>
                <w:lang w:eastAsia="ru-RU"/>
              </w:rPr>
            </w:pPr>
            <w:r w:rsidRPr="001F77AF">
              <w:rPr>
                <w:rFonts w:eastAsia="Times New Roman"/>
                <w:i/>
                <w:iCs/>
                <w:color w:val="202124"/>
                <w:sz w:val="22"/>
                <w:lang w:eastAsia="ru-RU"/>
              </w:rPr>
              <w:t>Оцените наличие Hard Skills у сотрудников в процентах от общей численности персонала вашего предприятия</w:t>
            </w:r>
            <w:r w:rsidRPr="00392FE6">
              <w:rPr>
                <w:rFonts w:eastAsia="Times New Roman"/>
                <w:i/>
                <w:iCs/>
                <w:color w:val="202124"/>
                <w:sz w:val="22"/>
                <w:lang w:val="kk-KZ" w:eastAsia="ru-RU"/>
              </w:rPr>
              <w:t xml:space="preserve"> (0-20; 20-40; 40-60; 60-80; 80-100)</w:t>
            </w:r>
            <w:r w:rsidRPr="001F77AF">
              <w:rPr>
                <w:rFonts w:eastAsia="Times New Roman"/>
                <w:i/>
                <w:iCs/>
                <w:color w:val="202124"/>
                <w:sz w:val="22"/>
                <w:lang w:eastAsia="ru-RU"/>
              </w:rPr>
              <w:t>.</w:t>
            </w:r>
          </w:p>
          <w:p w14:paraId="4F6268DA" w14:textId="77777777" w:rsidR="00043020" w:rsidRPr="00043020" w:rsidRDefault="00043020" w:rsidP="00B20582">
            <w:pPr>
              <w:pStyle w:val="a3"/>
              <w:numPr>
                <w:ilvl w:val="0"/>
                <w:numId w:val="52"/>
              </w:numPr>
              <w:ind w:left="744"/>
              <w:rPr>
                <w:sz w:val="22"/>
              </w:rPr>
            </w:pPr>
            <w:r w:rsidRPr="00043020">
              <w:rPr>
                <w:sz w:val="22"/>
              </w:rPr>
              <w:t xml:space="preserve">Знание последних тенденций в технологиях и отрасли: Специфические знания о последних разработках в области IТ, биотехнологий, робототехники и пр. </w:t>
            </w:r>
          </w:p>
          <w:p w14:paraId="0D5D598D" w14:textId="77777777" w:rsidR="00043020" w:rsidRPr="00043020" w:rsidRDefault="00043020" w:rsidP="00B20582">
            <w:pPr>
              <w:pStyle w:val="a3"/>
              <w:numPr>
                <w:ilvl w:val="0"/>
                <w:numId w:val="52"/>
              </w:numPr>
              <w:ind w:left="744"/>
              <w:rPr>
                <w:sz w:val="22"/>
              </w:rPr>
            </w:pPr>
            <w:r w:rsidRPr="00043020">
              <w:rPr>
                <w:sz w:val="22"/>
              </w:rPr>
              <w:t xml:space="preserve">Искусственный интеллект и машинное обучение: Способность разрабатывать и внедрять алгоритмы машинного обучения и ИИ. </w:t>
            </w:r>
          </w:p>
          <w:p w14:paraId="51412E58" w14:textId="77777777" w:rsidR="00043020" w:rsidRPr="00043020" w:rsidRDefault="00043020" w:rsidP="00B20582">
            <w:pPr>
              <w:pStyle w:val="a3"/>
              <w:numPr>
                <w:ilvl w:val="0"/>
                <w:numId w:val="52"/>
              </w:numPr>
              <w:ind w:left="744"/>
              <w:rPr>
                <w:sz w:val="22"/>
              </w:rPr>
            </w:pPr>
            <w:r w:rsidRPr="00043020">
              <w:rPr>
                <w:sz w:val="22"/>
              </w:rPr>
              <w:t xml:space="preserve">Биотехнологии: Знания в области биологии, химии, генной инженерии и прочих связанных дисциплин. </w:t>
            </w:r>
          </w:p>
          <w:p w14:paraId="4C9BC1AE" w14:textId="77777777" w:rsidR="00043020" w:rsidRPr="00043020" w:rsidRDefault="00043020" w:rsidP="00B20582">
            <w:pPr>
              <w:pStyle w:val="a3"/>
              <w:numPr>
                <w:ilvl w:val="0"/>
                <w:numId w:val="52"/>
              </w:numPr>
              <w:ind w:left="744"/>
              <w:rPr>
                <w:sz w:val="22"/>
              </w:rPr>
            </w:pPr>
            <w:r w:rsidRPr="00043020">
              <w:rPr>
                <w:sz w:val="22"/>
              </w:rPr>
              <w:lastRenderedPageBreak/>
              <w:t xml:space="preserve">Робототехника: Умения в разработке, программировании и управлении роботизированными системами. </w:t>
            </w:r>
          </w:p>
          <w:p w14:paraId="0E6216A4" w14:textId="77777777" w:rsidR="00043020" w:rsidRPr="00043020" w:rsidRDefault="00043020" w:rsidP="00B20582">
            <w:pPr>
              <w:pStyle w:val="a3"/>
              <w:numPr>
                <w:ilvl w:val="0"/>
                <w:numId w:val="52"/>
              </w:numPr>
              <w:ind w:left="744"/>
              <w:rPr>
                <w:sz w:val="22"/>
              </w:rPr>
            </w:pPr>
            <w:r w:rsidRPr="00043020">
              <w:rPr>
                <w:sz w:val="22"/>
              </w:rPr>
              <w:t xml:space="preserve">Экологическая безопасность: бережное отношение к окружающей среде, Энергетические технологии: Знания об инновациях в области производства и использования энергии, в т.ч. возобновляемых источников энергии. </w:t>
            </w:r>
          </w:p>
          <w:p w14:paraId="640B50AA" w14:textId="77777777" w:rsidR="00043020" w:rsidRPr="00043020" w:rsidRDefault="00043020" w:rsidP="00B20582">
            <w:pPr>
              <w:pStyle w:val="a3"/>
              <w:numPr>
                <w:ilvl w:val="0"/>
                <w:numId w:val="52"/>
              </w:numPr>
              <w:ind w:left="744"/>
              <w:rPr>
                <w:sz w:val="22"/>
              </w:rPr>
            </w:pPr>
            <w:r w:rsidRPr="00043020">
              <w:rPr>
                <w:sz w:val="22"/>
              </w:rPr>
              <w:t xml:space="preserve">Кибербезопасность: Способности по обеспечению защиты данных и систем от киберугроз. </w:t>
            </w:r>
          </w:p>
          <w:p w14:paraId="212287B7" w14:textId="77777777" w:rsidR="00043020" w:rsidRPr="00043020" w:rsidRDefault="00043020" w:rsidP="00B20582">
            <w:pPr>
              <w:pStyle w:val="a3"/>
              <w:numPr>
                <w:ilvl w:val="0"/>
                <w:numId w:val="52"/>
              </w:numPr>
              <w:ind w:left="744"/>
              <w:rPr>
                <w:shd w:val="clear" w:color="auto" w:fill="F8F9FA"/>
              </w:rPr>
            </w:pPr>
            <w:r w:rsidRPr="00043020">
              <w:rPr>
                <w:sz w:val="22"/>
              </w:rPr>
              <w:t>Анализ больших данных и аналитика: Умение работать с большими объемами данных, проводить их анализ и интерпретацию для принятия бизнес-решений.</w:t>
            </w:r>
            <w:r w:rsidRPr="00043020">
              <w:rPr>
                <w:sz w:val="22"/>
                <w:shd w:val="clear" w:color="auto" w:fill="F8F9FA"/>
              </w:rPr>
              <w:t xml:space="preserve"> </w:t>
            </w:r>
          </w:p>
        </w:tc>
      </w:tr>
      <w:tr w:rsidR="00043020" w:rsidRPr="00392FE6" w14:paraId="3F490871" w14:textId="77777777" w:rsidTr="00BE6E4B">
        <w:tc>
          <w:tcPr>
            <w:tcW w:w="9345" w:type="dxa"/>
          </w:tcPr>
          <w:p w14:paraId="2A17144E" w14:textId="6B74578B" w:rsidR="00043020" w:rsidRPr="00043020" w:rsidRDefault="0097729F" w:rsidP="00043020">
            <w:pPr>
              <w:ind w:firstLine="0"/>
              <w:rPr>
                <w:b/>
                <w:i/>
                <w:sz w:val="22"/>
              </w:rPr>
            </w:pPr>
            <w:r>
              <w:rPr>
                <w:b/>
                <w:i/>
                <w:sz w:val="22"/>
                <w:lang w:val="en-US"/>
              </w:rPr>
              <w:lastRenderedPageBreak/>
              <w:t>V</w:t>
            </w:r>
            <w:r w:rsidRPr="00BC76B6">
              <w:rPr>
                <w:b/>
                <w:i/>
                <w:sz w:val="22"/>
              </w:rPr>
              <w:t xml:space="preserve"> </w:t>
            </w:r>
            <w:r w:rsidR="00043020" w:rsidRPr="00043020">
              <w:rPr>
                <w:b/>
                <w:i/>
                <w:sz w:val="22"/>
              </w:rPr>
              <w:t>Инновационная культура компании</w:t>
            </w:r>
          </w:p>
          <w:p w14:paraId="5272B752" w14:textId="77777777" w:rsidR="00043020" w:rsidRPr="00392FE6" w:rsidRDefault="00043020" w:rsidP="00043020">
            <w:pPr>
              <w:ind w:firstLine="0"/>
              <w:rPr>
                <w:i/>
                <w:iCs/>
                <w:color w:val="202124"/>
                <w:sz w:val="22"/>
                <w:shd w:val="clear" w:color="auto" w:fill="FFFFFF"/>
              </w:rPr>
            </w:pPr>
            <w:r w:rsidRPr="00392FE6">
              <w:rPr>
                <w:i/>
                <w:iCs/>
                <w:color w:val="202124"/>
                <w:sz w:val="22"/>
                <w:shd w:val="clear" w:color="auto" w:fill="FFFFFF"/>
              </w:rPr>
              <w:t>Какие меры принимаются в вашей компании для формирования инновационной культуры (создание среды, где поощряется новаторство, эксперименты и принятие рисков)?</w:t>
            </w:r>
          </w:p>
          <w:p w14:paraId="15EFAD77" w14:textId="77777777" w:rsidR="00043020" w:rsidRPr="00857B3E" w:rsidRDefault="00043020" w:rsidP="00B20582">
            <w:pPr>
              <w:pStyle w:val="a3"/>
              <w:numPr>
                <w:ilvl w:val="0"/>
                <w:numId w:val="60"/>
              </w:numPr>
              <w:rPr>
                <w:sz w:val="22"/>
              </w:rPr>
            </w:pPr>
            <w:r w:rsidRPr="00857B3E">
              <w:rPr>
                <w:sz w:val="22"/>
              </w:rPr>
              <w:t xml:space="preserve">Организация внутренних инновационных лабораторий и хакатонов </w:t>
            </w:r>
          </w:p>
          <w:p w14:paraId="26DE7E8E" w14:textId="77777777" w:rsidR="00043020" w:rsidRPr="00857B3E" w:rsidRDefault="00043020" w:rsidP="00B20582">
            <w:pPr>
              <w:pStyle w:val="a3"/>
              <w:numPr>
                <w:ilvl w:val="0"/>
                <w:numId w:val="60"/>
              </w:numPr>
              <w:rPr>
                <w:sz w:val="22"/>
              </w:rPr>
            </w:pPr>
            <w:r w:rsidRPr="00857B3E">
              <w:rPr>
                <w:sz w:val="22"/>
              </w:rPr>
              <w:t xml:space="preserve">Разработка программ обмена знаниями и менторства </w:t>
            </w:r>
          </w:p>
          <w:p w14:paraId="40A9DCA3" w14:textId="77777777" w:rsidR="00043020" w:rsidRPr="00857B3E" w:rsidRDefault="00043020" w:rsidP="00B20582">
            <w:pPr>
              <w:pStyle w:val="a3"/>
              <w:numPr>
                <w:ilvl w:val="0"/>
                <w:numId w:val="60"/>
              </w:numPr>
              <w:rPr>
                <w:sz w:val="22"/>
              </w:rPr>
            </w:pPr>
            <w:r w:rsidRPr="00857B3E">
              <w:rPr>
                <w:sz w:val="22"/>
              </w:rPr>
              <w:t xml:space="preserve">Внедрение гибких методологий управления проектами </w:t>
            </w:r>
          </w:p>
          <w:p w14:paraId="4F8224E4" w14:textId="77777777" w:rsidR="00043020" w:rsidRPr="00857B3E" w:rsidRDefault="00043020" w:rsidP="00B20582">
            <w:pPr>
              <w:pStyle w:val="a3"/>
              <w:numPr>
                <w:ilvl w:val="0"/>
                <w:numId w:val="60"/>
              </w:numPr>
              <w:rPr>
                <w:sz w:val="22"/>
              </w:rPr>
            </w:pPr>
            <w:r w:rsidRPr="00857B3E">
              <w:rPr>
                <w:sz w:val="22"/>
              </w:rPr>
              <w:t xml:space="preserve">Предоставление времени на исследования и разработки в рабочее время </w:t>
            </w:r>
          </w:p>
          <w:p w14:paraId="4ECE2A33" w14:textId="77777777" w:rsidR="00043020" w:rsidRPr="00857B3E" w:rsidRDefault="00043020" w:rsidP="00B20582">
            <w:pPr>
              <w:pStyle w:val="a3"/>
              <w:numPr>
                <w:ilvl w:val="0"/>
                <w:numId w:val="60"/>
              </w:numPr>
              <w:rPr>
                <w:sz w:val="22"/>
              </w:rPr>
            </w:pPr>
            <w:r w:rsidRPr="00857B3E">
              <w:rPr>
                <w:sz w:val="22"/>
              </w:rPr>
              <w:t xml:space="preserve">Внедрение системы стимулов и наград за инновационные идеи и проекты </w:t>
            </w:r>
          </w:p>
          <w:p w14:paraId="5635CB88" w14:textId="77777777" w:rsidR="00043020" w:rsidRPr="00857B3E" w:rsidRDefault="00043020" w:rsidP="00B20582">
            <w:pPr>
              <w:pStyle w:val="a3"/>
              <w:numPr>
                <w:ilvl w:val="0"/>
                <w:numId w:val="60"/>
              </w:numPr>
              <w:rPr>
                <w:sz w:val="22"/>
              </w:rPr>
            </w:pPr>
            <w:r w:rsidRPr="00857B3E">
              <w:rPr>
                <w:sz w:val="22"/>
              </w:rPr>
              <w:t xml:space="preserve">Проведение регулярных сессий мозгового штурма и творческих встреч </w:t>
            </w:r>
          </w:p>
          <w:p w14:paraId="68CDF48C" w14:textId="77777777" w:rsidR="00043020" w:rsidRPr="00857B3E" w:rsidRDefault="00043020" w:rsidP="00B20582">
            <w:pPr>
              <w:pStyle w:val="a3"/>
              <w:numPr>
                <w:ilvl w:val="0"/>
                <w:numId w:val="60"/>
              </w:numPr>
              <w:rPr>
                <w:sz w:val="22"/>
              </w:rPr>
            </w:pPr>
            <w:r w:rsidRPr="00857B3E">
              <w:rPr>
                <w:sz w:val="22"/>
              </w:rPr>
              <w:t xml:space="preserve">Обеспечение доступа к современным технологическим ресурсам и инструментам </w:t>
            </w:r>
          </w:p>
          <w:p w14:paraId="402B9E63" w14:textId="77777777" w:rsidR="00043020" w:rsidRPr="00857B3E" w:rsidRDefault="00043020" w:rsidP="00B20582">
            <w:pPr>
              <w:pStyle w:val="a3"/>
              <w:numPr>
                <w:ilvl w:val="0"/>
                <w:numId w:val="60"/>
              </w:numPr>
              <w:rPr>
                <w:sz w:val="22"/>
              </w:rPr>
            </w:pPr>
            <w:r w:rsidRPr="00857B3E">
              <w:rPr>
                <w:sz w:val="22"/>
              </w:rPr>
              <w:t xml:space="preserve">Создание открытой и безопасной среды для высказывания идей </w:t>
            </w:r>
          </w:p>
          <w:p w14:paraId="64681BA5" w14:textId="77777777" w:rsidR="00043020" w:rsidRPr="00857B3E" w:rsidRDefault="00043020" w:rsidP="00B20582">
            <w:pPr>
              <w:pStyle w:val="a3"/>
              <w:numPr>
                <w:ilvl w:val="0"/>
                <w:numId w:val="60"/>
              </w:numPr>
              <w:rPr>
                <w:sz w:val="22"/>
              </w:rPr>
            </w:pPr>
            <w:r w:rsidRPr="00857B3E">
              <w:rPr>
                <w:sz w:val="22"/>
              </w:rPr>
              <w:t xml:space="preserve">Организация обучающих программ и тренингов по инновационному мышлению и технологиям </w:t>
            </w:r>
          </w:p>
          <w:p w14:paraId="08F9876D" w14:textId="77777777" w:rsidR="00043020" w:rsidRPr="00857B3E" w:rsidRDefault="00043020" w:rsidP="00B20582">
            <w:pPr>
              <w:pStyle w:val="a3"/>
              <w:numPr>
                <w:ilvl w:val="0"/>
                <w:numId w:val="60"/>
              </w:numPr>
              <w:rPr>
                <w:sz w:val="22"/>
              </w:rPr>
            </w:pPr>
            <w:r w:rsidRPr="00857B3E">
              <w:rPr>
                <w:sz w:val="22"/>
              </w:rPr>
              <w:t xml:space="preserve">Сотрудничество с университетами, научными центрами и стартапами </w:t>
            </w:r>
          </w:p>
          <w:p w14:paraId="67CD0516" w14:textId="77777777" w:rsidR="00043020" w:rsidRPr="00857B3E" w:rsidRDefault="00043020" w:rsidP="00B20582">
            <w:pPr>
              <w:pStyle w:val="a3"/>
              <w:numPr>
                <w:ilvl w:val="0"/>
                <w:numId w:val="60"/>
              </w:numPr>
              <w:rPr>
                <w:shd w:val="clear" w:color="auto" w:fill="F8F9FA"/>
              </w:rPr>
            </w:pPr>
            <w:r w:rsidRPr="00857B3E">
              <w:rPr>
                <w:sz w:val="22"/>
              </w:rPr>
              <w:t>Внедрение культуры обратной связи и постоянного улучшения</w:t>
            </w:r>
            <w:r w:rsidRPr="00857B3E">
              <w:rPr>
                <w:sz w:val="22"/>
                <w:shd w:val="clear" w:color="auto" w:fill="F8F9FA"/>
              </w:rPr>
              <w:t xml:space="preserve"> </w:t>
            </w:r>
          </w:p>
        </w:tc>
      </w:tr>
      <w:tr w:rsidR="00043020" w:rsidRPr="00392FE6" w14:paraId="4FB42EB1" w14:textId="77777777" w:rsidTr="00BE6E4B">
        <w:tc>
          <w:tcPr>
            <w:tcW w:w="9345" w:type="dxa"/>
          </w:tcPr>
          <w:p w14:paraId="6FD59CA8" w14:textId="38190BD7" w:rsidR="00043020" w:rsidRPr="000B0C7C" w:rsidRDefault="0097729F" w:rsidP="00043020">
            <w:pPr>
              <w:ind w:firstLine="0"/>
              <w:rPr>
                <w:b/>
                <w:i/>
                <w:color w:val="202124"/>
                <w:sz w:val="22"/>
                <w:shd w:val="clear" w:color="auto" w:fill="F8F9FA"/>
              </w:rPr>
            </w:pPr>
            <w:r>
              <w:rPr>
                <w:b/>
                <w:i/>
                <w:color w:val="202124"/>
                <w:sz w:val="22"/>
                <w:shd w:val="clear" w:color="auto" w:fill="F8F9FA"/>
                <w:lang w:val="en-US"/>
              </w:rPr>
              <w:t xml:space="preserve">VI </w:t>
            </w:r>
            <w:r w:rsidR="00043020" w:rsidRPr="000B0C7C">
              <w:rPr>
                <w:b/>
                <w:i/>
                <w:color w:val="202124"/>
                <w:sz w:val="22"/>
                <w:shd w:val="clear" w:color="auto" w:fill="F8F9FA"/>
              </w:rPr>
              <w:t>Государственная поддержка</w:t>
            </w:r>
          </w:p>
          <w:p w14:paraId="70E7CF6A" w14:textId="77777777" w:rsidR="00043020" w:rsidRPr="000B0C7C" w:rsidRDefault="00043020" w:rsidP="00B20582">
            <w:pPr>
              <w:pStyle w:val="a3"/>
              <w:numPr>
                <w:ilvl w:val="0"/>
                <w:numId w:val="48"/>
              </w:numPr>
              <w:rPr>
                <w:i/>
                <w:iCs/>
                <w:color w:val="202124"/>
                <w:sz w:val="22"/>
                <w:shd w:val="clear" w:color="auto" w:fill="FFFFFF"/>
                <w:lang w:val="kk-KZ"/>
              </w:rPr>
            </w:pPr>
            <w:r w:rsidRPr="000B0C7C">
              <w:rPr>
                <w:i/>
                <w:iCs/>
                <w:color w:val="202124"/>
                <w:sz w:val="22"/>
                <w:shd w:val="clear" w:color="auto" w:fill="FFFFFF"/>
              </w:rPr>
              <w:t>Насколько вы информированы о доступных государственных мерах поддержки? </w:t>
            </w:r>
            <w:r w:rsidRPr="000B0C7C">
              <w:rPr>
                <w:i/>
                <w:iCs/>
                <w:color w:val="202124"/>
                <w:sz w:val="22"/>
                <w:shd w:val="clear" w:color="auto" w:fill="FFFFFF"/>
                <w:lang w:val="kk-KZ"/>
              </w:rPr>
              <w:t>(информирован , не информирован )</w:t>
            </w:r>
          </w:p>
          <w:p w14:paraId="080D156A" w14:textId="77777777" w:rsidR="00043020" w:rsidRPr="00043020" w:rsidRDefault="00043020" w:rsidP="00B20582">
            <w:pPr>
              <w:pStyle w:val="a3"/>
              <w:numPr>
                <w:ilvl w:val="0"/>
                <w:numId w:val="54"/>
              </w:numPr>
            </w:pPr>
            <w:r w:rsidRPr="00043020">
              <w:t xml:space="preserve">Грант от QazInnovations «Коммерциализация технологий» </w:t>
            </w:r>
          </w:p>
          <w:p w14:paraId="78FB3961" w14:textId="77777777" w:rsidR="00043020" w:rsidRPr="00043020" w:rsidRDefault="00043020" w:rsidP="00B20582">
            <w:pPr>
              <w:pStyle w:val="a3"/>
              <w:numPr>
                <w:ilvl w:val="0"/>
                <w:numId w:val="54"/>
              </w:numPr>
            </w:pPr>
            <w:r w:rsidRPr="00043020">
              <w:t>Грант от QazInnovations «Технологическое развитие действующих предприятий»</w:t>
            </w:r>
          </w:p>
          <w:p w14:paraId="58D52F14" w14:textId="77777777" w:rsidR="00043020" w:rsidRPr="00043020" w:rsidRDefault="00043020" w:rsidP="00B20582">
            <w:pPr>
              <w:pStyle w:val="a3"/>
              <w:numPr>
                <w:ilvl w:val="0"/>
                <w:numId w:val="54"/>
              </w:numPr>
            </w:pPr>
            <w:r w:rsidRPr="00043020">
              <w:t xml:space="preserve">Грант от QazInnovations «Технологическое развитие отрасли» </w:t>
            </w:r>
          </w:p>
          <w:p w14:paraId="057C0163" w14:textId="77777777" w:rsidR="00043020" w:rsidRPr="00043020" w:rsidRDefault="00043020" w:rsidP="00B20582">
            <w:pPr>
              <w:pStyle w:val="a3"/>
              <w:numPr>
                <w:ilvl w:val="0"/>
                <w:numId w:val="54"/>
              </w:numPr>
            </w:pPr>
            <w:r w:rsidRPr="00043020">
              <w:t xml:space="preserve">Грант от QazInnovations «Инновационные гранты для консорциумов» </w:t>
            </w:r>
          </w:p>
          <w:p w14:paraId="014DF4C2" w14:textId="77777777" w:rsidR="00043020" w:rsidRPr="00043020" w:rsidRDefault="00043020" w:rsidP="00B20582">
            <w:pPr>
              <w:pStyle w:val="a3"/>
              <w:numPr>
                <w:ilvl w:val="0"/>
                <w:numId w:val="54"/>
              </w:numPr>
            </w:pPr>
            <w:r w:rsidRPr="00043020">
              <w:t xml:space="preserve">В рамках Проекта «Стимулирование продуктивных инноваций» грантовая программа «Консорциумы инклюзивных инноваций» </w:t>
            </w:r>
          </w:p>
          <w:p w14:paraId="26B35606" w14:textId="77777777" w:rsidR="00043020" w:rsidRPr="00043020" w:rsidRDefault="00043020" w:rsidP="00B20582">
            <w:pPr>
              <w:pStyle w:val="a3"/>
              <w:numPr>
                <w:ilvl w:val="0"/>
                <w:numId w:val="54"/>
              </w:numPr>
            </w:pPr>
            <w:r w:rsidRPr="00043020">
              <w:t xml:space="preserve">В рамках Проекта «Стимулирование продуктивных инноваций» грантовая программа «Консорциумы производственного сектора I: Центры компетенций» </w:t>
            </w:r>
          </w:p>
          <w:p w14:paraId="48F7E9B7" w14:textId="77777777" w:rsidR="00043020" w:rsidRPr="00043020" w:rsidRDefault="00043020" w:rsidP="00B20582">
            <w:pPr>
              <w:pStyle w:val="a3"/>
              <w:numPr>
                <w:ilvl w:val="0"/>
                <w:numId w:val="54"/>
              </w:numPr>
            </w:pPr>
            <w:r w:rsidRPr="00043020">
              <w:t xml:space="preserve">В рамках Проекта «Стимулирование продуктивных инноваций» грантовая программа «Консорциумы производственного сектора II» </w:t>
            </w:r>
          </w:p>
          <w:p w14:paraId="69CDE609" w14:textId="77777777" w:rsidR="00043020" w:rsidRPr="00043020" w:rsidRDefault="00043020" w:rsidP="00B20582">
            <w:pPr>
              <w:pStyle w:val="a3"/>
              <w:numPr>
                <w:ilvl w:val="0"/>
                <w:numId w:val="54"/>
              </w:numPr>
            </w:pPr>
            <w:r w:rsidRPr="00043020">
              <w:t xml:space="preserve">Программа Tech Orda Программа финансирования для подготовки IT-специалистов </w:t>
            </w:r>
          </w:p>
          <w:p w14:paraId="1AFED39E" w14:textId="77777777" w:rsidR="00043020" w:rsidRPr="00043020" w:rsidRDefault="00043020" w:rsidP="00B20582">
            <w:pPr>
              <w:pStyle w:val="a3"/>
              <w:numPr>
                <w:ilvl w:val="0"/>
                <w:numId w:val="48"/>
              </w:numPr>
              <w:rPr>
                <w:i/>
              </w:rPr>
            </w:pPr>
            <w:r w:rsidRPr="00043020">
              <w:rPr>
                <w:i/>
              </w:rPr>
              <w:t>Участие в государственных программах (да, нет)</w:t>
            </w:r>
          </w:p>
          <w:p w14:paraId="3D0920E7" w14:textId="77777777" w:rsidR="00043020" w:rsidRPr="000B0C7C" w:rsidRDefault="00043020" w:rsidP="00B20582">
            <w:pPr>
              <w:pStyle w:val="a3"/>
              <w:numPr>
                <w:ilvl w:val="0"/>
                <w:numId w:val="48"/>
              </w:numPr>
              <w:rPr>
                <w:color w:val="202124"/>
                <w:sz w:val="22"/>
                <w:shd w:val="clear" w:color="auto" w:fill="F1F3F4"/>
                <w:lang w:val="kk-KZ"/>
              </w:rPr>
            </w:pPr>
            <w:r w:rsidRPr="000B0C7C">
              <w:rPr>
                <w:i/>
                <w:iCs/>
                <w:color w:val="202124"/>
                <w:sz w:val="22"/>
                <w:shd w:val="clear" w:color="auto" w:fill="FFFFFF"/>
              </w:rPr>
              <w:t>Если да, каков ваш опыт участия в таких программах?</w:t>
            </w:r>
            <w:r w:rsidRPr="000B0C7C">
              <w:rPr>
                <w:i/>
                <w:iCs/>
                <w:color w:val="202124"/>
                <w:sz w:val="22"/>
                <w:shd w:val="clear" w:color="auto" w:fill="FFFFFF"/>
                <w:lang w:val="kk-KZ"/>
              </w:rPr>
              <w:t xml:space="preserve"> (шкала 1-5)</w:t>
            </w:r>
          </w:p>
          <w:p w14:paraId="224002DB" w14:textId="77777777" w:rsidR="00043020" w:rsidRPr="000B0C7C" w:rsidRDefault="00043020" w:rsidP="00B20582">
            <w:pPr>
              <w:pStyle w:val="a3"/>
              <w:numPr>
                <w:ilvl w:val="0"/>
                <w:numId w:val="48"/>
              </w:numPr>
              <w:rPr>
                <w:color w:val="202124"/>
                <w:sz w:val="22"/>
                <w:shd w:val="clear" w:color="auto" w:fill="F1F3F4"/>
                <w:lang w:val="kk-KZ"/>
              </w:rPr>
            </w:pPr>
            <w:r>
              <w:rPr>
                <w:i/>
                <w:iCs/>
                <w:color w:val="202124"/>
                <w:sz w:val="22"/>
                <w:shd w:val="clear" w:color="auto" w:fill="FFFFFF"/>
                <w:lang w:val="kk-KZ"/>
              </w:rPr>
              <w:t>Если нет, к</w:t>
            </w:r>
            <w:r w:rsidRPr="00392FE6">
              <w:rPr>
                <w:i/>
                <w:iCs/>
                <w:color w:val="202124"/>
                <w:sz w:val="22"/>
                <w:shd w:val="clear" w:color="auto" w:fill="FFFFFF"/>
              </w:rPr>
              <w:t>акие факторы могут повысить вашу мотивацию воспользоваться государственной поддержкой в области инноваций? (можно выбрать несколько вариантов ответа и при необходимости добавить свой)</w:t>
            </w:r>
          </w:p>
          <w:p w14:paraId="0CBA433C" w14:textId="77777777" w:rsidR="00043020" w:rsidRPr="00043020" w:rsidRDefault="00043020" w:rsidP="00B20582">
            <w:pPr>
              <w:pStyle w:val="a3"/>
              <w:numPr>
                <w:ilvl w:val="0"/>
                <w:numId w:val="55"/>
              </w:numPr>
              <w:rPr>
                <w:sz w:val="22"/>
              </w:rPr>
            </w:pPr>
            <w:r w:rsidRPr="00043020">
              <w:rPr>
                <w:sz w:val="22"/>
              </w:rPr>
              <w:t xml:space="preserve">Увеличение финансовых поощрений </w:t>
            </w:r>
          </w:p>
          <w:p w14:paraId="60B206B3" w14:textId="77777777" w:rsidR="00043020" w:rsidRPr="00043020" w:rsidRDefault="00043020" w:rsidP="00B20582">
            <w:pPr>
              <w:pStyle w:val="a3"/>
              <w:numPr>
                <w:ilvl w:val="0"/>
                <w:numId w:val="55"/>
              </w:numPr>
              <w:rPr>
                <w:sz w:val="22"/>
              </w:rPr>
            </w:pPr>
            <w:r w:rsidRPr="00043020">
              <w:rPr>
                <w:sz w:val="22"/>
              </w:rPr>
              <w:t xml:space="preserve">Повышение степени прозрачности и доступности информации о программах поддержки </w:t>
            </w:r>
          </w:p>
          <w:p w14:paraId="28B7D9D2" w14:textId="77777777" w:rsidR="00043020" w:rsidRPr="00043020" w:rsidRDefault="00043020" w:rsidP="00B20582">
            <w:pPr>
              <w:pStyle w:val="a3"/>
              <w:numPr>
                <w:ilvl w:val="0"/>
                <w:numId w:val="55"/>
              </w:numPr>
              <w:rPr>
                <w:sz w:val="22"/>
              </w:rPr>
            </w:pPr>
            <w:r w:rsidRPr="00043020">
              <w:rPr>
                <w:sz w:val="22"/>
              </w:rPr>
              <w:t xml:space="preserve">Упрощение процедур и условий участия в программах поддержки </w:t>
            </w:r>
          </w:p>
          <w:p w14:paraId="302C0A22" w14:textId="77777777" w:rsidR="00043020" w:rsidRPr="00043020" w:rsidRDefault="00043020" w:rsidP="00B20582">
            <w:pPr>
              <w:pStyle w:val="a3"/>
              <w:numPr>
                <w:ilvl w:val="0"/>
                <w:numId w:val="55"/>
              </w:numPr>
              <w:rPr>
                <w:sz w:val="22"/>
              </w:rPr>
            </w:pPr>
            <w:r w:rsidRPr="00043020">
              <w:rPr>
                <w:sz w:val="22"/>
              </w:rPr>
              <w:t xml:space="preserve">Предоставление льгот в налоговой сфере для инновационных проектов </w:t>
            </w:r>
          </w:p>
          <w:p w14:paraId="248D80B6" w14:textId="77777777" w:rsidR="00043020" w:rsidRPr="00043020" w:rsidRDefault="00043020" w:rsidP="00B20582">
            <w:pPr>
              <w:pStyle w:val="a3"/>
              <w:numPr>
                <w:ilvl w:val="0"/>
                <w:numId w:val="55"/>
              </w:numPr>
              <w:rPr>
                <w:sz w:val="22"/>
              </w:rPr>
            </w:pPr>
            <w:r w:rsidRPr="00043020">
              <w:rPr>
                <w:sz w:val="22"/>
              </w:rPr>
              <w:t>Возможность сетевого взаимодействия с другими инновационными компаниями и организациями</w:t>
            </w:r>
          </w:p>
          <w:p w14:paraId="638F8F18" w14:textId="77777777" w:rsidR="00043020" w:rsidRPr="00043020" w:rsidRDefault="00043020" w:rsidP="00B20582">
            <w:pPr>
              <w:pStyle w:val="a3"/>
              <w:numPr>
                <w:ilvl w:val="0"/>
                <w:numId w:val="55"/>
              </w:numPr>
              <w:rPr>
                <w:sz w:val="22"/>
              </w:rPr>
            </w:pPr>
            <w:r w:rsidRPr="00043020">
              <w:rPr>
                <w:sz w:val="22"/>
              </w:rPr>
              <w:t xml:space="preserve">Публичное признание инновационных достижений через государственные программы </w:t>
            </w:r>
          </w:p>
          <w:p w14:paraId="157188C7" w14:textId="77777777" w:rsidR="00043020" w:rsidRPr="00043020" w:rsidRDefault="00043020" w:rsidP="00B20582">
            <w:pPr>
              <w:pStyle w:val="a3"/>
              <w:numPr>
                <w:ilvl w:val="0"/>
                <w:numId w:val="55"/>
              </w:numPr>
              <w:rPr>
                <w:sz w:val="22"/>
              </w:rPr>
            </w:pPr>
            <w:r w:rsidRPr="00043020">
              <w:rPr>
                <w:sz w:val="22"/>
              </w:rPr>
              <w:t xml:space="preserve">Создание механизмов обратной связи для улучшения государственной поддержки на основе опыта участников </w:t>
            </w:r>
          </w:p>
          <w:p w14:paraId="3F98F3D7" w14:textId="77777777" w:rsidR="00043020" w:rsidRPr="00043020" w:rsidRDefault="00043020" w:rsidP="00B20582">
            <w:pPr>
              <w:pStyle w:val="a3"/>
              <w:numPr>
                <w:ilvl w:val="0"/>
                <w:numId w:val="55"/>
              </w:numPr>
              <w:rPr>
                <w:sz w:val="22"/>
              </w:rPr>
            </w:pPr>
            <w:r w:rsidRPr="00043020">
              <w:rPr>
                <w:sz w:val="22"/>
              </w:rPr>
              <w:lastRenderedPageBreak/>
              <w:t xml:space="preserve">Развитие системы консультаций и поддержки для решения возникающих вопросов и трудностей </w:t>
            </w:r>
          </w:p>
          <w:p w14:paraId="69CF45C3" w14:textId="77777777" w:rsidR="00043020" w:rsidRPr="00043020" w:rsidRDefault="00043020" w:rsidP="00B20582">
            <w:pPr>
              <w:pStyle w:val="a3"/>
              <w:numPr>
                <w:ilvl w:val="0"/>
                <w:numId w:val="55"/>
              </w:numPr>
              <w:rPr>
                <w:shd w:val="clear" w:color="auto" w:fill="F1F3F4"/>
                <w:lang w:val="kk-KZ"/>
              </w:rPr>
            </w:pPr>
            <w:r w:rsidRPr="00043020">
              <w:rPr>
                <w:sz w:val="22"/>
              </w:rPr>
              <w:t>Организация международных стажировок на передовых зарубежных предприятиях</w:t>
            </w:r>
            <w:r w:rsidRPr="00043020">
              <w:rPr>
                <w:sz w:val="22"/>
                <w:shd w:val="clear" w:color="auto" w:fill="F1F3F4"/>
              </w:rPr>
              <w:t xml:space="preserve"> </w:t>
            </w:r>
          </w:p>
        </w:tc>
      </w:tr>
      <w:tr w:rsidR="00043020" w:rsidRPr="00392FE6" w14:paraId="68817363" w14:textId="77777777" w:rsidTr="00BE6E4B">
        <w:tc>
          <w:tcPr>
            <w:tcW w:w="9345" w:type="dxa"/>
          </w:tcPr>
          <w:p w14:paraId="4E7028DF" w14:textId="08EA304D" w:rsidR="00043020" w:rsidRPr="00043020" w:rsidRDefault="0097729F" w:rsidP="00043020">
            <w:pPr>
              <w:ind w:firstLine="0"/>
              <w:rPr>
                <w:b/>
                <w:i/>
                <w:sz w:val="22"/>
              </w:rPr>
            </w:pPr>
            <w:r>
              <w:rPr>
                <w:b/>
                <w:i/>
                <w:sz w:val="22"/>
                <w:lang w:val="en-US"/>
              </w:rPr>
              <w:lastRenderedPageBreak/>
              <w:t xml:space="preserve">VII </w:t>
            </w:r>
            <w:r w:rsidR="00043020" w:rsidRPr="00043020">
              <w:rPr>
                <w:b/>
                <w:i/>
                <w:sz w:val="22"/>
              </w:rPr>
              <w:t xml:space="preserve">Инновационная активность </w:t>
            </w:r>
          </w:p>
          <w:p w14:paraId="3FDCD46B" w14:textId="77777777" w:rsidR="00043020" w:rsidRPr="000B0C7C" w:rsidRDefault="00043020" w:rsidP="00B20582">
            <w:pPr>
              <w:pStyle w:val="a3"/>
              <w:numPr>
                <w:ilvl w:val="0"/>
                <w:numId w:val="49"/>
              </w:numPr>
              <w:rPr>
                <w:i/>
                <w:iCs/>
                <w:color w:val="202124"/>
                <w:sz w:val="22"/>
                <w:shd w:val="clear" w:color="auto" w:fill="F1F3F4"/>
              </w:rPr>
            </w:pPr>
            <w:r w:rsidRPr="000B0C7C">
              <w:rPr>
                <w:i/>
                <w:iCs/>
                <w:color w:val="202124"/>
                <w:sz w:val="22"/>
                <w:shd w:val="clear" w:color="auto" w:fill="FFFFFF"/>
              </w:rPr>
              <w:t>Были ли запущены новые продукты или услуги вашей компанией на рынок за последние годы?</w:t>
            </w:r>
            <w:r w:rsidRPr="000B0C7C">
              <w:rPr>
                <w:i/>
                <w:iCs/>
                <w:color w:val="202124"/>
                <w:sz w:val="22"/>
                <w:shd w:val="clear" w:color="auto" w:fill="FFFFFF"/>
                <w:lang w:val="kk-KZ"/>
              </w:rPr>
              <w:t xml:space="preserve"> (да, нет)</w:t>
            </w:r>
          </w:p>
          <w:p w14:paraId="15CDEBCF" w14:textId="77777777" w:rsidR="00043020" w:rsidRPr="000B0C7C" w:rsidRDefault="00043020" w:rsidP="00B20582">
            <w:pPr>
              <w:pStyle w:val="a3"/>
              <w:numPr>
                <w:ilvl w:val="0"/>
                <w:numId w:val="49"/>
              </w:numPr>
              <w:rPr>
                <w:i/>
                <w:iCs/>
                <w:color w:val="202124"/>
                <w:sz w:val="22"/>
                <w:shd w:val="clear" w:color="auto" w:fill="FFFFFF"/>
              </w:rPr>
            </w:pPr>
            <w:r w:rsidRPr="000B0C7C">
              <w:rPr>
                <w:i/>
                <w:iCs/>
                <w:color w:val="202124"/>
                <w:sz w:val="22"/>
                <w:shd w:val="clear" w:color="auto" w:fill="FFFFFF"/>
              </w:rPr>
              <w:t>Если не были запущены инновации, укажите причины, препятствующие введению инновационной деятельности. Пожалуйста, выберите несколько вариантов ответа, а также добавьте свой, если необходимо.</w:t>
            </w:r>
          </w:p>
          <w:p w14:paraId="17DC1CFF" w14:textId="77777777" w:rsidR="00043020" w:rsidRPr="00392FE6" w:rsidRDefault="00043020" w:rsidP="00B20582">
            <w:pPr>
              <w:pStyle w:val="a3"/>
              <w:numPr>
                <w:ilvl w:val="0"/>
                <w:numId w:val="50"/>
              </w:numPr>
              <w:rPr>
                <w:i/>
                <w:iCs/>
                <w:color w:val="202124"/>
                <w:sz w:val="22"/>
                <w:shd w:val="clear" w:color="auto" w:fill="FFFFFF"/>
              </w:rPr>
            </w:pPr>
            <w:r w:rsidRPr="00392FE6">
              <w:rPr>
                <w:i/>
                <w:iCs/>
                <w:color w:val="202124"/>
                <w:sz w:val="22"/>
                <w:shd w:val="clear" w:color="auto" w:fill="FFFFFF"/>
              </w:rPr>
              <w:t xml:space="preserve">Недостаток финансов для реализации инновационных проектов </w:t>
            </w:r>
          </w:p>
          <w:p w14:paraId="72513056" w14:textId="77777777" w:rsidR="00043020" w:rsidRPr="00392FE6" w:rsidRDefault="00043020" w:rsidP="00B20582">
            <w:pPr>
              <w:pStyle w:val="a3"/>
              <w:numPr>
                <w:ilvl w:val="0"/>
                <w:numId w:val="50"/>
              </w:numPr>
              <w:rPr>
                <w:i/>
                <w:iCs/>
                <w:color w:val="202124"/>
                <w:sz w:val="22"/>
                <w:shd w:val="clear" w:color="auto" w:fill="FFFFFF"/>
              </w:rPr>
            </w:pPr>
            <w:r w:rsidRPr="00392FE6">
              <w:rPr>
                <w:i/>
                <w:iCs/>
                <w:color w:val="202124"/>
                <w:sz w:val="22"/>
                <w:shd w:val="clear" w:color="auto" w:fill="FFFFFF"/>
              </w:rPr>
              <w:t xml:space="preserve">Отсутствие квалифицированных кадров для реализации инноваций </w:t>
            </w:r>
          </w:p>
          <w:p w14:paraId="2FB83AF2" w14:textId="77777777" w:rsidR="00043020" w:rsidRPr="00392FE6" w:rsidRDefault="00043020" w:rsidP="00B20582">
            <w:pPr>
              <w:pStyle w:val="a3"/>
              <w:numPr>
                <w:ilvl w:val="0"/>
                <w:numId w:val="50"/>
              </w:numPr>
              <w:rPr>
                <w:i/>
                <w:iCs/>
                <w:color w:val="202124"/>
                <w:sz w:val="22"/>
                <w:shd w:val="clear" w:color="auto" w:fill="FFFFFF"/>
              </w:rPr>
            </w:pPr>
            <w:r w:rsidRPr="00392FE6">
              <w:rPr>
                <w:i/>
                <w:iCs/>
                <w:color w:val="202124"/>
                <w:sz w:val="22"/>
                <w:shd w:val="clear" w:color="auto" w:fill="FFFFFF"/>
              </w:rPr>
              <w:t xml:space="preserve">Высокие риски неудач при внедрении инноваций </w:t>
            </w:r>
          </w:p>
          <w:p w14:paraId="49BA1860" w14:textId="77777777" w:rsidR="00043020" w:rsidRPr="00392FE6" w:rsidRDefault="00043020" w:rsidP="00B20582">
            <w:pPr>
              <w:pStyle w:val="a3"/>
              <w:numPr>
                <w:ilvl w:val="0"/>
                <w:numId w:val="50"/>
              </w:numPr>
              <w:rPr>
                <w:i/>
                <w:iCs/>
                <w:color w:val="202124"/>
                <w:sz w:val="22"/>
                <w:shd w:val="clear" w:color="auto" w:fill="FFFFFF"/>
              </w:rPr>
            </w:pPr>
            <w:r w:rsidRPr="00392FE6">
              <w:rPr>
                <w:i/>
                <w:iCs/>
                <w:color w:val="202124"/>
                <w:sz w:val="22"/>
                <w:shd w:val="clear" w:color="auto" w:fill="FFFFFF"/>
              </w:rPr>
              <w:t xml:space="preserve">Отсутствие ясной стратегии в области инноваций </w:t>
            </w:r>
          </w:p>
          <w:p w14:paraId="0345F924" w14:textId="77777777" w:rsidR="00043020" w:rsidRPr="00392FE6" w:rsidRDefault="00043020" w:rsidP="00B20582">
            <w:pPr>
              <w:pStyle w:val="a3"/>
              <w:numPr>
                <w:ilvl w:val="0"/>
                <w:numId w:val="50"/>
              </w:numPr>
              <w:rPr>
                <w:i/>
                <w:iCs/>
                <w:color w:val="202124"/>
                <w:sz w:val="22"/>
                <w:shd w:val="clear" w:color="auto" w:fill="FFFFFF"/>
              </w:rPr>
            </w:pPr>
            <w:r w:rsidRPr="00392FE6">
              <w:rPr>
                <w:i/>
                <w:iCs/>
                <w:color w:val="202124"/>
                <w:sz w:val="22"/>
                <w:shd w:val="clear" w:color="auto" w:fill="FFFFFF"/>
              </w:rPr>
              <w:t xml:space="preserve">Недостаток поддержки со стороны высшего руководства </w:t>
            </w:r>
          </w:p>
          <w:p w14:paraId="2E737A86" w14:textId="77777777" w:rsidR="00043020" w:rsidRPr="00392FE6" w:rsidRDefault="00043020" w:rsidP="00B20582">
            <w:pPr>
              <w:pStyle w:val="a3"/>
              <w:numPr>
                <w:ilvl w:val="0"/>
                <w:numId w:val="50"/>
              </w:numPr>
              <w:rPr>
                <w:i/>
                <w:iCs/>
                <w:color w:val="202124"/>
                <w:sz w:val="22"/>
                <w:shd w:val="clear" w:color="auto" w:fill="FFFFFF"/>
              </w:rPr>
            </w:pPr>
            <w:r w:rsidRPr="00392FE6">
              <w:rPr>
                <w:i/>
                <w:iCs/>
                <w:color w:val="202124"/>
                <w:sz w:val="22"/>
                <w:shd w:val="clear" w:color="auto" w:fill="FFFFFF"/>
              </w:rPr>
              <w:t xml:space="preserve">Отсутствие доступа к современным технологиям и инновационным партнерам </w:t>
            </w:r>
          </w:p>
          <w:p w14:paraId="1F30331C" w14:textId="77777777" w:rsidR="00043020" w:rsidRPr="00392FE6" w:rsidRDefault="00043020" w:rsidP="00B20582">
            <w:pPr>
              <w:pStyle w:val="a3"/>
              <w:numPr>
                <w:ilvl w:val="0"/>
                <w:numId w:val="50"/>
              </w:numPr>
              <w:rPr>
                <w:i/>
                <w:iCs/>
                <w:color w:val="202124"/>
                <w:sz w:val="22"/>
                <w:shd w:val="clear" w:color="auto" w:fill="FFFFFF"/>
              </w:rPr>
            </w:pPr>
            <w:r w:rsidRPr="00392FE6">
              <w:rPr>
                <w:i/>
                <w:iCs/>
                <w:color w:val="202124"/>
                <w:sz w:val="22"/>
                <w:shd w:val="clear" w:color="auto" w:fill="FFFFFF"/>
              </w:rPr>
              <w:t xml:space="preserve">Неопределенность спроса на инновационные товары и услуги </w:t>
            </w:r>
          </w:p>
          <w:p w14:paraId="17258E25" w14:textId="77777777" w:rsidR="00043020" w:rsidRPr="00392FE6" w:rsidRDefault="00043020" w:rsidP="00B20582">
            <w:pPr>
              <w:pStyle w:val="a3"/>
              <w:numPr>
                <w:ilvl w:val="0"/>
                <w:numId w:val="50"/>
              </w:numPr>
              <w:rPr>
                <w:i/>
                <w:iCs/>
                <w:color w:val="202124"/>
                <w:sz w:val="22"/>
                <w:shd w:val="clear" w:color="auto" w:fill="FFFFFF"/>
              </w:rPr>
            </w:pPr>
            <w:r w:rsidRPr="00392FE6">
              <w:rPr>
                <w:i/>
                <w:iCs/>
                <w:color w:val="202124"/>
                <w:sz w:val="22"/>
                <w:shd w:val="clear" w:color="auto" w:fill="FFFFFF"/>
              </w:rPr>
              <w:t xml:space="preserve">Трудности коммерциализации инноваций </w:t>
            </w:r>
          </w:p>
          <w:p w14:paraId="16CAD42C" w14:textId="77777777" w:rsidR="00043020" w:rsidRPr="00392FE6" w:rsidRDefault="00043020" w:rsidP="00B20582">
            <w:pPr>
              <w:pStyle w:val="a3"/>
              <w:numPr>
                <w:ilvl w:val="0"/>
                <w:numId w:val="50"/>
              </w:numPr>
              <w:rPr>
                <w:i/>
                <w:iCs/>
                <w:color w:val="202124"/>
                <w:sz w:val="22"/>
                <w:shd w:val="clear" w:color="auto" w:fill="FFFFFF"/>
              </w:rPr>
            </w:pPr>
            <w:r w:rsidRPr="00392FE6">
              <w:rPr>
                <w:i/>
                <w:iCs/>
                <w:color w:val="202124"/>
                <w:sz w:val="22"/>
                <w:shd w:val="clear" w:color="auto" w:fill="FFFFFF"/>
              </w:rPr>
              <w:t xml:space="preserve">Недостаток государственной поддержки и программ развития инноваций </w:t>
            </w:r>
          </w:p>
          <w:p w14:paraId="7E3A4E55" w14:textId="77777777" w:rsidR="00043020" w:rsidRPr="00392FE6" w:rsidRDefault="00043020" w:rsidP="00B20582">
            <w:pPr>
              <w:pStyle w:val="a3"/>
              <w:numPr>
                <w:ilvl w:val="0"/>
                <w:numId w:val="50"/>
              </w:numPr>
              <w:rPr>
                <w:i/>
                <w:iCs/>
                <w:color w:val="202124"/>
                <w:sz w:val="22"/>
                <w:shd w:val="clear" w:color="auto" w:fill="FFFFFF"/>
              </w:rPr>
            </w:pPr>
            <w:r w:rsidRPr="00392FE6">
              <w:rPr>
                <w:i/>
                <w:iCs/>
                <w:color w:val="202124"/>
                <w:sz w:val="22"/>
                <w:shd w:val="clear" w:color="auto" w:fill="FFFFFF"/>
              </w:rPr>
              <w:t xml:space="preserve">Мало информации о государственной поддержке и программах развития инноваций </w:t>
            </w:r>
          </w:p>
          <w:p w14:paraId="1DDC157B" w14:textId="77777777" w:rsidR="00043020" w:rsidRPr="00392FE6" w:rsidRDefault="00043020" w:rsidP="00B20582">
            <w:pPr>
              <w:pStyle w:val="a3"/>
              <w:numPr>
                <w:ilvl w:val="0"/>
                <w:numId w:val="50"/>
              </w:numPr>
              <w:rPr>
                <w:i/>
                <w:iCs/>
                <w:color w:val="202124"/>
                <w:sz w:val="22"/>
                <w:shd w:val="clear" w:color="auto" w:fill="FFFFFF"/>
              </w:rPr>
            </w:pPr>
            <w:r w:rsidRPr="00392FE6">
              <w:rPr>
                <w:i/>
                <w:iCs/>
                <w:color w:val="202124"/>
                <w:sz w:val="22"/>
                <w:shd w:val="clear" w:color="auto" w:fill="FFFFFF"/>
              </w:rPr>
              <w:t xml:space="preserve">Доминирование существующих предприятий на рынке </w:t>
            </w:r>
          </w:p>
          <w:p w14:paraId="1F30DA3D" w14:textId="77777777" w:rsidR="00043020" w:rsidRPr="00392FE6" w:rsidRDefault="00043020" w:rsidP="00B20582">
            <w:pPr>
              <w:pStyle w:val="a3"/>
              <w:numPr>
                <w:ilvl w:val="0"/>
                <w:numId w:val="50"/>
              </w:numPr>
              <w:rPr>
                <w:i/>
                <w:iCs/>
                <w:color w:val="202124"/>
                <w:sz w:val="22"/>
                <w:shd w:val="clear" w:color="auto" w:fill="FFFFFF"/>
              </w:rPr>
            </w:pPr>
            <w:r w:rsidRPr="00392FE6">
              <w:rPr>
                <w:i/>
                <w:iCs/>
                <w:color w:val="202124"/>
                <w:sz w:val="22"/>
                <w:shd w:val="clear" w:color="auto" w:fill="FFFFFF"/>
              </w:rPr>
              <w:t xml:space="preserve">Нет необходимости вследствие более ранних инноваций </w:t>
            </w:r>
          </w:p>
          <w:p w14:paraId="303125BC" w14:textId="77777777" w:rsidR="00043020" w:rsidRPr="000B0C7C" w:rsidRDefault="00043020" w:rsidP="00B20582">
            <w:pPr>
              <w:pStyle w:val="a3"/>
              <w:numPr>
                <w:ilvl w:val="0"/>
                <w:numId w:val="50"/>
              </w:numPr>
              <w:rPr>
                <w:i/>
                <w:iCs/>
                <w:color w:val="202124"/>
                <w:sz w:val="22"/>
                <w:shd w:val="clear" w:color="auto" w:fill="F1F3F4"/>
              </w:rPr>
            </w:pPr>
            <w:r w:rsidRPr="00392FE6">
              <w:rPr>
                <w:i/>
                <w:iCs/>
                <w:color w:val="202124"/>
                <w:sz w:val="22"/>
                <w:shd w:val="clear" w:color="auto" w:fill="FFFFFF"/>
              </w:rPr>
              <w:t>Отсутствие специалистов в области патентования и защиты интеллектуальной собственности</w:t>
            </w:r>
          </w:p>
        </w:tc>
      </w:tr>
      <w:tr w:rsidR="00043020" w:rsidRPr="00392FE6" w14:paraId="7BABB705" w14:textId="77777777" w:rsidTr="00BE6E4B">
        <w:trPr>
          <w:trHeight w:val="1548"/>
        </w:trPr>
        <w:tc>
          <w:tcPr>
            <w:tcW w:w="9345" w:type="dxa"/>
          </w:tcPr>
          <w:p w14:paraId="493491DA" w14:textId="77777777" w:rsidR="00043020" w:rsidRPr="00043020" w:rsidRDefault="00043020" w:rsidP="00043020">
            <w:pPr>
              <w:ind w:firstLine="0"/>
              <w:rPr>
                <w:b/>
                <w:i/>
                <w:sz w:val="22"/>
              </w:rPr>
            </w:pPr>
            <w:r w:rsidRPr="00043020">
              <w:rPr>
                <w:b/>
                <w:i/>
                <w:sz w:val="22"/>
              </w:rPr>
              <w:t>Факторы, способствующие инновациям</w:t>
            </w:r>
          </w:p>
          <w:p w14:paraId="00CC3FD3" w14:textId="77777777" w:rsidR="00043020" w:rsidRPr="00392FE6" w:rsidRDefault="00043020" w:rsidP="00043020">
            <w:pPr>
              <w:ind w:firstLine="0"/>
              <w:rPr>
                <w:i/>
                <w:iCs/>
                <w:color w:val="202124"/>
                <w:sz w:val="22"/>
                <w:shd w:val="clear" w:color="auto" w:fill="FFFFFF"/>
              </w:rPr>
            </w:pPr>
            <w:r w:rsidRPr="00392FE6">
              <w:rPr>
                <w:i/>
                <w:iCs/>
                <w:color w:val="202124"/>
                <w:sz w:val="22"/>
                <w:shd w:val="clear" w:color="auto" w:fill="FFFFFF"/>
              </w:rPr>
              <w:t>Если были запущены инновации, укажите факторы, которые наиболее благоприятно повлияли на их запуск. Пожалуйста, выберите несколько вариантов ответа, а также добавьте свой, если необходимо.</w:t>
            </w:r>
          </w:p>
          <w:p w14:paraId="36B93D25" w14:textId="77777777" w:rsidR="00043020" w:rsidRPr="00043020" w:rsidRDefault="00043020" w:rsidP="00B20582">
            <w:pPr>
              <w:pStyle w:val="a3"/>
              <w:numPr>
                <w:ilvl w:val="0"/>
                <w:numId w:val="56"/>
              </w:numPr>
              <w:rPr>
                <w:sz w:val="22"/>
              </w:rPr>
            </w:pPr>
            <w:r w:rsidRPr="00043020">
              <w:rPr>
                <w:sz w:val="22"/>
              </w:rPr>
              <w:t xml:space="preserve">Обеспечение достаточных финансовых ресурсов для проведения исследований, разработки и внедрения инновационных проектов </w:t>
            </w:r>
          </w:p>
          <w:p w14:paraId="7B6B96D2" w14:textId="77777777" w:rsidR="00043020" w:rsidRPr="00043020" w:rsidRDefault="00043020" w:rsidP="00B20582">
            <w:pPr>
              <w:pStyle w:val="a3"/>
              <w:numPr>
                <w:ilvl w:val="0"/>
                <w:numId w:val="56"/>
              </w:numPr>
              <w:rPr>
                <w:sz w:val="22"/>
              </w:rPr>
            </w:pPr>
            <w:r w:rsidRPr="00043020">
              <w:rPr>
                <w:sz w:val="22"/>
              </w:rPr>
              <w:t xml:space="preserve">Наличие высококвалифицированных специалистов с опытом работы в сфере инноваций </w:t>
            </w:r>
          </w:p>
          <w:p w14:paraId="6985EE8C" w14:textId="77777777" w:rsidR="00043020" w:rsidRPr="00043020" w:rsidRDefault="00043020" w:rsidP="00B20582">
            <w:pPr>
              <w:pStyle w:val="a3"/>
              <w:numPr>
                <w:ilvl w:val="0"/>
                <w:numId w:val="56"/>
              </w:numPr>
              <w:rPr>
                <w:sz w:val="22"/>
              </w:rPr>
            </w:pPr>
            <w:r w:rsidRPr="00043020">
              <w:rPr>
                <w:sz w:val="22"/>
              </w:rPr>
              <w:t xml:space="preserve">Активная поддержка высшего руководства компании в реализации инновационных идей </w:t>
            </w:r>
          </w:p>
          <w:p w14:paraId="521D5F3A" w14:textId="77777777" w:rsidR="00043020" w:rsidRPr="00043020" w:rsidRDefault="00043020" w:rsidP="00B20582">
            <w:pPr>
              <w:pStyle w:val="a3"/>
              <w:numPr>
                <w:ilvl w:val="0"/>
                <w:numId w:val="56"/>
              </w:numPr>
              <w:rPr>
                <w:sz w:val="22"/>
              </w:rPr>
            </w:pPr>
            <w:r w:rsidRPr="00043020">
              <w:rPr>
                <w:sz w:val="22"/>
              </w:rPr>
              <w:t xml:space="preserve">Формирование инновационной культуры в организации, способствующей появлению идеи и их дальнейшему внедрению </w:t>
            </w:r>
          </w:p>
          <w:p w14:paraId="4BDB2343" w14:textId="77777777" w:rsidR="00043020" w:rsidRPr="00043020" w:rsidRDefault="00043020" w:rsidP="00B20582">
            <w:pPr>
              <w:pStyle w:val="a3"/>
              <w:numPr>
                <w:ilvl w:val="0"/>
                <w:numId w:val="56"/>
              </w:numPr>
              <w:rPr>
                <w:sz w:val="22"/>
              </w:rPr>
            </w:pPr>
            <w:r w:rsidRPr="00043020">
              <w:rPr>
                <w:sz w:val="22"/>
              </w:rPr>
              <w:t xml:space="preserve">Установление эффективного сотрудничества с внешними партнерами, включая другие компании, институты и стартапы </w:t>
            </w:r>
          </w:p>
          <w:p w14:paraId="30E4B076" w14:textId="77777777" w:rsidR="00043020" w:rsidRPr="00043020" w:rsidRDefault="00043020" w:rsidP="00B20582">
            <w:pPr>
              <w:pStyle w:val="a3"/>
              <w:numPr>
                <w:ilvl w:val="0"/>
                <w:numId w:val="56"/>
              </w:numPr>
              <w:rPr>
                <w:sz w:val="22"/>
              </w:rPr>
            </w:pPr>
            <w:r w:rsidRPr="00043020">
              <w:rPr>
                <w:sz w:val="22"/>
              </w:rPr>
              <w:t xml:space="preserve">Применение передовых технологий и инструментов в процессе инновационной деятельности </w:t>
            </w:r>
          </w:p>
          <w:p w14:paraId="505260A7" w14:textId="77777777" w:rsidR="00043020" w:rsidRPr="00043020" w:rsidRDefault="00043020" w:rsidP="00B20582">
            <w:pPr>
              <w:pStyle w:val="a3"/>
              <w:numPr>
                <w:ilvl w:val="0"/>
                <w:numId w:val="56"/>
              </w:numPr>
              <w:rPr>
                <w:sz w:val="22"/>
              </w:rPr>
            </w:pPr>
            <w:r w:rsidRPr="00043020">
              <w:rPr>
                <w:sz w:val="22"/>
              </w:rPr>
              <w:t xml:space="preserve">Получение государственной поддержки в виде льгот, субсидий или участия в инновационных программах </w:t>
            </w:r>
          </w:p>
          <w:p w14:paraId="0352D2F2" w14:textId="77777777" w:rsidR="00043020" w:rsidRPr="00043020" w:rsidRDefault="00043020" w:rsidP="00B20582">
            <w:pPr>
              <w:pStyle w:val="a3"/>
              <w:numPr>
                <w:ilvl w:val="0"/>
                <w:numId w:val="56"/>
              </w:numPr>
              <w:rPr>
                <w:sz w:val="22"/>
              </w:rPr>
            </w:pPr>
            <w:r w:rsidRPr="00043020">
              <w:rPr>
                <w:sz w:val="22"/>
              </w:rPr>
              <w:t xml:space="preserve">Развитие эффективной системы мониторинга и оценки результатов инновационной деятельности </w:t>
            </w:r>
          </w:p>
          <w:p w14:paraId="1B732D16" w14:textId="77777777" w:rsidR="00043020" w:rsidRPr="00043020" w:rsidRDefault="00043020" w:rsidP="00B20582">
            <w:pPr>
              <w:pStyle w:val="a3"/>
              <w:numPr>
                <w:ilvl w:val="0"/>
                <w:numId w:val="56"/>
              </w:numPr>
              <w:rPr>
                <w:sz w:val="22"/>
              </w:rPr>
            </w:pPr>
            <w:r w:rsidRPr="00043020">
              <w:rPr>
                <w:sz w:val="22"/>
              </w:rPr>
              <w:t xml:space="preserve">Активное внимание и приспособление к текущим технологическим трендам, таким как искусственный интеллект, для повышения конкурентоспособности и эффективности инноваций </w:t>
            </w:r>
          </w:p>
          <w:p w14:paraId="2C956E0D" w14:textId="77777777" w:rsidR="00043020" w:rsidRPr="00043020" w:rsidRDefault="00043020" w:rsidP="00B20582">
            <w:pPr>
              <w:pStyle w:val="a3"/>
              <w:numPr>
                <w:ilvl w:val="0"/>
                <w:numId w:val="56"/>
              </w:numPr>
              <w:rPr>
                <w:shd w:val="clear" w:color="auto" w:fill="F8F9FA"/>
              </w:rPr>
            </w:pPr>
            <w:r w:rsidRPr="00043020">
              <w:rPr>
                <w:sz w:val="22"/>
              </w:rPr>
              <w:t>Составление нефинансовой ESG-отчетности для повышения инвестиционной привлекательности бизнеса и обеспечения доверия к нему со стороны коммерческих банков</w:t>
            </w:r>
            <w:r w:rsidRPr="00043020">
              <w:rPr>
                <w:sz w:val="22"/>
                <w:shd w:val="clear" w:color="auto" w:fill="F8F9FA"/>
              </w:rPr>
              <w:t xml:space="preserve"> </w:t>
            </w:r>
          </w:p>
        </w:tc>
      </w:tr>
      <w:tr w:rsidR="00043020" w:rsidRPr="00392FE6" w14:paraId="5230F22E" w14:textId="77777777" w:rsidTr="00BE6E4B">
        <w:trPr>
          <w:trHeight w:val="555"/>
        </w:trPr>
        <w:tc>
          <w:tcPr>
            <w:tcW w:w="9345" w:type="dxa"/>
          </w:tcPr>
          <w:p w14:paraId="059933E8" w14:textId="77777777" w:rsidR="00043020" w:rsidRPr="000B0C7C" w:rsidRDefault="00043020" w:rsidP="00043020">
            <w:pPr>
              <w:ind w:firstLine="0"/>
              <w:rPr>
                <w:b/>
                <w:i/>
                <w:color w:val="202124"/>
                <w:sz w:val="22"/>
                <w:shd w:val="clear" w:color="auto" w:fill="FFFFFF"/>
              </w:rPr>
            </w:pPr>
            <w:r w:rsidRPr="000B0C7C">
              <w:rPr>
                <w:b/>
                <w:i/>
                <w:color w:val="202124"/>
                <w:sz w:val="22"/>
                <w:shd w:val="clear" w:color="auto" w:fill="FFFFFF"/>
              </w:rPr>
              <w:t xml:space="preserve">Факторы, препятствующие инновациям </w:t>
            </w:r>
          </w:p>
          <w:p w14:paraId="6168ECC6" w14:textId="77777777" w:rsidR="00043020" w:rsidRPr="00E7696F" w:rsidRDefault="00043020" w:rsidP="00043020">
            <w:pPr>
              <w:ind w:firstLine="0"/>
              <w:rPr>
                <w:rFonts w:eastAsia="Times New Roman"/>
                <w:sz w:val="22"/>
                <w:lang w:eastAsia="ru-RU"/>
              </w:rPr>
            </w:pPr>
            <w:r w:rsidRPr="00E7696F">
              <w:rPr>
                <w:rFonts w:eastAsia="Times New Roman"/>
                <w:i/>
                <w:iCs/>
                <w:color w:val="202124"/>
                <w:sz w:val="22"/>
                <w:shd w:val="clear" w:color="auto" w:fill="FFFFFF"/>
                <w:lang w:eastAsia="ru-RU"/>
              </w:rPr>
              <w:t>Если были запущены инновации, укажите с какими трудностями вы столкнулись в процессе. Пожалуйста, выберите несколько вариантов ответа, а также добавьте свой, если необходимо.</w:t>
            </w:r>
          </w:p>
          <w:p w14:paraId="11504931" w14:textId="77777777" w:rsidR="00043020" w:rsidRPr="00043020" w:rsidRDefault="00043020" w:rsidP="00B20582">
            <w:pPr>
              <w:pStyle w:val="a3"/>
              <w:numPr>
                <w:ilvl w:val="0"/>
                <w:numId w:val="57"/>
              </w:numPr>
              <w:rPr>
                <w:sz w:val="22"/>
              </w:rPr>
            </w:pPr>
            <w:r w:rsidRPr="00043020">
              <w:rPr>
                <w:sz w:val="22"/>
              </w:rPr>
              <w:t xml:space="preserve">Ограниченные ресурсы для финансирования инновационных проектов </w:t>
            </w:r>
          </w:p>
          <w:p w14:paraId="5014876F" w14:textId="77777777" w:rsidR="00043020" w:rsidRPr="00043020" w:rsidRDefault="00043020" w:rsidP="00B20582">
            <w:pPr>
              <w:pStyle w:val="a3"/>
              <w:numPr>
                <w:ilvl w:val="0"/>
                <w:numId w:val="57"/>
              </w:numPr>
              <w:rPr>
                <w:sz w:val="22"/>
              </w:rPr>
            </w:pPr>
            <w:r w:rsidRPr="00043020">
              <w:rPr>
                <w:sz w:val="22"/>
              </w:rPr>
              <w:t xml:space="preserve">Проблемы в успешном внедрении инноваций на рынок и их монетизации </w:t>
            </w:r>
          </w:p>
          <w:p w14:paraId="3E9C94BA" w14:textId="77777777" w:rsidR="00043020" w:rsidRPr="00043020" w:rsidRDefault="00043020" w:rsidP="00B20582">
            <w:pPr>
              <w:pStyle w:val="a3"/>
              <w:numPr>
                <w:ilvl w:val="0"/>
                <w:numId w:val="57"/>
              </w:numPr>
              <w:rPr>
                <w:sz w:val="22"/>
              </w:rPr>
            </w:pPr>
            <w:r w:rsidRPr="00043020">
              <w:rPr>
                <w:sz w:val="22"/>
              </w:rPr>
              <w:t xml:space="preserve">Сложности в привлечении и удержании высококвалифицированных специалистов </w:t>
            </w:r>
          </w:p>
          <w:p w14:paraId="18027086" w14:textId="77777777" w:rsidR="00043020" w:rsidRPr="00043020" w:rsidRDefault="00043020" w:rsidP="00B20582">
            <w:pPr>
              <w:pStyle w:val="a3"/>
              <w:numPr>
                <w:ilvl w:val="0"/>
                <w:numId w:val="57"/>
              </w:numPr>
              <w:rPr>
                <w:sz w:val="22"/>
              </w:rPr>
            </w:pPr>
            <w:r w:rsidRPr="00043020">
              <w:rPr>
                <w:sz w:val="22"/>
              </w:rPr>
              <w:t xml:space="preserve">Неожиданные технические трудности в реализации инновационных решений </w:t>
            </w:r>
          </w:p>
          <w:p w14:paraId="30A38D10" w14:textId="77777777" w:rsidR="00043020" w:rsidRPr="00043020" w:rsidRDefault="00043020" w:rsidP="00B20582">
            <w:pPr>
              <w:pStyle w:val="a3"/>
              <w:numPr>
                <w:ilvl w:val="0"/>
                <w:numId w:val="57"/>
              </w:numPr>
              <w:rPr>
                <w:sz w:val="22"/>
              </w:rPr>
            </w:pPr>
            <w:r w:rsidRPr="00043020">
              <w:rPr>
                <w:sz w:val="22"/>
              </w:rPr>
              <w:lastRenderedPageBreak/>
              <w:t xml:space="preserve">Негативные результаты в ходе исследований и разработок </w:t>
            </w:r>
          </w:p>
          <w:p w14:paraId="0D676420" w14:textId="77777777" w:rsidR="00043020" w:rsidRPr="00043020" w:rsidRDefault="00043020" w:rsidP="00B20582">
            <w:pPr>
              <w:pStyle w:val="a3"/>
              <w:numPr>
                <w:ilvl w:val="0"/>
                <w:numId w:val="57"/>
              </w:numPr>
              <w:rPr>
                <w:sz w:val="22"/>
              </w:rPr>
            </w:pPr>
            <w:r w:rsidRPr="00043020">
              <w:rPr>
                <w:sz w:val="22"/>
              </w:rPr>
              <w:t xml:space="preserve">Недостаток государственной поддержки и программ развития инноваций </w:t>
            </w:r>
          </w:p>
          <w:p w14:paraId="5278D3C6" w14:textId="77777777" w:rsidR="00043020" w:rsidRPr="00043020" w:rsidRDefault="00043020" w:rsidP="00B20582">
            <w:pPr>
              <w:pStyle w:val="a3"/>
              <w:numPr>
                <w:ilvl w:val="0"/>
                <w:numId w:val="57"/>
              </w:numPr>
              <w:rPr>
                <w:sz w:val="22"/>
              </w:rPr>
            </w:pPr>
            <w:r w:rsidRPr="00043020">
              <w:rPr>
                <w:sz w:val="22"/>
              </w:rPr>
              <w:t xml:space="preserve">Недостаток поддержки со стороны высшего руководства компании </w:t>
            </w:r>
          </w:p>
          <w:p w14:paraId="00613CF5" w14:textId="77777777" w:rsidR="00043020" w:rsidRPr="00043020" w:rsidRDefault="00043020" w:rsidP="00B20582">
            <w:pPr>
              <w:pStyle w:val="a3"/>
              <w:numPr>
                <w:ilvl w:val="0"/>
                <w:numId w:val="57"/>
              </w:numPr>
              <w:rPr>
                <w:sz w:val="22"/>
              </w:rPr>
            </w:pPr>
            <w:r w:rsidRPr="00043020">
              <w:rPr>
                <w:sz w:val="22"/>
              </w:rPr>
              <w:t xml:space="preserve">Проблемы при расширении и масштабировании успешных инноваций </w:t>
            </w:r>
          </w:p>
          <w:p w14:paraId="2D6C374E" w14:textId="77777777" w:rsidR="00043020" w:rsidRPr="00043020" w:rsidRDefault="00043020" w:rsidP="00B20582">
            <w:pPr>
              <w:pStyle w:val="a3"/>
              <w:numPr>
                <w:ilvl w:val="0"/>
                <w:numId w:val="57"/>
              </w:numPr>
              <w:rPr>
                <w:sz w:val="22"/>
              </w:rPr>
            </w:pPr>
            <w:r w:rsidRPr="00043020">
              <w:rPr>
                <w:sz w:val="22"/>
              </w:rPr>
              <w:t xml:space="preserve">Соперничество с другими компаниями и продуктами на рынке </w:t>
            </w:r>
          </w:p>
          <w:p w14:paraId="2B927CF0" w14:textId="77777777" w:rsidR="00043020" w:rsidRPr="00043020" w:rsidRDefault="00043020" w:rsidP="00B20582">
            <w:pPr>
              <w:pStyle w:val="a3"/>
              <w:numPr>
                <w:ilvl w:val="0"/>
                <w:numId w:val="57"/>
              </w:numPr>
              <w:rPr>
                <w:sz w:val="22"/>
              </w:rPr>
            </w:pPr>
            <w:r w:rsidRPr="00043020">
              <w:rPr>
                <w:sz w:val="22"/>
              </w:rPr>
              <w:t xml:space="preserve">Сложности в соответствии с законодательными нормами и регулированием </w:t>
            </w:r>
          </w:p>
          <w:p w14:paraId="2DCFBDA2" w14:textId="77777777" w:rsidR="00043020" w:rsidRPr="00043020" w:rsidRDefault="00043020" w:rsidP="00B20582">
            <w:pPr>
              <w:pStyle w:val="a3"/>
              <w:numPr>
                <w:ilvl w:val="0"/>
                <w:numId w:val="57"/>
              </w:numPr>
              <w:rPr>
                <w:sz w:val="22"/>
              </w:rPr>
            </w:pPr>
            <w:r w:rsidRPr="00043020">
              <w:rPr>
                <w:sz w:val="22"/>
              </w:rPr>
              <w:t xml:space="preserve">Трудности в осознании или принятии инноваций потребителями </w:t>
            </w:r>
          </w:p>
          <w:p w14:paraId="15AABD68" w14:textId="77777777" w:rsidR="00043020" w:rsidRPr="00043020" w:rsidRDefault="00043020" w:rsidP="00B20582">
            <w:pPr>
              <w:pStyle w:val="a3"/>
              <w:numPr>
                <w:ilvl w:val="0"/>
                <w:numId w:val="57"/>
              </w:numPr>
              <w:rPr>
                <w:shd w:val="clear" w:color="auto" w:fill="F8F9FA"/>
              </w:rPr>
            </w:pPr>
            <w:r w:rsidRPr="00043020">
              <w:rPr>
                <w:sz w:val="22"/>
              </w:rPr>
              <w:t>Другое</w:t>
            </w:r>
          </w:p>
        </w:tc>
      </w:tr>
      <w:tr w:rsidR="00043020" w:rsidRPr="00392FE6" w14:paraId="39B051EA" w14:textId="77777777" w:rsidTr="00BE6E4B">
        <w:trPr>
          <w:trHeight w:val="944"/>
        </w:trPr>
        <w:tc>
          <w:tcPr>
            <w:tcW w:w="9345" w:type="dxa"/>
          </w:tcPr>
          <w:p w14:paraId="3AC7BFC7" w14:textId="77777777" w:rsidR="00043020" w:rsidRPr="00043020" w:rsidRDefault="00043020" w:rsidP="00043020">
            <w:pPr>
              <w:ind w:firstLine="0"/>
              <w:rPr>
                <w:b/>
                <w:i/>
                <w:sz w:val="22"/>
              </w:rPr>
            </w:pPr>
            <w:r w:rsidRPr="00043020">
              <w:rPr>
                <w:b/>
                <w:i/>
                <w:sz w:val="22"/>
              </w:rPr>
              <w:lastRenderedPageBreak/>
              <w:t>Незавершенные инновации</w:t>
            </w:r>
          </w:p>
          <w:p w14:paraId="1C1512CE" w14:textId="77777777" w:rsidR="00043020" w:rsidRPr="000B0C7C" w:rsidRDefault="00043020" w:rsidP="00B20582">
            <w:pPr>
              <w:pStyle w:val="a3"/>
              <w:numPr>
                <w:ilvl w:val="0"/>
                <w:numId w:val="51"/>
              </w:numPr>
              <w:rPr>
                <w:color w:val="202124"/>
                <w:sz w:val="22"/>
                <w:shd w:val="clear" w:color="auto" w:fill="FFFFFF"/>
              </w:rPr>
            </w:pPr>
            <w:r w:rsidRPr="000B0C7C">
              <w:rPr>
                <w:i/>
                <w:iCs/>
                <w:color w:val="202124"/>
                <w:sz w:val="22"/>
                <w:shd w:val="clear" w:color="auto" w:fill="FFFFFF"/>
              </w:rPr>
              <w:t>Существовали ли в вашей компании незавершенные или нереализованные инновации? Если да, укажите наименование этих инноваций.</w:t>
            </w:r>
            <w:r w:rsidRPr="000B0C7C">
              <w:rPr>
                <w:i/>
                <w:iCs/>
                <w:color w:val="202124"/>
                <w:sz w:val="22"/>
                <w:shd w:val="clear" w:color="auto" w:fill="FFFFFF"/>
                <w:lang w:val="kk-KZ"/>
              </w:rPr>
              <w:t xml:space="preserve"> (да, нет)</w:t>
            </w:r>
          </w:p>
          <w:p w14:paraId="6F7F36AF" w14:textId="77777777" w:rsidR="00043020" w:rsidRPr="000B0C7C" w:rsidRDefault="00043020" w:rsidP="00B20582">
            <w:pPr>
              <w:pStyle w:val="a3"/>
              <w:numPr>
                <w:ilvl w:val="0"/>
                <w:numId w:val="51"/>
              </w:numPr>
              <w:rPr>
                <w:i/>
                <w:iCs/>
                <w:color w:val="202124"/>
                <w:sz w:val="22"/>
                <w:shd w:val="clear" w:color="auto" w:fill="FFFFFF"/>
              </w:rPr>
            </w:pPr>
            <w:r w:rsidRPr="000B0C7C">
              <w:rPr>
                <w:i/>
                <w:iCs/>
                <w:color w:val="202124"/>
                <w:sz w:val="22"/>
                <w:shd w:val="clear" w:color="auto" w:fill="FFFFFF"/>
              </w:rPr>
              <w:t>Какие могли быть причины незавершенности или не реализации инноваций в вашей компании? Выберите наиболее подходящий вариант или укажите свой вариант ответа.</w:t>
            </w:r>
            <w:r>
              <w:rPr>
                <w:i/>
                <w:iCs/>
                <w:color w:val="202124"/>
                <w:sz w:val="22"/>
                <w:shd w:val="clear" w:color="auto" w:fill="FFFFFF"/>
                <w:lang w:val="kk-KZ"/>
              </w:rPr>
              <w:t xml:space="preserve">   </w:t>
            </w:r>
          </w:p>
          <w:p w14:paraId="7E61CD35" w14:textId="77777777" w:rsidR="00043020" w:rsidRPr="00043020" w:rsidRDefault="00043020" w:rsidP="00B20582">
            <w:pPr>
              <w:pStyle w:val="a3"/>
              <w:numPr>
                <w:ilvl w:val="0"/>
                <w:numId w:val="58"/>
              </w:numPr>
              <w:rPr>
                <w:sz w:val="22"/>
              </w:rPr>
            </w:pPr>
            <w:r w:rsidRPr="00043020">
              <w:rPr>
                <w:sz w:val="22"/>
              </w:rPr>
              <w:t xml:space="preserve">Недостаточное финансирование проекта </w:t>
            </w:r>
          </w:p>
          <w:p w14:paraId="090A715A" w14:textId="77777777" w:rsidR="00043020" w:rsidRPr="00043020" w:rsidRDefault="00043020" w:rsidP="00B20582">
            <w:pPr>
              <w:pStyle w:val="a3"/>
              <w:numPr>
                <w:ilvl w:val="0"/>
                <w:numId w:val="58"/>
              </w:numPr>
              <w:rPr>
                <w:sz w:val="22"/>
              </w:rPr>
            </w:pPr>
            <w:r w:rsidRPr="00043020">
              <w:rPr>
                <w:sz w:val="22"/>
              </w:rPr>
              <w:t xml:space="preserve">Отсутствие технической, правовой или организационной поддержки </w:t>
            </w:r>
          </w:p>
          <w:p w14:paraId="70AB505A" w14:textId="77777777" w:rsidR="00043020" w:rsidRPr="00043020" w:rsidRDefault="00043020" w:rsidP="00B20582">
            <w:pPr>
              <w:pStyle w:val="a3"/>
              <w:numPr>
                <w:ilvl w:val="0"/>
                <w:numId w:val="58"/>
              </w:numPr>
              <w:rPr>
                <w:sz w:val="22"/>
              </w:rPr>
            </w:pPr>
            <w:r w:rsidRPr="00043020">
              <w:rPr>
                <w:sz w:val="22"/>
              </w:rPr>
              <w:t xml:space="preserve">Изменение приоритетов компании </w:t>
            </w:r>
          </w:p>
          <w:p w14:paraId="7736718C" w14:textId="77777777" w:rsidR="00043020" w:rsidRPr="00043020" w:rsidRDefault="00043020" w:rsidP="00B20582">
            <w:pPr>
              <w:pStyle w:val="a3"/>
              <w:numPr>
                <w:ilvl w:val="0"/>
                <w:numId w:val="58"/>
              </w:numPr>
              <w:rPr>
                <w:sz w:val="22"/>
              </w:rPr>
            </w:pPr>
            <w:r w:rsidRPr="00043020">
              <w:rPr>
                <w:sz w:val="22"/>
              </w:rPr>
              <w:t xml:space="preserve">Непредвиденные трудности или препятствия </w:t>
            </w:r>
          </w:p>
          <w:p w14:paraId="7EAEF494" w14:textId="77777777" w:rsidR="00043020" w:rsidRPr="00043020" w:rsidRDefault="00043020" w:rsidP="00B20582">
            <w:pPr>
              <w:pStyle w:val="a3"/>
              <w:numPr>
                <w:ilvl w:val="0"/>
                <w:numId w:val="58"/>
              </w:numPr>
              <w:rPr>
                <w:sz w:val="22"/>
              </w:rPr>
            </w:pPr>
            <w:r w:rsidRPr="00043020">
              <w:rPr>
                <w:sz w:val="22"/>
              </w:rPr>
              <w:t xml:space="preserve">Недостаточное понимание рынка или желание клиентов </w:t>
            </w:r>
          </w:p>
          <w:p w14:paraId="18E9C130" w14:textId="77777777" w:rsidR="00043020" w:rsidRPr="00043020" w:rsidRDefault="00043020" w:rsidP="00B20582">
            <w:pPr>
              <w:pStyle w:val="a3"/>
              <w:numPr>
                <w:ilvl w:val="0"/>
                <w:numId w:val="58"/>
              </w:numPr>
              <w:rPr>
                <w:sz w:val="22"/>
              </w:rPr>
            </w:pPr>
            <w:r w:rsidRPr="00043020">
              <w:rPr>
                <w:sz w:val="22"/>
              </w:rPr>
              <w:t xml:space="preserve">Недостаток материальных ресурсов (финансы, технологии и т.д.) </w:t>
            </w:r>
          </w:p>
          <w:p w14:paraId="5AA505CF" w14:textId="77777777" w:rsidR="00043020" w:rsidRPr="00043020" w:rsidRDefault="00043020" w:rsidP="00B20582">
            <w:pPr>
              <w:pStyle w:val="a3"/>
              <w:numPr>
                <w:ilvl w:val="0"/>
                <w:numId w:val="58"/>
              </w:numPr>
              <w:rPr>
                <w:sz w:val="22"/>
              </w:rPr>
            </w:pPr>
            <w:r w:rsidRPr="00043020">
              <w:rPr>
                <w:sz w:val="22"/>
              </w:rPr>
              <w:t xml:space="preserve">Недостаток нематериальных ресурсов (кадры, инновационная культура, стратегия, образование персонала) </w:t>
            </w:r>
          </w:p>
          <w:p w14:paraId="07DCB8F5" w14:textId="77777777" w:rsidR="00043020" w:rsidRPr="00043020" w:rsidRDefault="00043020" w:rsidP="00B20582">
            <w:pPr>
              <w:pStyle w:val="a3"/>
              <w:numPr>
                <w:ilvl w:val="0"/>
                <w:numId w:val="58"/>
              </w:numPr>
              <w:rPr>
                <w:shd w:val="clear" w:color="auto" w:fill="FFFFFF"/>
              </w:rPr>
            </w:pPr>
            <w:r w:rsidRPr="00043020">
              <w:rPr>
                <w:sz w:val="22"/>
              </w:rPr>
              <w:t>Другое</w:t>
            </w:r>
            <w:r w:rsidRPr="00043020">
              <w:rPr>
                <w:sz w:val="22"/>
                <w:shd w:val="clear" w:color="auto" w:fill="F8F9FA"/>
                <w:lang w:val="kk-KZ"/>
              </w:rPr>
              <w:t xml:space="preserve"> </w:t>
            </w:r>
          </w:p>
        </w:tc>
      </w:tr>
      <w:tr w:rsidR="00043020" w:rsidRPr="00392FE6" w14:paraId="17C1F4E0" w14:textId="77777777" w:rsidTr="00BE6E4B">
        <w:trPr>
          <w:trHeight w:val="944"/>
        </w:trPr>
        <w:tc>
          <w:tcPr>
            <w:tcW w:w="9345" w:type="dxa"/>
          </w:tcPr>
          <w:p w14:paraId="3C435FB7" w14:textId="77777777" w:rsidR="00043020" w:rsidRPr="00043020" w:rsidRDefault="00043020" w:rsidP="00043020">
            <w:pPr>
              <w:ind w:firstLine="0"/>
              <w:rPr>
                <w:b/>
                <w:i/>
                <w:sz w:val="22"/>
              </w:rPr>
            </w:pPr>
            <w:r w:rsidRPr="00043020">
              <w:rPr>
                <w:b/>
                <w:i/>
                <w:sz w:val="22"/>
              </w:rPr>
              <w:t>Инновационный потенциал</w:t>
            </w:r>
          </w:p>
          <w:p w14:paraId="7FBBC3EC" w14:textId="77777777" w:rsidR="00043020" w:rsidRPr="005174F0" w:rsidRDefault="00043020" w:rsidP="00043020">
            <w:pPr>
              <w:ind w:firstLine="0"/>
              <w:rPr>
                <w:i/>
                <w:color w:val="202124"/>
                <w:sz w:val="22"/>
                <w:shd w:val="clear" w:color="auto" w:fill="FFFFFF"/>
              </w:rPr>
            </w:pPr>
            <w:r w:rsidRPr="005174F0">
              <w:rPr>
                <w:i/>
                <w:color w:val="202124"/>
                <w:sz w:val="22"/>
                <w:shd w:val="clear" w:color="auto" w:fill="FFFFFF"/>
              </w:rPr>
              <w:t>Как вы оцениваете инновационный потенциал вашей компании на текущий момент?</w:t>
            </w:r>
          </w:p>
          <w:p w14:paraId="615829C5" w14:textId="77777777" w:rsidR="00043020" w:rsidRPr="00043020" w:rsidRDefault="00043020" w:rsidP="00B20582">
            <w:pPr>
              <w:pStyle w:val="a3"/>
              <w:numPr>
                <w:ilvl w:val="0"/>
                <w:numId w:val="59"/>
              </w:numPr>
              <w:rPr>
                <w:sz w:val="22"/>
              </w:rPr>
            </w:pPr>
            <w:r w:rsidRPr="00043020">
              <w:rPr>
                <w:sz w:val="22"/>
              </w:rPr>
              <w:t xml:space="preserve">Очень низкий –Наша компания редко внедряет инновации, и у нас мало возможностей для развития новых идей </w:t>
            </w:r>
          </w:p>
          <w:p w14:paraId="0E476048" w14:textId="77777777" w:rsidR="00043020" w:rsidRPr="00043020" w:rsidRDefault="00043020" w:rsidP="00B20582">
            <w:pPr>
              <w:pStyle w:val="a3"/>
              <w:numPr>
                <w:ilvl w:val="0"/>
                <w:numId w:val="59"/>
              </w:numPr>
              <w:rPr>
                <w:sz w:val="22"/>
              </w:rPr>
            </w:pPr>
            <w:r w:rsidRPr="00043020">
              <w:rPr>
                <w:sz w:val="22"/>
              </w:rPr>
              <w:t xml:space="preserve">Низкий –Есть некоторые попытки инноваций, но они недостаточно поддерживаются или реализуются </w:t>
            </w:r>
          </w:p>
          <w:p w14:paraId="63456B58" w14:textId="77777777" w:rsidR="00043020" w:rsidRPr="00043020" w:rsidRDefault="00043020" w:rsidP="00B20582">
            <w:pPr>
              <w:pStyle w:val="a3"/>
              <w:numPr>
                <w:ilvl w:val="0"/>
                <w:numId w:val="59"/>
              </w:numPr>
              <w:rPr>
                <w:sz w:val="22"/>
              </w:rPr>
            </w:pPr>
            <w:r w:rsidRPr="00043020">
              <w:rPr>
                <w:sz w:val="22"/>
              </w:rPr>
              <w:t xml:space="preserve">Средний –Мы иногда внедряем новые идеи и подходы, но это не систематический процесс </w:t>
            </w:r>
          </w:p>
          <w:p w14:paraId="7933E9DB" w14:textId="77777777" w:rsidR="00043020" w:rsidRPr="00043020" w:rsidRDefault="00043020" w:rsidP="00B20582">
            <w:pPr>
              <w:pStyle w:val="a3"/>
              <w:numPr>
                <w:ilvl w:val="0"/>
                <w:numId w:val="59"/>
              </w:numPr>
              <w:rPr>
                <w:sz w:val="22"/>
              </w:rPr>
            </w:pPr>
            <w:r w:rsidRPr="00043020">
              <w:rPr>
                <w:sz w:val="22"/>
              </w:rPr>
              <w:t xml:space="preserve">Высокий –Наша компания активно занимается инновациями, и у нас есть хорошие примеры успешных инновационных проектов </w:t>
            </w:r>
          </w:p>
          <w:p w14:paraId="579F5D0F" w14:textId="77777777" w:rsidR="00043020" w:rsidRPr="00043020" w:rsidRDefault="00043020" w:rsidP="00B20582">
            <w:pPr>
              <w:pStyle w:val="a3"/>
              <w:numPr>
                <w:ilvl w:val="0"/>
                <w:numId w:val="59"/>
              </w:numPr>
              <w:rPr>
                <w:shd w:val="clear" w:color="auto" w:fill="F1F3F4"/>
              </w:rPr>
            </w:pPr>
            <w:r w:rsidRPr="00043020">
              <w:rPr>
                <w:sz w:val="22"/>
              </w:rPr>
              <w:t>Очень высокий –Инновации являются ключевой частью нашей корпоративной культуры, и мы постоянно находимся в поиске и внедрении новых идей и технологий</w:t>
            </w:r>
            <w:r w:rsidRPr="00043020">
              <w:rPr>
                <w:sz w:val="22"/>
                <w:shd w:val="clear" w:color="auto" w:fill="F1F3F4"/>
              </w:rPr>
              <w:t xml:space="preserve"> </w:t>
            </w:r>
          </w:p>
        </w:tc>
      </w:tr>
      <w:tr w:rsidR="00043020" w:rsidRPr="00392FE6" w14:paraId="51BA769F" w14:textId="77777777" w:rsidTr="00BE6E4B">
        <w:trPr>
          <w:trHeight w:val="944"/>
        </w:trPr>
        <w:tc>
          <w:tcPr>
            <w:tcW w:w="9345" w:type="dxa"/>
          </w:tcPr>
          <w:p w14:paraId="06DBE27C" w14:textId="77777777" w:rsidR="00043020" w:rsidRDefault="00043020" w:rsidP="00043020">
            <w:pPr>
              <w:ind w:firstLine="0"/>
              <w:rPr>
                <w:b/>
                <w:bCs/>
                <w:color w:val="202124"/>
                <w:sz w:val="22"/>
                <w:shd w:val="clear" w:color="auto" w:fill="FFFFFF"/>
              </w:rPr>
            </w:pPr>
          </w:p>
          <w:p w14:paraId="3C8C6FDC" w14:textId="77777777" w:rsidR="00043020" w:rsidRDefault="00043020" w:rsidP="00043020">
            <w:pPr>
              <w:ind w:firstLine="0"/>
              <w:rPr>
                <w:b/>
                <w:bCs/>
                <w:color w:val="202124"/>
                <w:sz w:val="22"/>
                <w:shd w:val="clear" w:color="auto" w:fill="FFFFFF"/>
              </w:rPr>
            </w:pPr>
            <w:r w:rsidRPr="00392FE6">
              <w:rPr>
                <w:b/>
                <w:bCs/>
                <w:color w:val="202124"/>
                <w:sz w:val="22"/>
                <w:shd w:val="clear" w:color="auto" w:fill="FFFFFF"/>
              </w:rPr>
              <w:t>Мы искренне благодарим вас за участие в данном опросе. Ваше мнение и вклад в заполнение анкеты играют ключевую роль в нашем исследовании. Мы ценим ваше время и стремление поделиться опытом, что является весомым вкладом в развитие научных исследований в области инновационной деятельности. Спасибо за ваше время и усилия!</w:t>
            </w:r>
          </w:p>
          <w:p w14:paraId="72AC2954" w14:textId="77777777" w:rsidR="00043020" w:rsidRPr="00392FE6" w:rsidRDefault="00043020" w:rsidP="00043020">
            <w:pPr>
              <w:ind w:firstLine="0"/>
              <w:rPr>
                <w:color w:val="202124"/>
                <w:sz w:val="22"/>
                <w:shd w:val="clear" w:color="auto" w:fill="F8F9FA"/>
              </w:rPr>
            </w:pPr>
          </w:p>
        </w:tc>
      </w:tr>
    </w:tbl>
    <w:p w14:paraId="4E8B43FB" w14:textId="699EE808" w:rsidR="007743B9" w:rsidRDefault="007743B9" w:rsidP="007743B9">
      <w:pPr>
        <w:tabs>
          <w:tab w:val="left" w:pos="851"/>
        </w:tabs>
        <w:spacing w:after="0" w:line="240" w:lineRule="auto"/>
        <w:jc w:val="center"/>
        <w:rPr>
          <w:rFonts w:ascii="Times New Roman" w:hAnsi="Times New Roman" w:cs="Times New Roman"/>
          <w:sz w:val="28"/>
          <w:szCs w:val="28"/>
          <w:lang w:val="kk-KZ"/>
        </w:rPr>
      </w:pPr>
    </w:p>
    <w:p w14:paraId="103873FE" w14:textId="657E97ED" w:rsidR="00857B3E" w:rsidRDefault="00857B3E" w:rsidP="007743B9">
      <w:pPr>
        <w:tabs>
          <w:tab w:val="left" w:pos="851"/>
        </w:tabs>
        <w:spacing w:after="0" w:line="240" w:lineRule="auto"/>
        <w:jc w:val="center"/>
        <w:rPr>
          <w:rFonts w:ascii="Times New Roman" w:hAnsi="Times New Roman" w:cs="Times New Roman"/>
          <w:sz w:val="28"/>
          <w:szCs w:val="28"/>
          <w:lang w:val="kk-KZ"/>
        </w:rPr>
      </w:pPr>
    </w:p>
    <w:p w14:paraId="7C8C49FB" w14:textId="257F02C1" w:rsidR="00312E2A" w:rsidRDefault="00857B3E">
      <w:pPr>
        <w:rPr>
          <w:rFonts w:ascii="Times New Roman" w:eastAsiaTheme="majorEastAsia" w:hAnsi="Times New Roman" w:cs="Times New Roman"/>
          <w:b/>
          <w:sz w:val="28"/>
          <w:szCs w:val="28"/>
          <w:lang w:eastAsia="ru-RU"/>
        </w:rPr>
      </w:pPr>
      <w:r>
        <w:rPr>
          <w:rFonts w:ascii="Times New Roman" w:hAnsi="Times New Roman" w:cs="Times New Roman"/>
          <w:sz w:val="28"/>
          <w:szCs w:val="28"/>
          <w:lang w:val="kk-KZ"/>
        </w:rPr>
        <w:br w:type="page"/>
      </w:r>
    </w:p>
    <w:p w14:paraId="1EE7EF2F" w14:textId="7159462A" w:rsidR="00312E2A" w:rsidRPr="00C00EF0" w:rsidRDefault="00312E2A" w:rsidP="00312E2A">
      <w:pPr>
        <w:tabs>
          <w:tab w:val="left" w:pos="851"/>
        </w:tabs>
        <w:spacing w:after="0" w:line="240" w:lineRule="auto"/>
        <w:jc w:val="center"/>
        <w:rPr>
          <w:rFonts w:ascii="Times New Roman" w:hAnsi="Times New Roman" w:cs="Times New Roman"/>
          <w:b/>
          <w:caps/>
          <w:sz w:val="28"/>
          <w:szCs w:val="28"/>
          <w:lang w:val="kk-KZ"/>
        </w:rPr>
      </w:pPr>
      <w:r w:rsidRPr="00C00EF0">
        <w:rPr>
          <w:rFonts w:ascii="Times New Roman" w:hAnsi="Times New Roman" w:cs="Times New Roman"/>
          <w:b/>
          <w:caps/>
          <w:sz w:val="28"/>
          <w:szCs w:val="28"/>
          <w:lang w:val="kk-KZ"/>
        </w:rPr>
        <w:lastRenderedPageBreak/>
        <w:t xml:space="preserve">Приложение </w:t>
      </w:r>
      <w:r w:rsidR="0084493D">
        <w:rPr>
          <w:rFonts w:ascii="Times New Roman" w:hAnsi="Times New Roman" w:cs="Times New Roman"/>
          <w:b/>
          <w:caps/>
          <w:sz w:val="28"/>
          <w:szCs w:val="28"/>
          <w:lang w:val="kk-KZ"/>
        </w:rPr>
        <w:t>Д</w:t>
      </w:r>
    </w:p>
    <w:p w14:paraId="72C818A4" w14:textId="77777777" w:rsidR="000F3C80" w:rsidRDefault="000F3C80" w:rsidP="00312E2A">
      <w:pPr>
        <w:tabs>
          <w:tab w:val="left" w:pos="851"/>
        </w:tabs>
        <w:spacing w:after="0" w:line="240" w:lineRule="auto"/>
        <w:jc w:val="center"/>
        <w:rPr>
          <w:rFonts w:ascii="Times New Roman" w:hAnsi="Times New Roman" w:cs="Times New Roman"/>
          <w:sz w:val="28"/>
          <w:szCs w:val="28"/>
          <w:lang w:val="kk-KZ"/>
        </w:rPr>
      </w:pPr>
    </w:p>
    <w:p w14:paraId="42CFA9C0" w14:textId="1CD00121" w:rsidR="00312E2A" w:rsidRDefault="00312E2A" w:rsidP="00312E2A">
      <w:pPr>
        <w:tabs>
          <w:tab w:val="left" w:pos="851"/>
        </w:tabs>
        <w:spacing w:after="0" w:line="240" w:lineRule="auto"/>
        <w:jc w:val="center"/>
        <w:rPr>
          <w:rFonts w:ascii="Times New Roman" w:hAnsi="Times New Roman" w:cs="Times New Roman"/>
          <w:sz w:val="28"/>
          <w:szCs w:val="28"/>
          <w:lang w:val="kk-KZ"/>
        </w:rPr>
      </w:pPr>
      <w:r w:rsidRPr="00C00EF0">
        <w:rPr>
          <w:rFonts w:ascii="Times New Roman" w:hAnsi="Times New Roman" w:cs="Times New Roman"/>
          <w:sz w:val="28"/>
          <w:szCs w:val="28"/>
          <w:lang w:val="kk-KZ"/>
        </w:rPr>
        <w:t>Результаты эксплораторного факторного анализа (EFA) ресурсного блока инновационного потенциала</w:t>
      </w:r>
    </w:p>
    <w:p w14:paraId="33B01620" w14:textId="77777777" w:rsidR="00312E2A" w:rsidRDefault="00312E2A" w:rsidP="00312E2A">
      <w:pPr>
        <w:tabs>
          <w:tab w:val="left" w:pos="851"/>
        </w:tabs>
        <w:spacing w:after="0" w:line="240" w:lineRule="auto"/>
        <w:rPr>
          <w:rFonts w:ascii="Times New Roman" w:hAnsi="Times New Roman" w:cs="Times New Roman"/>
          <w:sz w:val="28"/>
          <w:szCs w:val="28"/>
          <w:lang w:val="kk-KZ"/>
        </w:rPr>
      </w:pPr>
      <w:r w:rsidRPr="00C8549C">
        <w:rPr>
          <w:rFonts w:ascii="Times New Roman" w:hAnsi="Times New Roman" w:cs="Times New Roman"/>
          <w:noProof/>
          <w:sz w:val="28"/>
          <w:szCs w:val="28"/>
          <w:lang w:eastAsia="ru-RU"/>
        </w:rPr>
        <w:drawing>
          <wp:inline distT="0" distB="0" distL="0" distR="0" wp14:anchorId="513B157B" wp14:editId="4E08DEB2">
            <wp:extent cx="4162425" cy="3785399"/>
            <wp:effectExtent l="0" t="0" r="0" b="571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179774" cy="3801177"/>
                    </a:xfrm>
                    <a:prstGeom prst="rect">
                      <a:avLst/>
                    </a:prstGeom>
                  </pic:spPr>
                </pic:pic>
              </a:graphicData>
            </a:graphic>
          </wp:inline>
        </w:drawing>
      </w:r>
    </w:p>
    <w:p w14:paraId="054D8845" w14:textId="77777777" w:rsidR="00312E2A" w:rsidRDefault="00312E2A" w:rsidP="00312E2A">
      <w:pPr>
        <w:tabs>
          <w:tab w:val="left" w:pos="851"/>
        </w:tabs>
        <w:spacing w:after="0" w:line="240" w:lineRule="auto"/>
        <w:rPr>
          <w:rFonts w:ascii="Times New Roman" w:hAnsi="Times New Roman" w:cs="Times New Roman"/>
          <w:sz w:val="28"/>
          <w:szCs w:val="28"/>
          <w:lang w:val="kk-KZ"/>
        </w:rPr>
      </w:pPr>
      <w:r w:rsidRPr="00C8549C">
        <w:rPr>
          <w:rFonts w:ascii="Times New Roman" w:hAnsi="Times New Roman" w:cs="Times New Roman"/>
          <w:noProof/>
          <w:sz w:val="28"/>
          <w:szCs w:val="28"/>
          <w:lang w:eastAsia="ru-RU"/>
        </w:rPr>
        <w:drawing>
          <wp:inline distT="0" distB="0" distL="0" distR="0" wp14:anchorId="29ED588B" wp14:editId="45543E56">
            <wp:extent cx="2679700" cy="1285162"/>
            <wp:effectExtent l="0" t="0" r="635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699964" cy="1294880"/>
                    </a:xfrm>
                    <a:prstGeom prst="rect">
                      <a:avLst/>
                    </a:prstGeom>
                  </pic:spPr>
                </pic:pic>
              </a:graphicData>
            </a:graphic>
          </wp:inline>
        </w:drawing>
      </w:r>
      <w:r w:rsidRPr="00C8549C">
        <w:rPr>
          <w:rFonts w:ascii="Times New Roman" w:hAnsi="Times New Roman" w:cs="Times New Roman"/>
          <w:noProof/>
          <w:sz w:val="28"/>
          <w:szCs w:val="28"/>
          <w:lang w:eastAsia="ru-RU"/>
        </w:rPr>
        <w:drawing>
          <wp:inline distT="0" distB="0" distL="0" distR="0" wp14:anchorId="432B8689" wp14:editId="4BE843C1">
            <wp:extent cx="1874520" cy="112776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3764" r="3638" b="6308"/>
                    <a:stretch/>
                  </pic:blipFill>
                  <pic:spPr bwMode="auto">
                    <a:xfrm>
                      <a:off x="0" y="0"/>
                      <a:ext cx="1912554" cy="1150642"/>
                    </a:xfrm>
                    <a:prstGeom prst="rect">
                      <a:avLst/>
                    </a:prstGeom>
                    <a:ln>
                      <a:noFill/>
                    </a:ln>
                    <a:extLst>
                      <a:ext uri="{53640926-AAD7-44D8-BBD7-CCE9431645EC}">
                        <a14:shadowObscured xmlns:a14="http://schemas.microsoft.com/office/drawing/2010/main"/>
                      </a:ext>
                    </a:extLst>
                  </pic:spPr>
                </pic:pic>
              </a:graphicData>
            </a:graphic>
          </wp:inline>
        </w:drawing>
      </w:r>
    </w:p>
    <w:p w14:paraId="0A716CDA" w14:textId="77777777" w:rsidR="00312E2A" w:rsidRDefault="00312E2A" w:rsidP="00312E2A">
      <w:pPr>
        <w:tabs>
          <w:tab w:val="left" w:pos="851"/>
        </w:tabs>
        <w:spacing w:after="0" w:line="240" w:lineRule="auto"/>
        <w:rPr>
          <w:rFonts w:ascii="Times New Roman" w:hAnsi="Times New Roman" w:cs="Times New Roman"/>
          <w:sz w:val="28"/>
          <w:szCs w:val="28"/>
          <w:lang w:val="kk-KZ"/>
        </w:rPr>
      </w:pPr>
      <w:r w:rsidRPr="00083B78">
        <w:rPr>
          <w:rFonts w:ascii="Times New Roman" w:hAnsi="Times New Roman" w:cs="Times New Roman"/>
          <w:noProof/>
          <w:sz w:val="28"/>
          <w:szCs w:val="28"/>
          <w:lang w:eastAsia="ru-RU"/>
        </w:rPr>
        <w:drawing>
          <wp:inline distT="0" distB="0" distL="0" distR="0" wp14:anchorId="43BEE59A" wp14:editId="287C2D23">
            <wp:extent cx="1805940" cy="3125666"/>
            <wp:effectExtent l="0" t="0" r="381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817697" cy="3146015"/>
                    </a:xfrm>
                    <a:prstGeom prst="rect">
                      <a:avLst/>
                    </a:prstGeom>
                  </pic:spPr>
                </pic:pic>
              </a:graphicData>
            </a:graphic>
          </wp:inline>
        </w:drawing>
      </w:r>
      <w:r w:rsidRPr="00083B78">
        <w:rPr>
          <w:rFonts w:ascii="Times New Roman" w:hAnsi="Times New Roman" w:cs="Times New Roman"/>
          <w:noProof/>
          <w:sz w:val="28"/>
          <w:szCs w:val="28"/>
          <w:lang w:eastAsia="ru-RU"/>
        </w:rPr>
        <w:drawing>
          <wp:inline distT="0" distB="0" distL="0" distR="0" wp14:anchorId="4883C93E" wp14:editId="3EDC7261">
            <wp:extent cx="1371600" cy="1012874"/>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385237" cy="1022944"/>
                    </a:xfrm>
                    <a:prstGeom prst="rect">
                      <a:avLst/>
                    </a:prstGeom>
                  </pic:spPr>
                </pic:pic>
              </a:graphicData>
            </a:graphic>
          </wp:inline>
        </w:drawing>
      </w:r>
      <w:r>
        <w:rPr>
          <w:rFonts w:ascii="Times New Roman" w:hAnsi="Times New Roman" w:cs="Times New Roman"/>
          <w:sz w:val="28"/>
          <w:szCs w:val="28"/>
          <w:lang w:val="kk-KZ"/>
        </w:rPr>
        <w:br w:type="page"/>
      </w:r>
    </w:p>
    <w:p w14:paraId="3C6999FF" w14:textId="77777777" w:rsidR="00312E2A" w:rsidRDefault="00312E2A" w:rsidP="00312E2A">
      <w:pPr>
        <w:tabs>
          <w:tab w:val="left" w:pos="851"/>
        </w:tabs>
        <w:spacing w:after="0" w:line="240" w:lineRule="auto"/>
        <w:jc w:val="center"/>
        <w:rPr>
          <w:rFonts w:ascii="Times New Roman" w:hAnsi="Times New Roman" w:cs="Times New Roman"/>
          <w:sz w:val="28"/>
          <w:szCs w:val="28"/>
          <w:lang w:val="kk-KZ"/>
        </w:rPr>
        <w:sectPr w:rsidR="00312E2A" w:rsidSect="00CE2018">
          <w:pgSz w:w="11906" w:h="16838"/>
          <w:pgMar w:top="1134" w:right="567" w:bottom="1134" w:left="1701" w:header="709" w:footer="709" w:gutter="0"/>
          <w:cols w:space="708"/>
          <w:docGrid w:linePitch="360"/>
        </w:sectPr>
      </w:pPr>
    </w:p>
    <w:p w14:paraId="3A45AB52" w14:textId="003BA7DD" w:rsidR="00312E2A" w:rsidRPr="00C00EF0" w:rsidRDefault="0084493D" w:rsidP="00312E2A">
      <w:pPr>
        <w:tabs>
          <w:tab w:val="left" w:pos="851"/>
        </w:tabs>
        <w:spacing w:after="0" w:line="240" w:lineRule="auto"/>
        <w:jc w:val="center"/>
        <w:rPr>
          <w:rFonts w:ascii="Times New Roman" w:hAnsi="Times New Roman" w:cs="Times New Roman"/>
          <w:b/>
          <w:caps/>
          <w:sz w:val="28"/>
          <w:szCs w:val="28"/>
          <w:lang w:val="kk-KZ"/>
        </w:rPr>
      </w:pPr>
      <w:r>
        <w:rPr>
          <w:rFonts w:ascii="Times New Roman" w:hAnsi="Times New Roman" w:cs="Times New Roman"/>
          <w:b/>
          <w:caps/>
          <w:sz w:val="28"/>
          <w:szCs w:val="28"/>
          <w:lang w:val="kk-KZ"/>
        </w:rPr>
        <w:lastRenderedPageBreak/>
        <w:t>Приложение Е</w:t>
      </w:r>
    </w:p>
    <w:p w14:paraId="29E9C50B" w14:textId="77777777" w:rsidR="000F3C80" w:rsidRDefault="000F3C80" w:rsidP="00312E2A">
      <w:pPr>
        <w:tabs>
          <w:tab w:val="left" w:pos="851"/>
        </w:tabs>
        <w:spacing w:after="0" w:line="240" w:lineRule="auto"/>
        <w:jc w:val="center"/>
        <w:rPr>
          <w:rFonts w:ascii="Times New Roman" w:hAnsi="Times New Roman" w:cs="Times New Roman"/>
          <w:sz w:val="28"/>
          <w:szCs w:val="28"/>
          <w:lang w:val="kk-KZ"/>
        </w:rPr>
      </w:pPr>
    </w:p>
    <w:p w14:paraId="1DCA40E8" w14:textId="435EE0FB" w:rsidR="00312E2A" w:rsidRDefault="00312E2A" w:rsidP="00312E2A">
      <w:pPr>
        <w:tabs>
          <w:tab w:val="left" w:pos="851"/>
        </w:tabs>
        <w:spacing w:after="0" w:line="240" w:lineRule="auto"/>
        <w:jc w:val="center"/>
        <w:rPr>
          <w:rFonts w:ascii="Times New Roman" w:hAnsi="Times New Roman" w:cs="Times New Roman"/>
          <w:sz w:val="28"/>
          <w:szCs w:val="28"/>
          <w:lang w:val="kk-KZ"/>
        </w:rPr>
      </w:pPr>
      <w:r w:rsidRPr="00C00EF0">
        <w:rPr>
          <w:rFonts w:ascii="Times New Roman" w:hAnsi="Times New Roman" w:cs="Times New Roman"/>
          <w:sz w:val="28"/>
          <w:szCs w:val="28"/>
          <w:lang w:val="kk-KZ"/>
        </w:rPr>
        <w:t>Результаты структурного моделирования (SEM) ресурсного блока инновационного потенциала</w:t>
      </w:r>
    </w:p>
    <w:p w14:paraId="7328CF22" w14:textId="77777777" w:rsidR="00312E2A" w:rsidRDefault="00312E2A" w:rsidP="00312E2A">
      <w:pPr>
        <w:tabs>
          <w:tab w:val="left" w:pos="851"/>
        </w:tabs>
        <w:spacing w:after="0" w:line="240" w:lineRule="auto"/>
        <w:rPr>
          <w:rFonts w:ascii="Times New Roman" w:hAnsi="Times New Roman" w:cs="Times New Roman"/>
          <w:sz w:val="28"/>
          <w:szCs w:val="28"/>
          <w:lang w:val="kk-KZ"/>
        </w:rPr>
      </w:pPr>
    </w:p>
    <w:p w14:paraId="7F9F36CC" w14:textId="72C6F4AE" w:rsidR="00312E2A" w:rsidRDefault="00C17FB9" w:rsidP="00312E2A">
      <w:pPr>
        <w:tabs>
          <w:tab w:val="left" w:pos="851"/>
        </w:tabs>
        <w:spacing w:after="0"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721728" behindDoc="0" locked="0" layoutInCell="1" allowOverlap="1" wp14:anchorId="55A5B83D" wp14:editId="044B09CD">
                <wp:simplePos x="0" y="0"/>
                <wp:positionH relativeFrom="column">
                  <wp:posOffset>-466525</wp:posOffset>
                </wp:positionH>
                <wp:positionV relativeFrom="paragraph">
                  <wp:posOffset>1710841</wp:posOffset>
                </wp:positionV>
                <wp:extent cx="613611" cy="324852"/>
                <wp:effectExtent l="0" t="0" r="7303" b="0"/>
                <wp:wrapNone/>
                <wp:docPr id="272" name="Надпись 272"/>
                <wp:cNvGraphicFramePr/>
                <a:graphic xmlns:a="http://schemas.openxmlformats.org/drawingml/2006/main">
                  <a:graphicData uri="http://schemas.microsoft.com/office/word/2010/wordprocessingShape">
                    <wps:wsp>
                      <wps:cNvSpPr txBox="1"/>
                      <wps:spPr>
                        <a:xfrm rot="5400000">
                          <a:off x="0" y="0"/>
                          <a:ext cx="613611" cy="32485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D75E107" w14:textId="2F4DEB33" w:rsidR="001D4931" w:rsidRPr="00C17FB9" w:rsidRDefault="001D4931" w:rsidP="00C17FB9">
                            <w:pPr>
                              <w:jc w:val="center"/>
                              <w:rPr>
                                <w:rFonts w:ascii="Times New Roman" w:hAnsi="Times New Roman" w:cs="Times New Roman"/>
                                <w:color w:val="595959" w:themeColor="text1" w:themeTint="A6"/>
                                <w:lang w:val="kk-KZ"/>
                              </w:rPr>
                            </w:pPr>
                            <w:r w:rsidRPr="00C17FB9">
                              <w:rPr>
                                <w:rFonts w:ascii="Times New Roman" w:hAnsi="Times New Roman" w:cs="Times New Roman"/>
                                <w:color w:val="595959" w:themeColor="text1" w:themeTint="A6"/>
                                <w:lang w:val="kk-KZ"/>
                              </w:rPr>
                              <w:t>200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A5B83D" id="Надпись 272" o:spid="_x0000_s1215" type="#_x0000_t202" style="position:absolute;margin-left:-36.75pt;margin-top:134.7pt;width:48.3pt;height:25.6pt;rotation:90;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v/PogIAAHMFAAAOAAAAZHJzL2Uyb0RvYy54bWysVM1uEzEQviPxDpbvdJM0/Yu6qUKrIqSq&#10;rWhRz47XTlZ4bWM72Q233nkF3oEDB268QvpGfPZmQylcitjDyp75ZjzzzWcfnzSVIkvhfGl0Tvs7&#10;PUqE5qYo9Syn72/PXx1S4gPTBVNGi5yuhKcn45cvjms7EgMzN6oQjiCJ9qPa5nQegh1lmedzUTG/&#10;Y6zQcErjKhawdbOscKxG9kplg15vP6uNK6wzXHgP61nrpOOUX0rBw5WUXgSicoraQvq79J/GfzY+&#10;ZqOZY3Ze8k0Z7B+qqFipceg21RkLjCxc+UeqquTOeCPDDjdVZqQsuUg9oJt+70k3N3NmReoF5Hi7&#10;pcn/v7T8cnntSFnkdHAwoESzCkNaf1l/XX9b/1h/f7h/+EyiBzzV1o8Av7EICM1r02Dend3DGNtv&#10;pKuIM6B5b9iLXyIFbRKgwf9qy7loAuEw7vd39/t9Sjhcu4Ph4V46K2tTxZTW+fBGmIrERU4dRpqS&#10;suWFDygL0A4S4dqcl0qlsSr9mwHAaMliH229aRVWSkSc0u+EBBOp0Gjw3M2mp8qRVi7QMxroRJOS&#10;ISACJQ58ZuwmJEaLpNJnxm+D0vlGh218VWrjEkHpDonYwJJB/cWHNC0ULlt8R0VLQOQiNNMmaeFo&#10;O9ipKVaYdxop2veWn5eYwwXz4Zo5XBUYcf3DFX5SmTqnZrOiZG7cp7/ZIx4KhpeSGlcvp/7jgjlB&#10;iXqroe2j/nCItCFthnsHA2zcY8/0sUcvqlOD/qAhVJeWER9Ut5TOVHd4JSbxVLiY5jg7p6FbnoZ2&#10;wnhluJhMEgi307JwoW8sj6kjzVFlt80dc3YjxQANX5rukrLRE0W22BipzWQRjCyTXCPRLaubAeBm&#10;JxVvXqH4dDzeJ9Svt3L8EwAA//8DAFBLAwQUAAYACAAAACEAPeK9A94AAAAIAQAADwAAAGRycy9k&#10;b3ducmV2LnhtbEyPQU+DQBSE7yb+h80z8dYuFKQGeTTapB6US6s/YMs+gci+JexS0F/vetLjZCYz&#10;3xS7xfTiQqPrLCPE6wgEcW11xw3C+9thdQ/CecVa9ZYJ4Ysc7Mrrq0Ll2s58pMvJNyKUsMsVQuv9&#10;kEvp6paMcms7EAfvw45G+SDHRupRzaHc9HITRZk0quOw0KqB9i3Vn6fJIEzza8/7l6p6zrbfx0NV&#10;x9XyFCPe3iyPDyA8Lf4vDL/4AR3KwHS2E2sneoTVXRTQPcImzbYgQiIFcUZI0iQBWRby/4HyBwAA&#10;//8DAFBLAQItABQABgAIAAAAIQC2gziS/gAAAOEBAAATAAAAAAAAAAAAAAAAAAAAAABbQ29udGVu&#10;dF9UeXBlc10ueG1sUEsBAi0AFAAGAAgAAAAhADj9If/WAAAAlAEAAAsAAAAAAAAAAAAAAAAALwEA&#10;AF9yZWxzLy5yZWxzUEsBAi0AFAAGAAgAAAAhAMZ+/8+iAgAAcwUAAA4AAAAAAAAAAAAAAAAALgIA&#10;AGRycy9lMm9Eb2MueG1sUEsBAi0AFAAGAAgAAAAhAD3ivQPeAAAACAEAAA8AAAAAAAAAAAAAAAAA&#10;/AQAAGRycy9kb3ducmV2LnhtbFBLBQYAAAAABAAEAPMAAAAHBgAAAAA=&#10;" filled="f" stroked="f">
                <v:textbox>
                  <w:txbxContent>
                    <w:p w14:paraId="4D75E107" w14:textId="2F4DEB33" w:rsidR="001D4931" w:rsidRPr="00C17FB9" w:rsidRDefault="001D4931" w:rsidP="00C17FB9">
                      <w:pPr>
                        <w:jc w:val="center"/>
                        <w:rPr>
                          <w:rFonts w:ascii="Times New Roman" w:hAnsi="Times New Roman" w:cs="Times New Roman"/>
                          <w:color w:val="595959" w:themeColor="text1" w:themeTint="A6"/>
                          <w:lang w:val="kk-KZ"/>
                        </w:rPr>
                      </w:pPr>
                      <w:r w:rsidRPr="00C17FB9">
                        <w:rPr>
                          <w:rFonts w:ascii="Times New Roman" w:hAnsi="Times New Roman" w:cs="Times New Roman"/>
                          <w:color w:val="595959" w:themeColor="text1" w:themeTint="A6"/>
                          <w:lang w:val="kk-KZ"/>
                        </w:rPr>
                        <w:t>200</w:t>
                      </w:r>
                    </w:p>
                  </w:txbxContent>
                </v:textbox>
              </v:shape>
            </w:pict>
          </mc:Fallback>
        </mc:AlternateContent>
      </w:r>
      <w:r w:rsidR="00312E2A" w:rsidRPr="00083B78">
        <w:rPr>
          <w:rFonts w:ascii="Times New Roman" w:hAnsi="Times New Roman" w:cs="Times New Roman"/>
          <w:noProof/>
          <w:sz w:val="28"/>
          <w:szCs w:val="28"/>
          <w:lang w:eastAsia="ru-RU"/>
        </w:rPr>
        <w:drawing>
          <wp:inline distT="0" distB="0" distL="0" distR="0" wp14:anchorId="6C4D729C" wp14:editId="2A1CC4D6">
            <wp:extent cx="9235905" cy="4368800"/>
            <wp:effectExtent l="0" t="0" r="381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9290343" cy="4394550"/>
                    </a:xfrm>
                    <a:prstGeom prst="rect">
                      <a:avLst/>
                    </a:prstGeom>
                  </pic:spPr>
                </pic:pic>
              </a:graphicData>
            </a:graphic>
          </wp:inline>
        </w:drawing>
      </w:r>
    </w:p>
    <w:p w14:paraId="1A061C3C" w14:textId="6AF1108D" w:rsidR="00312E2A" w:rsidRPr="00083B78" w:rsidRDefault="00C465CD" w:rsidP="00312E2A">
      <w:pPr>
        <w:tabs>
          <w:tab w:val="left" w:pos="851"/>
        </w:tabs>
        <w:spacing w:after="0"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14:anchorId="3D14D660" wp14:editId="4D0C561E">
                <wp:simplePos x="0" y="0"/>
                <wp:positionH relativeFrom="column">
                  <wp:posOffset>4446270</wp:posOffset>
                </wp:positionH>
                <wp:positionV relativeFrom="paragraph">
                  <wp:posOffset>438785</wp:posOffset>
                </wp:positionV>
                <wp:extent cx="327660" cy="327660"/>
                <wp:effectExtent l="0" t="0" r="15240" b="15240"/>
                <wp:wrapNone/>
                <wp:docPr id="138" name="Прямоугольник 138"/>
                <wp:cNvGraphicFramePr/>
                <a:graphic xmlns:a="http://schemas.openxmlformats.org/drawingml/2006/main">
                  <a:graphicData uri="http://schemas.microsoft.com/office/word/2010/wordprocessingShape">
                    <wps:wsp>
                      <wps:cNvSpPr/>
                      <wps:spPr>
                        <a:xfrm>
                          <a:off x="0" y="0"/>
                          <a:ext cx="327660" cy="3276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14A4D9" id="Прямоугольник 138" o:spid="_x0000_s1026" style="position:absolute;margin-left:350.1pt;margin-top:34.55pt;width:25.8pt;height:25.8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zv8tQIAAMAFAAAOAAAAZHJzL2Uyb0RvYy54bWysVM1uEzEQviPxDpbvdJP0D6JuqqhVEVLV&#10;VrSoZ8drZ1fyeoztZBNOSFyReAQeggvip8+weSPG3p+UUnFA5ODM7Mx8nvk8M0fHq1KRpbCuAJ3S&#10;4c6AEqE5ZIWep/TNzdmz55Q4z3TGFGiR0rVw9Hjy9MlRZcZiBDmoTFiCINqNK5PS3HszThLHc1Ey&#10;twNGaDRKsCXzqNp5kllWIXqpktFgcJBUYDNjgQvn8OtpY6STiC+l4P5SSic8USnF3Hw8bTxn4Uwm&#10;R2w8t8zkBW/TYP+QRckKjZf2UKfMM7KwxR9QZcEtOJB+h0OZgJQFF7EGrGY4eFDNdc6MiLUgOc70&#10;NLn/B8svlleWFBm+3S4+lWYlPlL9efN+86n+Ud9tPtRf6rv6++Zj/bP+Wn8jwQs5q4wbY+i1ubKt&#10;5lAMBKykLcM/lkZWked1z7NYecLx4+7o8OAAX4OjqZURJdkGG+v8SwElCUJKLT5jZJctz51vXDuX&#10;cJcDVWRnhVJRCa0jTpQlS4aPPpsPQ8II/puX0v8UiDAhMgn1NxVHya+VCHhKvxYS2cQaRzHh2Mfb&#10;ZBjnQvthY8pZJpoc9wf467Ls0o85R8CALLG6HrsF6DwbkA67Kbb1D6EijkEfPPhbYk1wHxFvBu37&#10;4LLQYB8DUFhVe3Pj35HUUBNYmkG2xl6z0AyhM/yswOc9Z85fMYtThx2Bm8Rf4iEVVCmFVqIkB/vu&#10;se/BH4cBrZRUOMUpdW8XzApK1CuNY/JiuLcXxj4qe/uHI1TsfcvsvkUvyhPAnhnizjI8isHfq06U&#10;FspbXDjTcCuamOZ4d0q5t51y4pvtgiuLi+k0uuGoG+bP9bXhATywGtr3ZnXLrGl73ONwXEA38Wz8&#10;oNUb3xCpYbrwIIs4B1teW75xTcTGaVda2EP39ei1XbyTXwAAAP//AwBQSwMEFAAGAAgAAAAhALk0&#10;FITfAAAACgEAAA8AAABkcnMvZG93bnJldi54bWxMj0FLxDAQhe+C/yGM4M1NWnDrdpsuIooIHnRX&#10;cI/ZdtIWm0lp0m79944nPQ7z8d73it3iejHjGDpPGpKVAoFU+bqjRsPH4enmDkSIhmrTe0IN3xhg&#10;V15eFCav/Znecd7HRnAIhdxoaGMccilD1aIzYeUHJP5ZPzoT+RwbWY/mzOGul6lSa+lMR9zQmgEf&#10;Wqy+9pPTcLTm+fD4El6lTWe76d6mT5tNWl9fLfdbEBGX+AfDrz6rQ8lOJz9RHUSvIVMqZVTDepOA&#10;YCC7TXjLiclUZSDLQv6fUP4AAAD//wMAUEsBAi0AFAAGAAgAAAAhALaDOJL+AAAA4QEAABMAAAAA&#10;AAAAAAAAAAAAAAAAAFtDb250ZW50X1R5cGVzXS54bWxQSwECLQAUAAYACAAAACEAOP0h/9YAAACU&#10;AQAACwAAAAAAAAAAAAAAAAAvAQAAX3JlbHMvLnJlbHNQSwECLQAUAAYACAAAACEAcdc7/LUCAADA&#10;BQAADgAAAAAAAAAAAAAAAAAuAgAAZHJzL2Uyb0RvYy54bWxQSwECLQAUAAYACAAAACEAuTQUhN8A&#10;AAAKAQAADwAAAAAAAAAAAAAAAAAPBQAAZHJzL2Rvd25yZXYueG1sUEsFBgAAAAAEAAQA8wAAABsG&#10;AAAAAA==&#10;" fillcolor="white [3212]" strokecolor="white [3212]" strokeweight="1pt"/>
            </w:pict>
          </mc:Fallback>
        </mc:AlternateContent>
      </w:r>
    </w:p>
    <w:p w14:paraId="7775E177" w14:textId="77777777" w:rsidR="00312E2A" w:rsidRDefault="00312E2A" w:rsidP="00312E2A">
      <w:pPr>
        <w:tabs>
          <w:tab w:val="left" w:pos="851"/>
        </w:tabs>
        <w:spacing w:after="0" w:line="240" w:lineRule="auto"/>
        <w:rPr>
          <w:rFonts w:ascii="Times New Roman" w:hAnsi="Times New Roman" w:cs="Times New Roman"/>
          <w:sz w:val="28"/>
          <w:szCs w:val="28"/>
          <w:lang w:val="kk-KZ"/>
        </w:rPr>
      </w:pPr>
      <w:r w:rsidRPr="00083B78">
        <w:rPr>
          <w:rFonts w:ascii="Times New Roman" w:hAnsi="Times New Roman" w:cs="Times New Roman"/>
          <w:noProof/>
          <w:sz w:val="28"/>
          <w:szCs w:val="28"/>
          <w:lang w:eastAsia="ru-RU"/>
        </w:rPr>
        <w:lastRenderedPageBreak/>
        <w:drawing>
          <wp:anchor distT="0" distB="0" distL="114300" distR="114300" simplePos="0" relativeHeight="251666432" behindDoc="1" locked="0" layoutInCell="1" allowOverlap="1" wp14:anchorId="221C565D" wp14:editId="2CB8182A">
            <wp:simplePos x="0" y="0"/>
            <wp:positionH relativeFrom="column">
              <wp:posOffset>264795</wp:posOffset>
            </wp:positionH>
            <wp:positionV relativeFrom="paragraph">
              <wp:posOffset>0</wp:posOffset>
            </wp:positionV>
            <wp:extent cx="2124371" cy="1105054"/>
            <wp:effectExtent l="0" t="0" r="9525" b="0"/>
            <wp:wrapTight wrapText="bothSides">
              <wp:wrapPolygon edited="0">
                <wp:start x="0" y="0"/>
                <wp:lineTo x="0" y="21228"/>
                <wp:lineTo x="21503" y="21228"/>
                <wp:lineTo x="21503" y="0"/>
                <wp:lineTo x="0" y="0"/>
              </wp:wrapPolygon>
            </wp:wrapTight>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2124371" cy="1105054"/>
                    </a:xfrm>
                    <a:prstGeom prst="rect">
                      <a:avLst/>
                    </a:prstGeom>
                  </pic:spPr>
                </pic:pic>
              </a:graphicData>
            </a:graphic>
            <wp14:sizeRelH relativeFrom="page">
              <wp14:pctWidth>0</wp14:pctWidth>
            </wp14:sizeRelH>
            <wp14:sizeRelV relativeFrom="page">
              <wp14:pctHeight>0</wp14:pctHeight>
            </wp14:sizeRelV>
          </wp:anchor>
        </w:drawing>
      </w:r>
      <w:r w:rsidRPr="00F44826">
        <w:rPr>
          <w:noProof/>
          <w:lang w:eastAsia="ru-RU"/>
        </w:rPr>
        <w:drawing>
          <wp:anchor distT="0" distB="0" distL="114300" distR="114300" simplePos="0" relativeHeight="251669504" behindDoc="1" locked="0" layoutInCell="1" allowOverlap="1" wp14:anchorId="45DBD733" wp14:editId="2D83D59B">
            <wp:simplePos x="0" y="0"/>
            <wp:positionH relativeFrom="column">
              <wp:posOffset>3072765</wp:posOffset>
            </wp:positionH>
            <wp:positionV relativeFrom="paragraph">
              <wp:posOffset>0</wp:posOffset>
            </wp:positionV>
            <wp:extent cx="5064760" cy="1571625"/>
            <wp:effectExtent l="0" t="0" r="2540" b="9525"/>
            <wp:wrapTight wrapText="bothSides">
              <wp:wrapPolygon edited="0">
                <wp:start x="0" y="0"/>
                <wp:lineTo x="0" y="21469"/>
                <wp:lineTo x="21530" y="21469"/>
                <wp:lineTo x="21530" y="0"/>
                <wp:lineTo x="0" y="0"/>
              </wp:wrapPolygon>
            </wp:wrapTight>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5064760" cy="15716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lang w:val="kk-KZ"/>
        </w:rPr>
        <w:t xml:space="preserve"> </w:t>
      </w:r>
    </w:p>
    <w:p w14:paraId="005790DD" w14:textId="77777777" w:rsidR="00312E2A" w:rsidRPr="00C8549C" w:rsidRDefault="00312E2A" w:rsidP="00312E2A">
      <w:pPr>
        <w:tabs>
          <w:tab w:val="left" w:pos="851"/>
        </w:tabs>
        <w:spacing w:after="0" w:line="240" w:lineRule="auto"/>
        <w:rPr>
          <w:rFonts w:ascii="Times New Roman" w:hAnsi="Times New Roman" w:cs="Times New Roman"/>
          <w:sz w:val="28"/>
          <w:szCs w:val="28"/>
          <w:lang w:val="kk-KZ"/>
        </w:rPr>
      </w:pPr>
    </w:p>
    <w:p w14:paraId="3A5D20DD" w14:textId="77777777" w:rsidR="00312E2A" w:rsidRDefault="00312E2A" w:rsidP="00312E2A">
      <w:r w:rsidRPr="00083B78">
        <w:rPr>
          <w:rFonts w:ascii="Times New Roman" w:hAnsi="Times New Roman" w:cs="Times New Roman"/>
          <w:noProof/>
          <w:sz w:val="28"/>
          <w:szCs w:val="28"/>
          <w:lang w:eastAsia="ru-RU"/>
        </w:rPr>
        <w:drawing>
          <wp:anchor distT="0" distB="0" distL="114300" distR="114300" simplePos="0" relativeHeight="251667456" behindDoc="1" locked="0" layoutInCell="1" allowOverlap="1" wp14:anchorId="0F605CC0" wp14:editId="35A666B0">
            <wp:simplePos x="0" y="0"/>
            <wp:positionH relativeFrom="column">
              <wp:posOffset>6153150</wp:posOffset>
            </wp:positionH>
            <wp:positionV relativeFrom="paragraph">
              <wp:posOffset>1976120</wp:posOffset>
            </wp:positionV>
            <wp:extent cx="2552700" cy="1884136"/>
            <wp:effectExtent l="0" t="0" r="0" b="1905"/>
            <wp:wrapTight wrapText="bothSides">
              <wp:wrapPolygon edited="0">
                <wp:start x="0" y="0"/>
                <wp:lineTo x="0" y="21403"/>
                <wp:lineTo x="21439" y="21403"/>
                <wp:lineTo x="21439" y="0"/>
                <wp:lineTo x="0" y="0"/>
              </wp:wrapPolygon>
            </wp:wrapTight>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2552700" cy="1884136"/>
                    </a:xfrm>
                    <a:prstGeom prst="rect">
                      <a:avLst/>
                    </a:prstGeom>
                  </pic:spPr>
                </pic:pic>
              </a:graphicData>
            </a:graphic>
            <wp14:sizeRelH relativeFrom="page">
              <wp14:pctWidth>0</wp14:pctWidth>
            </wp14:sizeRelH>
            <wp14:sizeRelV relativeFrom="page">
              <wp14:pctHeight>0</wp14:pctHeight>
            </wp14:sizeRelV>
          </wp:anchor>
        </w:drawing>
      </w:r>
      <w:r w:rsidRPr="00083B78">
        <w:rPr>
          <w:rFonts w:ascii="Times New Roman" w:hAnsi="Times New Roman" w:cs="Times New Roman"/>
          <w:noProof/>
          <w:sz w:val="28"/>
          <w:szCs w:val="28"/>
          <w:lang w:eastAsia="ru-RU"/>
        </w:rPr>
        <w:drawing>
          <wp:anchor distT="0" distB="0" distL="114300" distR="114300" simplePos="0" relativeHeight="251668480" behindDoc="1" locked="0" layoutInCell="1" allowOverlap="1" wp14:anchorId="7DB05CB8" wp14:editId="4BBE3D70">
            <wp:simplePos x="0" y="0"/>
            <wp:positionH relativeFrom="column">
              <wp:posOffset>264795</wp:posOffset>
            </wp:positionH>
            <wp:positionV relativeFrom="paragraph">
              <wp:posOffset>1240790</wp:posOffset>
            </wp:positionV>
            <wp:extent cx="5345775" cy="3429000"/>
            <wp:effectExtent l="0" t="0" r="7620" b="0"/>
            <wp:wrapTight wrapText="bothSides">
              <wp:wrapPolygon edited="0">
                <wp:start x="0" y="0"/>
                <wp:lineTo x="0" y="21480"/>
                <wp:lineTo x="21554" y="21480"/>
                <wp:lineTo x="21554" y="0"/>
                <wp:lineTo x="0" y="0"/>
              </wp:wrapPolygon>
            </wp:wrapTight>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5345775" cy="3429000"/>
                    </a:xfrm>
                    <a:prstGeom prst="rect">
                      <a:avLst/>
                    </a:prstGeom>
                  </pic:spPr>
                </pic:pic>
              </a:graphicData>
            </a:graphic>
            <wp14:sizeRelH relativeFrom="page">
              <wp14:pctWidth>0</wp14:pctWidth>
            </wp14:sizeRelH>
            <wp14:sizeRelV relativeFrom="page">
              <wp14:pctHeight>0</wp14:pctHeight>
            </wp14:sizeRelV>
          </wp:anchor>
        </w:drawing>
      </w:r>
    </w:p>
    <w:p w14:paraId="21C28911" w14:textId="77777777" w:rsidR="00312E2A" w:rsidRPr="006745F8" w:rsidRDefault="00312E2A" w:rsidP="00312E2A"/>
    <w:p w14:paraId="3F111DAE" w14:textId="77777777" w:rsidR="00312E2A" w:rsidRPr="006745F8" w:rsidRDefault="00312E2A" w:rsidP="00312E2A"/>
    <w:p w14:paraId="0EAC6126" w14:textId="77777777" w:rsidR="00312E2A" w:rsidRPr="006745F8" w:rsidRDefault="00312E2A" w:rsidP="00312E2A"/>
    <w:p w14:paraId="0617A67B" w14:textId="77777777" w:rsidR="00312E2A" w:rsidRPr="006745F8" w:rsidRDefault="00312E2A" w:rsidP="00312E2A"/>
    <w:p w14:paraId="545A6E96" w14:textId="2E366D2C" w:rsidR="00312E2A" w:rsidRPr="006745F8" w:rsidRDefault="00312E2A" w:rsidP="00312E2A"/>
    <w:p w14:paraId="2C514949" w14:textId="698685B8" w:rsidR="00312E2A" w:rsidRPr="006745F8" w:rsidRDefault="00312E2A" w:rsidP="00312E2A"/>
    <w:p w14:paraId="4575325C" w14:textId="18B9A6F6" w:rsidR="00312E2A" w:rsidRPr="006745F8" w:rsidRDefault="00C17FB9" w:rsidP="00312E2A">
      <w:r>
        <w:rPr>
          <w:rFonts w:ascii="Times New Roman" w:hAnsi="Times New Roman" w:cs="Times New Roman"/>
          <w:noProof/>
          <w:sz w:val="28"/>
          <w:szCs w:val="28"/>
          <w:lang w:eastAsia="ru-RU"/>
        </w:rPr>
        <mc:AlternateContent>
          <mc:Choice Requires="wps">
            <w:drawing>
              <wp:anchor distT="0" distB="0" distL="114300" distR="114300" simplePos="0" relativeHeight="251723776" behindDoc="0" locked="0" layoutInCell="1" allowOverlap="1" wp14:anchorId="26D4D2BA" wp14:editId="625CF1BF">
                <wp:simplePos x="0" y="0"/>
                <wp:positionH relativeFrom="column">
                  <wp:posOffset>-325120</wp:posOffset>
                </wp:positionH>
                <wp:positionV relativeFrom="paragraph">
                  <wp:posOffset>124460</wp:posOffset>
                </wp:positionV>
                <wp:extent cx="613410" cy="324485"/>
                <wp:effectExtent l="0" t="0" r="7303" b="0"/>
                <wp:wrapNone/>
                <wp:docPr id="273" name="Надпись 273"/>
                <wp:cNvGraphicFramePr/>
                <a:graphic xmlns:a="http://schemas.openxmlformats.org/drawingml/2006/main">
                  <a:graphicData uri="http://schemas.microsoft.com/office/word/2010/wordprocessingShape">
                    <wps:wsp>
                      <wps:cNvSpPr txBox="1"/>
                      <wps:spPr>
                        <a:xfrm rot="5400000">
                          <a:off x="0" y="0"/>
                          <a:ext cx="613410" cy="3244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5FC71E4" w14:textId="4BCC8EB7" w:rsidR="001D4931" w:rsidRPr="00C17FB9" w:rsidRDefault="001D4931" w:rsidP="00C17FB9">
                            <w:pPr>
                              <w:jc w:val="center"/>
                              <w:rPr>
                                <w:rFonts w:ascii="Times New Roman" w:hAnsi="Times New Roman" w:cs="Times New Roman"/>
                                <w:color w:val="595959" w:themeColor="text1" w:themeTint="A6"/>
                                <w:lang w:val="kk-KZ"/>
                              </w:rPr>
                            </w:pPr>
                            <w:r w:rsidRPr="00C17FB9">
                              <w:rPr>
                                <w:rFonts w:ascii="Times New Roman" w:hAnsi="Times New Roman" w:cs="Times New Roman"/>
                                <w:color w:val="595959" w:themeColor="text1" w:themeTint="A6"/>
                                <w:lang w:val="kk-KZ"/>
                              </w:rPr>
                              <w:t>20</w:t>
                            </w:r>
                            <w:r>
                              <w:rPr>
                                <w:rFonts w:ascii="Times New Roman" w:hAnsi="Times New Roman" w:cs="Times New Roman"/>
                                <w:color w:val="595959" w:themeColor="text1" w:themeTint="A6"/>
                                <w:lang w:val="kk-KZ"/>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D4D2BA" id="Надпись 273" o:spid="_x0000_s1216" type="#_x0000_t202" style="position:absolute;margin-left:-25.6pt;margin-top:9.8pt;width:48.3pt;height:25.55pt;rotation:90;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ILOoAIAAHMFAAAOAAAAZHJzL2Uyb0RvYy54bWysVMtuEzEU3SPxD5b3dPKYvqJOqtCqCKlq&#10;K1rUteOxkxG2r7GdzIRd9/wC/8CCBTt+If0jrj2ZEAqbImYxsu/j+N5zj31y2mhFlsL5CkxB+3s9&#10;SoThUFZmVtD3dxevjijxgZmSKTCioCvh6en45YuT2o7EAOagSuEIghg/qm1B5yHYUZZ5Phea+T2w&#10;wqBTgtMs4NbNstKxGtG1yga93kFWgyutAy68R+t566TjhC+l4OFaSi8CUQXF2kL6u/Sfxn82PmGj&#10;mWN2XvFNGewfqtCsMnjoFuqcBUYWrvoDSlfcgQcZ9jjoDKSsuEg9YDf93pNubufMitQLkuPtlib/&#10;/2D51fLGkaos6OBwSIlhGoe0/rL+uv62/rH+/vjw+JlED/JUWz/C8FuLCaF5DQ3Ou7N7NMb2G+k0&#10;cYA07+e9+CVSsE2C0cj/asu5aALhaDzoD/M+eji6hoM8P9qPmFkLFSGt8+GNAE3ioqAOR5pA2fLS&#10;hza0C4nhBi4qpdJYlfnNgJjRksU+2nrTKqyUiHHKvBMSmUiFRoPnbjY9U460ckE9Y5mdaBIYJsRA&#10;iQc+M3eTErNFUukz87dJ6XwwYZuvKwMuEZTukIgNLBmqv/yQpoWFyza+o6IlIHIRmmmTtHA86AY7&#10;hXKF804jxfa95RcVzuGS+XDDHF4VNOL1D9f4kwrqgsJmRckc3Ke/2WM8Khi9lNR49QrqPy6YE5So&#10;twa1fdzPc4QNaZPvHw5w43Y9012PWegzwP76qbq0jPFBdUvpQN/jKzGJp6KLGY5nFzR0y7PQThhf&#10;GS4mkxSEt9OycGluLY/Qkeaosrvmnjm7kWJADV9Bd0nZ6Iki29iYaWCyCCCrJNdIdMvqZgB4s5Pg&#10;N69QfDp29ynq11s5/gkAAP//AwBQSwMEFAAGAAgAAAAhAOjltpLfAAAACAEAAA8AAABkcnMvZG93&#10;bnJldi54bWxMj8FOg0AQhu8mvsNmTLy1CzTFlrI02qQelEurD7BlRyCys4RdCvr0jie9zWS+/PP9&#10;+X62nbji4FtHCuJlBAKpcqalWsH723GxAeGDJqM7R6jgCz3si9ubXGfGTXTC6znUgkPIZ1pBE0Kf&#10;SemrBq32S9cj8e3DDVYHXodamkFPHG47mURRKq1uiT80usdDg9XnebQKxum1o8NLWT6nD9+nY1nF&#10;5fwUK3V/Nz/uQAScwx8Mv/qsDgU7XdxIxotOwSLZrBnlYRWDYCBJUhAXBdvVGmSRy/8Fih8AAAD/&#10;/wMAUEsBAi0AFAAGAAgAAAAhALaDOJL+AAAA4QEAABMAAAAAAAAAAAAAAAAAAAAAAFtDb250ZW50&#10;X1R5cGVzXS54bWxQSwECLQAUAAYACAAAACEAOP0h/9YAAACUAQAACwAAAAAAAAAAAAAAAAAvAQAA&#10;X3JlbHMvLnJlbHNQSwECLQAUAAYACAAAACEAA3yCzqACAABzBQAADgAAAAAAAAAAAAAAAAAuAgAA&#10;ZHJzL2Uyb0RvYy54bWxQSwECLQAUAAYACAAAACEA6OW2kt8AAAAIAQAADwAAAAAAAAAAAAAAAAD6&#10;BAAAZHJzL2Rvd25yZXYueG1sUEsFBgAAAAAEAAQA8wAAAAYGAAAAAA==&#10;" filled="f" stroked="f">
                <v:textbox>
                  <w:txbxContent>
                    <w:p w14:paraId="25FC71E4" w14:textId="4BCC8EB7" w:rsidR="001D4931" w:rsidRPr="00C17FB9" w:rsidRDefault="001D4931" w:rsidP="00C17FB9">
                      <w:pPr>
                        <w:jc w:val="center"/>
                        <w:rPr>
                          <w:rFonts w:ascii="Times New Roman" w:hAnsi="Times New Roman" w:cs="Times New Roman"/>
                          <w:color w:val="595959" w:themeColor="text1" w:themeTint="A6"/>
                          <w:lang w:val="kk-KZ"/>
                        </w:rPr>
                      </w:pPr>
                      <w:r w:rsidRPr="00C17FB9">
                        <w:rPr>
                          <w:rFonts w:ascii="Times New Roman" w:hAnsi="Times New Roman" w:cs="Times New Roman"/>
                          <w:color w:val="595959" w:themeColor="text1" w:themeTint="A6"/>
                          <w:lang w:val="kk-KZ"/>
                        </w:rPr>
                        <w:t>20</w:t>
                      </w:r>
                      <w:r>
                        <w:rPr>
                          <w:rFonts w:ascii="Times New Roman" w:hAnsi="Times New Roman" w:cs="Times New Roman"/>
                          <w:color w:val="595959" w:themeColor="text1" w:themeTint="A6"/>
                          <w:lang w:val="kk-KZ"/>
                        </w:rPr>
                        <w:t>1</w:t>
                      </w:r>
                    </w:p>
                  </w:txbxContent>
                </v:textbox>
              </v:shape>
            </w:pict>
          </mc:Fallback>
        </mc:AlternateContent>
      </w:r>
    </w:p>
    <w:p w14:paraId="3C19E025" w14:textId="081BDCAE" w:rsidR="00312E2A" w:rsidRPr="006745F8" w:rsidRDefault="00312E2A" w:rsidP="00312E2A"/>
    <w:p w14:paraId="47B8B46C" w14:textId="7A027486" w:rsidR="00312E2A" w:rsidRPr="006745F8" w:rsidRDefault="00312E2A" w:rsidP="00312E2A"/>
    <w:p w14:paraId="13EE69EE" w14:textId="1731D237" w:rsidR="00312E2A" w:rsidRPr="006745F8" w:rsidRDefault="00312E2A" w:rsidP="00312E2A"/>
    <w:p w14:paraId="3C628902" w14:textId="77777777" w:rsidR="00312E2A" w:rsidRPr="006745F8" w:rsidRDefault="00312E2A" w:rsidP="00312E2A"/>
    <w:p w14:paraId="2B2ED863" w14:textId="77777777" w:rsidR="00312E2A" w:rsidRPr="006745F8" w:rsidRDefault="00312E2A" w:rsidP="00312E2A"/>
    <w:p w14:paraId="3F300C75" w14:textId="77777777" w:rsidR="00312E2A" w:rsidRPr="006745F8" w:rsidRDefault="00312E2A" w:rsidP="00312E2A"/>
    <w:p w14:paraId="315AAAB7" w14:textId="77777777" w:rsidR="00312E2A" w:rsidRPr="006745F8" w:rsidRDefault="00312E2A" w:rsidP="00312E2A"/>
    <w:p w14:paraId="7E53E985" w14:textId="77777777" w:rsidR="00312E2A" w:rsidRPr="006745F8" w:rsidRDefault="00312E2A" w:rsidP="00312E2A"/>
    <w:p w14:paraId="7432989C" w14:textId="77777777" w:rsidR="00312E2A" w:rsidRDefault="00312E2A" w:rsidP="00312E2A"/>
    <w:p w14:paraId="5C6591CF" w14:textId="2CDC4116" w:rsidR="00312E2A" w:rsidRDefault="00C465CD" w:rsidP="00312E2A">
      <w:pPr>
        <w:tabs>
          <w:tab w:val="left" w:pos="2580"/>
        </w:tabs>
      </w:pPr>
      <w:r>
        <w:rPr>
          <w:noProof/>
          <w:lang w:eastAsia="ru-RU"/>
        </w:rPr>
        <mc:AlternateContent>
          <mc:Choice Requires="wps">
            <w:drawing>
              <wp:anchor distT="0" distB="0" distL="114300" distR="114300" simplePos="0" relativeHeight="251698176" behindDoc="0" locked="0" layoutInCell="1" allowOverlap="1" wp14:anchorId="17977CD7" wp14:editId="397EBB27">
                <wp:simplePos x="0" y="0"/>
                <wp:positionH relativeFrom="column">
                  <wp:posOffset>4484370</wp:posOffset>
                </wp:positionH>
                <wp:positionV relativeFrom="paragraph">
                  <wp:posOffset>398780</wp:posOffset>
                </wp:positionV>
                <wp:extent cx="358140" cy="281940"/>
                <wp:effectExtent l="0" t="0" r="22860" b="22860"/>
                <wp:wrapNone/>
                <wp:docPr id="164" name="Прямоугольник 164"/>
                <wp:cNvGraphicFramePr/>
                <a:graphic xmlns:a="http://schemas.openxmlformats.org/drawingml/2006/main">
                  <a:graphicData uri="http://schemas.microsoft.com/office/word/2010/wordprocessingShape">
                    <wps:wsp>
                      <wps:cNvSpPr/>
                      <wps:spPr>
                        <a:xfrm>
                          <a:off x="0" y="0"/>
                          <a:ext cx="358140" cy="2819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FA18DF" id="Прямоугольник 164" o:spid="_x0000_s1026" style="position:absolute;margin-left:353.1pt;margin-top:31.4pt;width:28.2pt;height:22.2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KhtwIAAMAFAAAOAAAAZHJzL2Uyb0RvYy54bWysVM1OGzEQvlfqO1i+l82mgULEBkUgqkoI&#10;UKHi7HjtrCWv7dpONumpUq9IfYQ+RC9Vf3iGzRt17P0JpagH1BycmZ2ZzzOfZ+bwaFVKtGTWCa0y&#10;nO4MMGKK6lyoeYbfXZ++2MfIeaJyIrViGV4zh48mz58dVmbMhrrQMmcWAYhy48pkuPDejJPE0YKV&#10;xO1owxQYubYl8aDaeZJbUgF6KZPhYLCXVNrmxmrKnIOvJ40RTyI+54z6C84d80hmGHLz8bTxnIUz&#10;mRyS8dwSUwjapkGekEVJhIJLe6gT4glaWPEXVCmo1U5zv0N1mWjOBWWxBqgmHTyo5qoghsVagBxn&#10;eprc/4Ol58tLi0QOb7c3wkiREh6p/rL5uPlc/6zvNp/qr/Vd/WNzW/+qv9XfUfACzirjxhB6ZS5t&#10;qzkQAwErbsvwD6WhVeR53fPMVh5R+Phydz8dwWtQMA330wOQASXZBhvr/GumSxSEDFt4xsguWZ45&#10;37h2LuEup6XIT4WUUQmtw46lRUsCjz6bpy34H15SPSkQcgyRSai/qThKfi1ZwJPqLePAJtQ4jAnH&#10;Pt4mQyhlyqeNqSA5a3LcHcCvy7JLPxISAQMyh+p67Bag82xAOuyGntY/hLI4Bn3w4F+JNcF9RLxZ&#10;K98Hl0Jp+xiAhKramxv/jqSGmsDSTOdr6DWrmyF0hp4KeN4z4vwlsTB10BGwSfwFHFzqKsO6lTAq&#10;tP3w2PfgD8MAVowqmOIMu/cLYhlG8o2CMTlIR6HRfFRGu6+GoNj7ltl9i1qUxxp6JoWdZWgUg7+X&#10;ncitLm9g4UzDrWAiisLdGabedsqxb7YLrCzKptPoBqNuiD9TV4YG8MBqaN/r1Q2xpu1xD8NxrruJ&#10;J+MHrd74hkilpwuvuYhzsOW15RvWRGycdqWFPXRfj17bxTv5DQAA//8DAFBLAwQUAAYACAAAACEA&#10;hKm/K94AAAAKAQAADwAAAGRycy9kb3ducmV2LnhtbEyPQUvEMBCF74L/IYzgzU3MIdXadBFRRPCg&#10;u4Ies82kLTZJadJu/feOJ/c4zMd736u2qx/YglPqY9BwvRHAMDTR9qHV8LF/uroBlrIJ1gwxoIYf&#10;TLCtz88qU9p4DO+47HLLKCSk0mjoch5LzlPToTdpE0cM9HNx8ibTObXcTuZI4X7gUgjFvekDNXRm&#10;xIcOm+/d7DV8OfO8f3xJr9zJxd32b/OnK2atLy/W+ztgGdf8D8OfPqlDTU6HOAeb2KChEEoSqkFJ&#10;mkBAoaQCdiBSFBJ4XfHTCfUvAAAA//8DAFBLAQItABQABgAIAAAAIQC2gziS/gAAAOEBAAATAAAA&#10;AAAAAAAAAAAAAAAAAABbQ29udGVudF9UeXBlc10ueG1sUEsBAi0AFAAGAAgAAAAhADj9If/WAAAA&#10;lAEAAAsAAAAAAAAAAAAAAAAALwEAAF9yZWxzLy5yZWxzUEsBAi0AFAAGAAgAAAAhACsXQqG3AgAA&#10;wAUAAA4AAAAAAAAAAAAAAAAALgIAAGRycy9lMm9Eb2MueG1sUEsBAi0AFAAGAAgAAAAhAISpvyve&#10;AAAACgEAAA8AAAAAAAAAAAAAAAAAEQUAAGRycy9kb3ducmV2LnhtbFBLBQYAAAAABAAEAPMAAAAc&#10;BgAAAAA=&#10;" fillcolor="white [3212]" strokecolor="white [3212]" strokeweight="1pt"/>
            </w:pict>
          </mc:Fallback>
        </mc:AlternateContent>
      </w:r>
      <w:r w:rsidR="00312E2A">
        <w:tab/>
      </w:r>
      <w:r w:rsidR="00312E2A">
        <w:br w:type="page"/>
      </w:r>
    </w:p>
    <w:p w14:paraId="3F979CBF" w14:textId="1BA81A8E" w:rsidR="00312E2A" w:rsidRPr="00C00EF0" w:rsidRDefault="00312E2A" w:rsidP="00312E2A">
      <w:pPr>
        <w:tabs>
          <w:tab w:val="left" w:pos="851"/>
        </w:tabs>
        <w:spacing w:after="0" w:line="240" w:lineRule="auto"/>
        <w:jc w:val="center"/>
        <w:rPr>
          <w:rFonts w:ascii="Times New Roman" w:hAnsi="Times New Roman" w:cs="Times New Roman"/>
          <w:b/>
          <w:caps/>
          <w:sz w:val="28"/>
          <w:szCs w:val="28"/>
          <w:lang w:val="kk-KZ"/>
        </w:rPr>
      </w:pPr>
      <w:r w:rsidRPr="00C00EF0">
        <w:rPr>
          <w:rFonts w:ascii="Times New Roman" w:hAnsi="Times New Roman" w:cs="Times New Roman"/>
          <w:b/>
          <w:caps/>
          <w:sz w:val="28"/>
          <w:szCs w:val="28"/>
          <w:lang w:val="kk-KZ"/>
        </w:rPr>
        <w:lastRenderedPageBreak/>
        <w:t xml:space="preserve">Приложение </w:t>
      </w:r>
      <w:r w:rsidR="0084493D">
        <w:rPr>
          <w:rFonts w:ascii="Times New Roman" w:hAnsi="Times New Roman" w:cs="Times New Roman"/>
          <w:b/>
          <w:caps/>
          <w:sz w:val="28"/>
          <w:szCs w:val="28"/>
          <w:lang w:val="kk-KZ"/>
        </w:rPr>
        <w:t>Ж</w:t>
      </w:r>
    </w:p>
    <w:p w14:paraId="399CFE85" w14:textId="77777777" w:rsidR="000F3C80" w:rsidRDefault="000F3C80" w:rsidP="00312E2A">
      <w:pPr>
        <w:tabs>
          <w:tab w:val="left" w:pos="851"/>
        </w:tabs>
        <w:spacing w:after="0" w:line="240" w:lineRule="auto"/>
        <w:jc w:val="center"/>
        <w:rPr>
          <w:rFonts w:ascii="Times New Roman" w:hAnsi="Times New Roman" w:cs="Times New Roman"/>
          <w:sz w:val="28"/>
          <w:szCs w:val="28"/>
          <w:lang w:val="kk-KZ"/>
        </w:rPr>
      </w:pPr>
    </w:p>
    <w:p w14:paraId="36653077" w14:textId="3BF8247F" w:rsidR="00312E2A" w:rsidRDefault="00312E2A" w:rsidP="00312E2A">
      <w:pPr>
        <w:tabs>
          <w:tab w:val="left" w:pos="851"/>
        </w:tabs>
        <w:spacing w:after="0" w:line="240" w:lineRule="auto"/>
        <w:jc w:val="center"/>
        <w:rPr>
          <w:rFonts w:ascii="Times New Roman" w:hAnsi="Times New Roman" w:cs="Times New Roman"/>
          <w:sz w:val="28"/>
          <w:szCs w:val="28"/>
          <w:lang w:val="kk-KZ"/>
        </w:rPr>
      </w:pPr>
      <w:r w:rsidRPr="00F04E39">
        <w:rPr>
          <w:rFonts w:ascii="Times New Roman" w:hAnsi="Times New Roman" w:cs="Times New Roman"/>
          <w:sz w:val="28"/>
          <w:szCs w:val="28"/>
          <w:lang w:val="kk-KZ"/>
        </w:rPr>
        <w:t>Результаты многогруппового структурного моделирования (SEM) по размерности предприятий</w:t>
      </w:r>
    </w:p>
    <w:p w14:paraId="263ECA8F" w14:textId="77777777" w:rsidR="00D3546F" w:rsidRDefault="00D3546F" w:rsidP="00312E2A">
      <w:pPr>
        <w:tabs>
          <w:tab w:val="left" w:pos="851"/>
        </w:tabs>
        <w:spacing w:after="0" w:line="240" w:lineRule="auto"/>
        <w:jc w:val="center"/>
        <w:rPr>
          <w:rFonts w:ascii="Times New Roman" w:hAnsi="Times New Roman" w:cs="Times New Roman"/>
          <w:sz w:val="28"/>
          <w:szCs w:val="28"/>
          <w:lang w:val="kk-KZ"/>
        </w:rPr>
      </w:pPr>
    </w:p>
    <w:p w14:paraId="63012057" w14:textId="1C416084" w:rsidR="00312E2A" w:rsidRDefault="00C17FB9" w:rsidP="00312E2A">
      <w:pPr>
        <w:tabs>
          <w:tab w:val="left" w:pos="851"/>
        </w:tabs>
        <w:spacing w:after="0"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725824" behindDoc="0" locked="0" layoutInCell="1" allowOverlap="1" wp14:anchorId="486FFCC1" wp14:editId="777A0A43">
                <wp:simplePos x="0" y="0"/>
                <wp:positionH relativeFrom="column">
                  <wp:posOffset>-385328</wp:posOffset>
                </wp:positionH>
                <wp:positionV relativeFrom="paragraph">
                  <wp:posOffset>1771265</wp:posOffset>
                </wp:positionV>
                <wp:extent cx="613611" cy="324852"/>
                <wp:effectExtent l="0" t="0" r="7303" b="0"/>
                <wp:wrapNone/>
                <wp:docPr id="274" name="Надпись 274"/>
                <wp:cNvGraphicFramePr/>
                <a:graphic xmlns:a="http://schemas.openxmlformats.org/drawingml/2006/main">
                  <a:graphicData uri="http://schemas.microsoft.com/office/word/2010/wordprocessingShape">
                    <wps:wsp>
                      <wps:cNvSpPr txBox="1"/>
                      <wps:spPr>
                        <a:xfrm rot="5400000">
                          <a:off x="0" y="0"/>
                          <a:ext cx="613611" cy="32485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DF423E1" w14:textId="03077C91" w:rsidR="001D4931" w:rsidRPr="00C17FB9" w:rsidRDefault="001D4931" w:rsidP="00C17FB9">
                            <w:pPr>
                              <w:jc w:val="center"/>
                              <w:rPr>
                                <w:rFonts w:ascii="Times New Roman" w:hAnsi="Times New Roman" w:cs="Times New Roman"/>
                                <w:color w:val="595959" w:themeColor="text1" w:themeTint="A6"/>
                                <w:lang w:val="kk-KZ"/>
                              </w:rPr>
                            </w:pPr>
                            <w:r w:rsidRPr="00C17FB9">
                              <w:rPr>
                                <w:rFonts w:ascii="Times New Roman" w:hAnsi="Times New Roman" w:cs="Times New Roman"/>
                                <w:color w:val="595959" w:themeColor="text1" w:themeTint="A6"/>
                                <w:lang w:val="kk-KZ"/>
                              </w:rPr>
                              <w:t>20</w:t>
                            </w:r>
                            <w:r>
                              <w:rPr>
                                <w:rFonts w:ascii="Times New Roman" w:hAnsi="Times New Roman" w:cs="Times New Roman"/>
                                <w:color w:val="595959" w:themeColor="text1" w:themeTint="A6"/>
                                <w:lang w:val="kk-KZ"/>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6FFCC1" id="Надпись 274" o:spid="_x0000_s1217" type="#_x0000_t202" style="position:absolute;margin-left:-30.35pt;margin-top:139.45pt;width:48.3pt;height:25.6pt;rotation:90;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sOYogIAAHMFAAAOAAAAZHJzL2Uyb0RvYy54bWysVM1uEzEQviPxDpbvdLNp+hdlU4VWRUhV&#10;W5Ginh2vnaywPcZ2shtuvfMKvAMHDtx4hfSNGHuzoRQuRexhZc/PZ88333h02mhFVsL5CkxB870e&#10;JcJwKCszL+j724tXx5T4wEzJFBhR0LXw9HT88sWotkPRhwWoUjiCIMYPa1vQRQh2mGWeL4Rmfg+s&#10;MOiU4DQLuHXzrHSsRnStsn6vd5jV4ErrgAvv0XreOuk44UspeLiW0otAVEHxbiH9XfrP4j8bj9hw&#10;7phdVHx7DfYPt9CsMnjoDuqcBUaWrvoDSlfcgQcZ9jjoDKSsuEg1YDV570k10wWzItWC5Hi7o8n/&#10;P1h+tbpxpCoL2j8aUGKYxiZtvmy+br5tfmy+P9w/fCbRgzzV1g8xfGoxITSvocF+d3aPxlh+I50m&#10;DpDmg0EvfokULJNgNPK/3nEumkA4Gg/z/cM8p4Sja78/OD7oR8yshYqQ1vnwRoAmcVFQhy1NoGx1&#10;6UMb2oXEcAMXlVKprcr8ZkDMaMliHe190yqslYhxyrwTEplIF40Gz918dqYcaeWCesYCOtEkMEyI&#10;gRIPfGbuNiVmi6TSZ+bvktL5YMIuX1cGXCIozZCIBawYqr/8kLqFF5dtfEdFS0DkIjSzJmnhZL9r&#10;7AzKNfY7tRTL95ZfVNiHS+bDDXM4KmjE8Q/X+JMK6oLCdkXJAtynv9ljPCoYvZTUOHoF9R+XzAlK&#10;1FuD2j7JBwOEDWkzODjq48Y99swee8xSnwHWhxrC26VljA+qW0oH+g5fiUk8FV3McDy7oKFbnoW2&#10;w/jKcDGZpCCcTsvCpZlaHqEjzVFlt80dc3YrxYAavoJuSNnwiSLb2JhpYLIMIKsk10h0y+q2ATjZ&#10;SfDbVyg+HY/3KerXWzn+CQAA//8DAFBLAwQUAAYACAAAACEA/NgkR+AAAAAKAQAADwAAAGRycy9k&#10;b3ducmV2LnhtbEyPzU7DMBCE70i8g7VI3FrnRw1Rmk0FlcoBcmnhAdzYTSLsdRQ7TeDpcU9wGq1m&#10;NPtNuVuMZlc1ut4SQryOgClqrOypRfj8OKxyYM4LkkJbUgjfysGuur8rRSHtTEd1PfmWhRJyhUDo&#10;vB8Kzl3TKSPc2g6KgnexoxE+nGPL5SjmUG40T6Io40b0FD50YlD7TjVfp8kgTPO7pv1bXb9mTz/H&#10;Q93E9fISIz4+LM9bYF4t/i8MN/yADlVgOtuJpGMaYZXmYYtHSDZZAuyWSIOeEdJNkgOvSv5/QvUL&#10;AAD//wMAUEsBAi0AFAAGAAgAAAAhALaDOJL+AAAA4QEAABMAAAAAAAAAAAAAAAAAAAAAAFtDb250&#10;ZW50X1R5cGVzXS54bWxQSwECLQAUAAYACAAAACEAOP0h/9YAAACUAQAACwAAAAAAAAAAAAAAAAAv&#10;AQAAX3JlbHMvLnJlbHNQSwECLQAUAAYACAAAACEAVb7DmKICAABzBQAADgAAAAAAAAAAAAAAAAAu&#10;AgAAZHJzL2Uyb0RvYy54bWxQSwECLQAUAAYACAAAACEA/NgkR+AAAAAKAQAADwAAAAAAAAAAAAAA&#10;AAD8BAAAZHJzL2Rvd25yZXYueG1sUEsFBgAAAAAEAAQA8wAAAAkGAAAAAA==&#10;" filled="f" stroked="f">
                <v:textbox>
                  <w:txbxContent>
                    <w:p w14:paraId="3DF423E1" w14:textId="03077C91" w:rsidR="001D4931" w:rsidRPr="00C17FB9" w:rsidRDefault="001D4931" w:rsidP="00C17FB9">
                      <w:pPr>
                        <w:jc w:val="center"/>
                        <w:rPr>
                          <w:rFonts w:ascii="Times New Roman" w:hAnsi="Times New Roman" w:cs="Times New Roman"/>
                          <w:color w:val="595959" w:themeColor="text1" w:themeTint="A6"/>
                          <w:lang w:val="kk-KZ"/>
                        </w:rPr>
                      </w:pPr>
                      <w:r w:rsidRPr="00C17FB9">
                        <w:rPr>
                          <w:rFonts w:ascii="Times New Roman" w:hAnsi="Times New Roman" w:cs="Times New Roman"/>
                          <w:color w:val="595959" w:themeColor="text1" w:themeTint="A6"/>
                          <w:lang w:val="kk-KZ"/>
                        </w:rPr>
                        <w:t>20</w:t>
                      </w:r>
                      <w:r>
                        <w:rPr>
                          <w:rFonts w:ascii="Times New Roman" w:hAnsi="Times New Roman" w:cs="Times New Roman"/>
                          <w:color w:val="595959" w:themeColor="text1" w:themeTint="A6"/>
                          <w:lang w:val="kk-KZ"/>
                        </w:rPr>
                        <w:t>2</w:t>
                      </w:r>
                    </w:p>
                  </w:txbxContent>
                </v:textbox>
              </v:shape>
            </w:pict>
          </mc:Fallback>
        </mc:AlternateContent>
      </w:r>
      <w:r w:rsidR="00312E2A" w:rsidRPr="006745F8">
        <w:rPr>
          <w:rFonts w:ascii="Times New Roman" w:hAnsi="Times New Roman" w:cs="Times New Roman"/>
          <w:noProof/>
          <w:sz w:val="28"/>
          <w:szCs w:val="28"/>
          <w:lang w:eastAsia="ru-RU"/>
        </w:rPr>
        <w:drawing>
          <wp:inline distT="0" distB="0" distL="0" distR="0" wp14:anchorId="053EC9E7" wp14:editId="5C47C0CF">
            <wp:extent cx="9195565" cy="4286250"/>
            <wp:effectExtent l="0" t="0" r="571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9208277" cy="4292175"/>
                    </a:xfrm>
                    <a:prstGeom prst="rect">
                      <a:avLst/>
                    </a:prstGeom>
                  </pic:spPr>
                </pic:pic>
              </a:graphicData>
            </a:graphic>
          </wp:inline>
        </w:drawing>
      </w:r>
    </w:p>
    <w:p w14:paraId="3D42A503" w14:textId="77777777" w:rsidR="00312E2A" w:rsidRDefault="00312E2A" w:rsidP="00312E2A">
      <w:pPr>
        <w:tabs>
          <w:tab w:val="left" w:pos="851"/>
        </w:tabs>
        <w:spacing w:after="0" w:line="240" w:lineRule="auto"/>
        <w:rPr>
          <w:rFonts w:ascii="Times New Roman" w:hAnsi="Times New Roman" w:cs="Times New Roman"/>
          <w:sz w:val="28"/>
          <w:szCs w:val="28"/>
          <w:lang w:val="kk-KZ"/>
        </w:rPr>
      </w:pPr>
    </w:p>
    <w:p w14:paraId="0F52F1F8" w14:textId="47EE4E5F" w:rsidR="000F3C80" w:rsidRDefault="00C465CD" w:rsidP="00312E2A">
      <w:pPr>
        <w:tabs>
          <w:tab w:val="left" w:pos="851"/>
        </w:tabs>
        <w:spacing w:after="0"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14:anchorId="4FD1833C" wp14:editId="7401CA12">
                <wp:simplePos x="0" y="0"/>
                <wp:positionH relativeFrom="column">
                  <wp:posOffset>4484370</wp:posOffset>
                </wp:positionH>
                <wp:positionV relativeFrom="paragraph">
                  <wp:posOffset>309245</wp:posOffset>
                </wp:positionV>
                <wp:extent cx="266700" cy="281940"/>
                <wp:effectExtent l="0" t="0" r="19050" b="22860"/>
                <wp:wrapNone/>
                <wp:docPr id="165" name="Прямоугольник 165"/>
                <wp:cNvGraphicFramePr/>
                <a:graphic xmlns:a="http://schemas.openxmlformats.org/drawingml/2006/main">
                  <a:graphicData uri="http://schemas.microsoft.com/office/word/2010/wordprocessingShape">
                    <wps:wsp>
                      <wps:cNvSpPr/>
                      <wps:spPr>
                        <a:xfrm>
                          <a:off x="0" y="0"/>
                          <a:ext cx="266700" cy="2819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7A04B5" id="Прямоугольник 165" o:spid="_x0000_s1026" style="position:absolute;margin-left:353.1pt;margin-top:24.35pt;width:21pt;height:22.2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IFZugIAAMAFAAAOAAAAZHJzL2Uyb0RvYy54bWysVM1u2zAMvg/YOwi6r7aDNm2DOkWQosOA&#10;oi3WDj0rshQbkCVNUuJkpwG7Dugj7CF2GfbTZ3DeaJT8k6wrdiiWgyKa5EfyE8mT01Up0JIZWyiZ&#10;4mQvxohJqrJCzlP87vb81RFG1hGZEaEkS/GaWXw6fvnipNIjNlC5EhkzCECkHVU6xblzehRFluas&#10;JHZPaSZByZUpiQPRzKPMkArQSxEN4ngYVcpk2ijKrIWvZ40SjwM+54y6K84tc0ikGHJz4TThnPkz&#10;Gp+Q0dwQnRe0TYM8I4uSFBKC9lBnxBG0MMVfUGVBjbKKuz2qykhxXlAWaoBqkvhRNTc50SzUAuRY&#10;3dNk/x8svVxeG1Rk8HbDA4wkKeGR6i+bj5v7+mf9sPlUf60f6h+bz/Wv+lv9HXkr4KzSdgSuN/ra&#10;tJKFqydgxU3p/6E0tAo8r3ue2cohCh8Hw+FhDK9BQTU4So73wztEW2dtrHvNVIn8JcUGnjGwS5YX&#10;1kFAMO1MfCyrRJGdF0IEwbcOmwqDlgQefTZPfMLg8YeVkM9yBBjvGfn6m4rDza0F83hCvmUc2PQ1&#10;hoRDH2+TIZQy6ZJGlZOMNTkexPDrsuzSDzkHQI/MoboeuwXoLBuQDrsptrX3riyMQe8c/yuxxrn3&#10;CJGVdL1zWUhlngIQUFUbubHvSGqo8SzNVLaGXjOqGUKr6XkBz3tBrLsmBqYOOgI2ibuCgwtVpVi1&#10;N4xyZT489d3bwzCAFqMKpjjF9v2CGIaReCNhTI6TfWgu5IKwf3A4AMHsama7Grkopwp6JoGdpWm4&#10;ensnuis3qryDhTPxUUFFJIXYKabOdMLUNdsFVhZlk0kwg1HXxF3IG009uGfVt+/t6o4Y3fa4g+G4&#10;VN3Ek9GjVm9svadUk4VTvAhzsOW15RvWRGicdqX5PbQrB6vt4h3/BgAA//8DAFBLAwQUAAYACAAA&#10;ACEAXebYsuAAAAAJAQAADwAAAGRycy9kb3ducmV2LnhtbEyPwUrDQBCG74LvsIzgzW4aS5OmmRQR&#10;RQQPtRXscZvMJsHsbMhu0vj2ric9zszHP9+f72bTiYkG11pGWC4iEMSlrVquET6Oz3cpCOcVV6qz&#10;TAjf5GBXXF/lKqvshd9pOvhahBB2mUJovO8zKV3ZkFFuYXvicNN2MMqHcahlNahLCDedjKNoLY1q&#10;OXxoVE+PDZVfh9EgnLR6OT69ujep40lv2v34qZMR8fZmftiC8DT7Pxh+9YM6FMHpbEeunOgQkmgd&#10;BxRhlSYgApCs0rA4I2zulyCLXP5vUPwAAAD//wMAUEsBAi0AFAAGAAgAAAAhALaDOJL+AAAA4QEA&#10;ABMAAAAAAAAAAAAAAAAAAAAAAFtDb250ZW50X1R5cGVzXS54bWxQSwECLQAUAAYACAAAACEAOP0h&#10;/9YAAACUAQAACwAAAAAAAAAAAAAAAAAvAQAAX3JlbHMvLnJlbHNQSwECLQAUAAYACAAAACEA1TiB&#10;WboCAADABQAADgAAAAAAAAAAAAAAAAAuAgAAZHJzL2Uyb0RvYy54bWxQSwECLQAUAAYACAAAACEA&#10;XebYsuAAAAAJAQAADwAAAAAAAAAAAAAAAAAUBQAAZHJzL2Rvd25yZXYueG1sUEsFBgAAAAAEAAQA&#10;8wAAACEGAAAAAA==&#10;" fillcolor="white [3212]" strokecolor="white [3212]" strokeweight="1pt"/>
            </w:pict>
          </mc:Fallback>
        </mc:AlternateContent>
      </w:r>
    </w:p>
    <w:p w14:paraId="1D56E084" w14:textId="77777777" w:rsidR="00C465CD" w:rsidRDefault="00C465CD" w:rsidP="00312E2A">
      <w:pPr>
        <w:tabs>
          <w:tab w:val="left" w:pos="851"/>
        </w:tabs>
        <w:spacing w:after="0" w:line="240" w:lineRule="auto"/>
        <w:rPr>
          <w:rFonts w:ascii="Times New Roman" w:hAnsi="Times New Roman" w:cs="Times New Roman"/>
          <w:sz w:val="28"/>
          <w:szCs w:val="28"/>
          <w:lang w:val="kk-KZ"/>
        </w:rPr>
      </w:pPr>
    </w:p>
    <w:p w14:paraId="6476AF12" w14:textId="77777777" w:rsidR="00C465CD" w:rsidRDefault="00C465CD" w:rsidP="00312E2A">
      <w:pPr>
        <w:tabs>
          <w:tab w:val="left" w:pos="851"/>
        </w:tabs>
        <w:spacing w:after="0" w:line="240" w:lineRule="auto"/>
        <w:rPr>
          <w:rFonts w:ascii="Times New Roman" w:hAnsi="Times New Roman" w:cs="Times New Roman"/>
          <w:sz w:val="28"/>
          <w:szCs w:val="28"/>
          <w:lang w:val="kk-KZ"/>
        </w:rPr>
      </w:pPr>
    </w:p>
    <w:p w14:paraId="2FCF4013" w14:textId="77777777" w:rsidR="00C465CD" w:rsidRDefault="00C465CD" w:rsidP="00312E2A">
      <w:pPr>
        <w:tabs>
          <w:tab w:val="left" w:pos="851"/>
        </w:tabs>
        <w:spacing w:after="0" w:line="240" w:lineRule="auto"/>
        <w:rPr>
          <w:rFonts w:ascii="Times New Roman" w:hAnsi="Times New Roman" w:cs="Times New Roman"/>
          <w:sz w:val="28"/>
          <w:szCs w:val="28"/>
          <w:lang w:val="kk-KZ"/>
        </w:rPr>
      </w:pPr>
    </w:p>
    <w:p w14:paraId="40C14426" w14:textId="385E9C8B" w:rsidR="00312E2A" w:rsidRDefault="00574C28" w:rsidP="00312E2A">
      <w:pPr>
        <w:tabs>
          <w:tab w:val="left" w:pos="851"/>
        </w:tabs>
        <w:spacing w:after="0"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727872" behindDoc="0" locked="0" layoutInCell="1" allowOverlap="1" wp14:anchorId="76082CF7" wp14:editId="5C838615">
                <wp:simplePos x="0" y="0"/>
                <wp:positionH relativeFrom="column">
                  <wp:posOffset>-468664</wp:posOffset>
                </wp:positionH>
                <wp:positionV relativeFrom="paragraph">
                  <wp:posOffset>1842819</wp:posOffset>
                </wp:positionV>
                <wp:extent cx="613611" cy="324852"/>
                <wp:effectExtent l="0" t="0" r="7303" b="0"/>
                <wp:wrapNone/>
                <wp:docPr id="276" name="Надпись 276"/>
                <wp:cNvGraphicFramePr/>
                <a:graphic xmlns:a="http://schemas.openxmlformats.org/drawingml/2006/main">
                  <a:graphicData uri="http://schemas.microsoft.com/office/word/2010/wordprocessingShape">
                    <wps:wsp>
                      <wps:cNvSpPr txBox="1"/>
                      <wps:spPr>
                        <a:xfrm rot="5400000">
                          <a:off x="0" y="0"/>
                          <a:ext cx="613611" cy="32485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BCF8B83" w14:textId="692572F2" w:rsidR="001D4931" w:rsidRPr="00C17FB9" w:rsidRDefault="001D4931" w:rsidP="00574C28">
                            <w:pPr>
                              <w:jc w:val="center"/>
                              <w:rPr>
                                <w:rFonts w:ascii="Times New Roman" w:hAnsi="Times New Roman" w:cs="Times New Roman"/>
                                <w:color w:val="595959" w:themeColor="text1" w:themeTint="A6"/>
                                <w:lang w:val="kk-KZ"/>
                              </w:rPr>
                            </w:pPr>
                            <w:r w:rsidRPr="00C17FB9">
                              <w:rPr>
                                <w:rFonts w:ascii="Times New Roman" w:hAnsi="Times New Roman" w:cs="Times New Roman"/>
                                <w:color w:val="595959" w:themeColor="text1" w:themeTint="A6"/>
                                <w:lang w:val="kk-KZ"/>
                              </w:rPr>
                              <w:t>20</w:t>
                            </w:r>
                            <w:r>
                              <w:rPr>
                                <w:rFonts w:ascii="Times New Roman" w:hAnsi="Times New Roman" w:cs="Times New Roman"/>
                                <w:color w:val="595959" w:themeColor="text1" w:themeTint="A6"/>
                                <w:lang w:val="kk-KZ"/>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082CF7" id="Надпись 276" o:spid="_x0000_s1218" type="#_x0000_t202" style="position:absolute;margin-left:-36.9pt;margin-top:145.1pt;width:48.3pt;height:25.6pt;rotation:90;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N90owIAAHMFAAAOAAAAZHJzL2Uyb0RvYy54bWysVM1uEzEQviPxDpbvZJM0TduomyqkKkKq&#10;2ooU9ex47WSF7TG2k91w651X4B04cODGK6RvxNibDaVwKWIPK3t+Pnu++canZ7VWZC2cL8HktNfp&#10;UiIMh6I0i5y+v714dUyJD8wUTIEROd0IT8/GL1+cVnYk+rAEVQhHEMT4UWVzugzBjrLM86XQzHfA&#10;CoNOCU6zgFu3yArHKkTXKut3u8OsAldYB1x4j9bzxknHCV9KwcO1lF4EonKKdwvp79J/Hv/Z+JSN&#10;Fo7ZZcl312D/cAvNSoOH7qHOWWBk5co/oHTJHXiQocNBZyBlyUWqAavpdZ9UM1syK1ItSI63e5r8&#10;/4PlV+sbR8oip/2jISWGaWzS9sv26/bb9sf2+8P9w2cSPchTZf0Iw2cWE0L9Gmrsd2v3aIzl19Jp&#10;4gBpPhx045dIwTIJRiP/mz3nog6Eo3HYOxj2epRwdB30B8eH/YiZNVAR0jof3gjQJC5y6rClCZSt&#10;L31oQtuQGG7golQqtVWZ3wyIGS1ZrKO5b1qFjRIxTpl3QiIT6aLR4LlbzKfKkUYuqGcsoBVNAsOE&#10;GCjxwGfm7lJitkgqfWb+PimdDybs83VpwCWC0gyJWMCaofqLD6lbeHHZxLdUNARELkI9r5MWTgZt&#10;Y+dQbLDfqaVYvrf8osQ+XDIfbpjDUUEjjn+4xp9UUOUUditKluA+/c0e41HB6KWkwtHLqf+4Yk5Q&#10;ot4a1PZJbzBA2JA2g8OjPm7cY8/8sces9BSwPtQQ3i4tY3xQ7VI60Hf4SkziqehihuPZOQ3tchqa&#10;DuMrw8VkkoJwOi0Ll2ZmeYSONEeV3dZ3zNmdFANq+AraIWWjJ4psYmOmgckqgCyTXCPRDau7BuBk&#10;J8HvXqH4dDzep6hfb+X4JwAAAP//AwBQSwMEFAAGAAgAAAAhAAYj1jreAAAACAEAAA8AAABkcnMv&#10;ZG93bnJldi54bWxMj0FOwzAQRfdI3MEaJHat40JTFDKpoFJZQDYtHMCNhyQiHkex0wROj2EDy9F/&#10;+v9Nvp1tJ840+NYxglomIIgrZ1quEd5e94s7ED5oNrpzTAif5GFbXF7kOjNu4gOdj6EWsYR9phGa&#10;EPpMSl81ZLVfup44Zu9usDrEc6ilGfQUy20nV0mSSqtbjguN7mnXUPVxHC3COL10vHsuy6d083XY&#10;l5Uq50eFeH01P9yDCDSHPxh+9KM6FNHp5EY2XnQIi7VSEUVYpZs1iF9CnBBu0lsFssjl/weKbwAA&#10;AP//AwBQSwECLQAUAAYACAAAACEAtoM4kv4AAADhAQAAEwAAAAAAAAAAAAAAAAAAAAAAW0NvbnRl&#10;bnRfVHlwZXNdLnhtbFBLAQItABQABgAIAAAAIQA4/SH/1gAAAJQBAAALAAAAAAAAAAAAAAAAAC8B&#10;AABfcmVscy8ucmVsc1BLAQItABQABgAIAAAAIQAwyN90owIAAHMFAAAOAAAAAAAAAAAAAAAAAC4C&#10;AABkcnMvZTJvRG9jLnhtbFBLAQItABQABgAIAAAAIQAGI9Y63gAAAAgBAAAPAAAAAAAAAAAAAAAA&#10;AP0EAABkcnMvZG93bnJldi54bWxQSwUGAAAAAAQABADzAAAACAYAAAAA&#10;" filled="f" stroked="f">
                <v:textbox>
                  <w:txbxContent>
                    <w:p w14:paraId="0BCF8B83" w14:textId="692572F2" w:rsidR="001D4931" w:rsidRPr="00C17FB9" w:rsidRDefault="001D4931" w:rsidP="00574C28">
                      <w:pPr>
                        <w:jc w:val="center"/>
                        <w:rPr>
                          <w:rFonts w:ascii="Times New Roman" w:hAnsi="Times New Roman" w:cs="Times New Roman"/>
                          <w:color w:val="595959" w:themeColor="text1" w:themeTint="A6"/>
                          <w:lang w:val="kk-KZ"/>
                        </w:rPr>
                      </w:pPr>
                      <w:r w:rsidRPr="00C17FB9">
                        <w:rPr>
                          <w:rFonts w:ascii="Times New Roman" w:hAnsi="Times New Roman" w:cs="Times New Roman"/>
                          <w:color w:val="595959" w:themeColor="text1" w:themeTint="A6"/>
                          <w:lang w:val="kk-KZ"/>
                        </w:rPr>
                        <w:t>20</w:t>
                      </w:r>
                      <w:r>
                        <w:rPr>
                          <w:rFonts w:ascii="Times New Roman" w:hAnsi="Times New Roman" w:cs="Times New Roman"/>
                          <w:color w:val="595959" w:themeColor="text1" w:themeTint="A6"/>
                          <w:lang w:val="kk-KZ"/>
                        </w:rPr>
                        <w:t>3</w:t>
                      </w:r>
                    </w:p>
                  </w:txbxContent>
                </v:textbox>
              </v:shape>
            </w:pict>
          </mc:Fallback>
        </mc:AlternateContent>
      </w:r>
      <w:r w:rsidR="00312E2A" w:rsidRPr="006745F8">
        <w:rPr>
          <w:rFonts w:ascii="Times New Roman" w:hAnsi="Times New Roman" w:cs="Times New Roman"/>
          <w:noProof/>
          <w:sz w:val="28"/>
          <w:szCs w:val="28"/>
          <w:lang w:eastAsia="ru-RU"/>
        </w:rPr>
        <w:drawing>
          <wp:inline distT="0" distB="0" distL="0" distR="0" wp14:anchorId="73C092CE" wp14:editId="47BCBE35">
            <wp:extent cx="2534004" cy="1762371"/>
            <wp:effectExtent l="0" t="0" r="0"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534004" cy="1762371"/>
                    </a:xfrm>
                    <a:prstGeom prst="rect">
                      <a:avLst/>
                    </a:prstGeom>
                  </pic:spPr>
                </pic:pic>
              </a:graphicData>
            </a:graphic>
          </wp:inline>
        </w:drawing>
      </w:r>
      <w:r w:rsidR="00312E2A" w:rsidRPr="006745F8">
        <w:rPr>
          <w:rFonts w:ascii="Times New Roman" w:hAnsi="Times New Roman" w:cs="Times New Roman"/>
          <w:noProof/>
          <w:sz w:val="28"/>
          <w:szCs w:val="28"/>
          <w:lang w:eastAsia="ru-RU"/>
        </w:rPr>
        <w:drawing>
          <wp:inline distT="0" distB="0" distL="0" distR="0" wp14:anchorId="77CD451F" wp14:editId="0D8DB3A9">
            <wp:extent cx="1714739" cy="1000265"/>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714739" cy="1000265"/>
                    </a:xfrm>
                    <a:prstGeom prst="rect">
                      <a:avLst/>
                    </a:prstGeom>
                  </pic:spPr>
                </pic:pic>
              </a:graphicData>
            </a:graphic>
          </wp:inline>
        </w:drawing>
      </w:r>
      <w:r w:rsidR="00312E2A" w:rsidRPr="006745F8">
        <w:rPr>
          <w:rFonts w:ascii="Times New Roman" w:hAnsi="Times New Roman" w:cs="Times New Roman"/>
          <w:noProof/>
          <w:sz w:val="28"/>
          <w:szCs w:val="28"/>
          <w:lang w:eastAsia="ru-RU"/>
        </w:rPr>
        <w:drawing>
          <wp:inline distT="0" distB="0" distL="0" distR="0" wp14:anchorId="22C64B93" wp14:editId="7739E03D">
            <wp:extent cx="6401693" cy="2467319"/>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401693" cy="2467319"/>
                    </a:xfrm>
                    <a:prstGeom prst="rect">
                      <a:avLst/>
                    </a:prstGeom>
                  </pic:spPr>
                </pic:pic>
              </a:graphicData>
            </a:graphic>
          </wp:inline>
        </w:drawing>
      </w:r>
    </w:p>
    <w:p w14:paraId="51603A66" w14:textId="51839B2E" w:rsidR="00312E2A" w:rsidRDefault="00C465CD" w:rsidP="00312E2A">
      <w:r>
        <w:rPr>
          <w:noProof/>
          <w:lang w:eastAsia="ru-RU"/>
        </w:rPr>
        <mc:AlternateContent>
          <mc:Choice Requires="wps">
            <w:drawing>
              <wp:anchor distT="0" distB="0" distL="114300" distR="114300" simplePos="0" relativeHeight="251700224" behindDoc="0" locked="0" layoutInCell="1" allowOverlap="1" wp14:anchorId="40E514BE" wp14:editId="76CA5A77">
                <wp:simplePos x="0" y="0"/>
                <wp:positionH relativeFrom="column">
                  <wp:posOffset>4476750</wp:posOffset>
                </wp:positionH>
                <wp:positionV relativeFrom="paragraph">
                  <wp:posOffset>817245</wp:posOffset>
                </wp:positionV>
                <wp:extent cx="533400" cy="274320"/>
                <wp:effectExtent l="0" t="0" r="19050" b="11430"/>
                <wp:wrapNone/>
                <wp:docPr id="166" name="Прямоугольник 166"/>
                <wp:cNvGraphicFramePr/>
                <a:graphic xmlns:a="http://schemas.openxmlformats.org/drawingml/2006/main">
                  <a:graphicData uri="http://schemas.microsoft.com/office/word/2010/wordprocessingShape">
                    <wps:wsp>
                      <wps:cNvSpPr/>
                      <wps:spPr>
                        <a:xfrm>
                          <a:off x="0" y="0"/>
                          <a:ext cx="533400" cy="2743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965132" id="Прямоугольник 166" o:spid="_x0000_s1026" style="position:absolute;margin-left:352.5pt;margin-top:64.35pt;width:42pt;height:21.6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Og2uwIAAMAFAAAOAAAAZHJzL2Uyb0RvYy54bWysVM1OGzEQvlfqO1i+l92EAG3EBkUgqkoI&#10;UKHi7HjtrCWv7dpONumpUq9IfYQ+RC9Vf3iGzRt17P0JpagH1Bwce2fmm5lvfg6PVqVES2ad0CrD&#10;g50UI6aozoWaZ/jd9emLlxg5T1ROpFYsw2vm8NHk+bPDyozZUBda5swiAFFuXJkMF96bcZI4WrCS&#10;uB1tmAIh17YkHp52nuSWVIBeymSYpvtJpW1urKbMOfh60gjxJOJzzqi/4Nwxj2SGITYfTxvPWTiT&#10;ySEZzy0xhaBtGOQJUZREKHDaQ50QT9DCir+gSkGtdpr7HarLRHMuKIs5QDaD9EE2VwUxLOYC5DjT&#10;0+T+Hyw9X15aJHKo3f4+RoqUUKT6y+bj5nP9s77bfKq/1nf1j81t/av+Vn9HQQs4q4wbg+mVubTt&#10;y8E1ELDitgz/kBpaRZ7XPc9s5RGFj3u7u6MUqkFBNDwY7Q5jHZKtsbHOv2a6ROGSYQtljOyS5Znz&#10;4BBUO5Xgy2kp8lMhZXyE1mHH0qIlgaLP5oMQMFj8oSXVkwwBJlgmIf8m43jza8kCnlRvGQc2Icdh&#10;DDj28TYYQilTftCICpKzJsa9FH5dlF34MeYIGJA5ZNdjtwCdZgPSYTfJtvrBlMUx6I3TfwXWGPcW&#10;0bNWvjcuhdL2MQAJWbWeG/2OpIaawNJM52voNaubIXSGngoo7xlx/pJYmDroCNgk/gIOLnWVYd3e&#10;MCq0/fDY96APwwBSjCqY4gy79wtiGUbyjYIxeTUYjcLYx8do7wA6Ddn7ktl9iVqUxxp6ZgA7y9B4&#10;DfpedldudXkDC2cavIKIKAq+M0y97R7HvtkusLIom06jGoy6If5MXRkawAOroX2vVzfEmrbHPQzH&#10;ue4mnowftHqjGyyVni685iLOwZbXlm9YE7Fx2pUW9tD9d9TaLt7JbwAAAP//AwBQSwMEFAAGAAgA&#10;AAAhAEgldmrfAAAACwEAAA8AAABkcnMvZG93bnJldi54bWxMj09LxDAQxe+C3yGM4M1Nt6D9Y9NF&#10;RBHBg+4Kesw2k7bYTEqTduu3dzzpcd57vPm9are6QSw4hd6Tgu0mAYHUeNNTq+D98HiVgwhRk9GD&#10;J1TwjQF29flZpUvjT/SGyz62gksolFpBF+NYShmaDp0OGz8isWf95HTkc2qlmfSJy90g0yS5kU73&#10;xB86PeJ9h83XfnYKPq1+Ojw8hxdp08UW/ev8YbNZqcuL9e4WRMQ1/oXhF5/RoWamo5/JBDEoyJJr&#10;3hLZSPMMBCeyvGDlyEq2LUDWlfy/of4BAAD//wMAUEsBAi0AFAAGAAgAAAAhALaDOJL+AAAA4QEA&#10;ABMAAAAAAAAAAAAAAAAAAAAAAFtDb250ZW50X1R5cGVzXS54bWxQSwECLQAUAAYACAAAACEAOP0h&#10;/9YAAACUAQAACwAAAAAAAAAAAAAAAAAvAQAAX3JlbHMvLnJlbHNQSwECLQAUAAYACAAAACEATFDo&#10;NrsCAADABQAADgAAAAAAAAAAAAAAAAAuAgAAZHJzL2Uyb0RvYy54bWxQSwECLQAUAAYACAAAACEA&#10;SCV2at8AAAALAQAADwAAAAAAAAAAAAAAAAAVBQAAZHJzL2Rvd25yZXYueG1sUEsFBgAAAAAEAAQA&#10;8wAAACEGAAAAAA==&#10;" fillcolor="white [3212]" strokecolor="white [3212]" strokeweight="1pt"/>
            </w:pict>
          </mc:Fallback>
        </mc:AlternateContent>
      </w:r>
      <w:r w:rsidR="00312E2A">
        <w:br w:type="page"/>
      </w:r>
    </w:p>
    <w:p w14:paraId="73AD37AA" w14:textId="77777777" w:rsidR="00312E2A" w:rsidRDefault="00312E2A" w:rsidP="00312E2A">
      <w:pPr>
        <w:tabs>
          <w:tab w:val="left" w:pos="2580"/>
        </w:tabs>
        <w:rPr>
          <w:lang w:val="kk-KZ"/>
        </w:rPr>
        <w:sectPr w:rsidR="00312E2A" w:rsidSect="00083B78">
          <w:pgSz w:w="16838" w:h="11906" w:orient="landscape"/>
          <w:pgMar w:top="1701" w:right="1134" w:bottom="1134" w:left="1134" w:header="709" w:footer="709" w:gutter="0"/>
          <w:cols w:space="708"/>
          <w:docGrid w:linePitch="360"/>
        </w:sectPr>
      </w:pPr>
    </w:p>
    <w:p w14:paraId="573D6214" w14:textId="01828EF3" w:rsidR="00312E2A" w:rsidRDefault="00312E2A" w:rsidP="00312E2A">
      <w:pPr>
        <w:tabs>
          <w:tab w:val="left" w:pos="2580"/>
        </w:tabs>
        <w:spacing w:after="0" w:line="240" w:lineRule="auto"/>
        <w:jc w:val="center"/>
        <w:rPr>
          <w:rFonts w:ascii="Times New Roman" w:hAnsi="Times New Roman" w:cs="Times New Roman"/>
          <w:b/>
          <w:caps/>
          <w:sz w:val="28"/>
          <w:szCs w:val="28"/>
          <w:lang w:val="kk-KZ"/>
        </w:rPr>
      </w:pPr>
      <w:r w:rsidRPr="00C00EF0">
        <w:rPr>
          <w:rFonts w:ascii="Times New Roman" w:hAnsi="Times New Roman" w:cs="Times New Roman"/>
          <w:b/>
          <w:caps/>
          <w:sz w:val="28"/>
          <w:szCs w:val="28"/>
          <w:lang w:val="kk-KZ"/>
        </w:rPr>
        <w:lastRenderedPageBreak/>
        <w:t xml:space="preserve">Приложение </w:t>
      </w:r>
      <w:r w:rsidR="0084493D">
        <w:rPr>
          <w:rFonts w:ascii="Times New Roman" w:hAnsi="Times New Roman" w:cs="Times New Roman"/>
          <w:b/>
          <w:caps/>
          <w:sz w:val="28"/>
          <w:szCs w:val="28"/>
          <w:lang w:val="kk-KZ"/>
        </w:rPr>
        <w:t>И</w:t>
      </w:r>
    </w:p>
    <w:p w14:paraId="77574206" w14:textId="77777777" w:rsidR="00C465CD" w:rsidRDefault="00C465CD" w:rsidP="00312E2A">
      <w:pPr>
        <w:tabs>
          <w:tab w:val="left" w:pos="2580"/>
        </w:tabs>
        <w:spacing w:after="0" w:line="240" w:lineRule="auto"/>
        <w:jc w:val="center"/>
        <w:rPr>
          <w:rFonts w:ascii="Times New Roman" w:hAnsi="Times New Roman" w:cs="Times New Roman"/>
          <w:sz w:val="28"/>
          <w:szCs w:val="28"/>
          <w:lang w:val="kk-KZ"/>
        </w:rPr>
      </w:pPr>
    </w:p>
    <w:p w14:paraId="68E873B4" w14:textId="11294561" w:rsidR="00312E2A" w:rsidRDefault="00312E2A" w:rsidP="00312E2A">
      <w:pPr>
        <w:tabs>
          <w:tab w:val="left" w:pos="2580"/>
        </w:tabs>
        <w:spacing w:after="0" w:line="240" w:lineRule="auto"/>
        <w:jc w:val="center"/>
        <w:rPr>
          <w:rFonts w:ascii="Times New Roman" w:hAnsi="Times New Roman" w:cs="Times New Roman"/>
          <w:sz w:val="28"/>
          <w:szCs w:val="28"/>
          <w:lang w:val="kk-KZ"/>
        </w:rPr>
      </w:pPr>
      <w:r w:rsidRPr="00F04E39">
        <w:rPr>
          <w:rFonts w:ascii="Times New Roman" w:hAnsi="Times New Roman" w:cs="Times New Roman"/>
          <w:sz w:val="28"/>
          <w:szCs w:val="28"/>
          <w:lang w:val="kk-KZ"/>
        </w:rPr>
        <w:t>Результаты линейной регрессии по блоку «Человеческие ресурсы»</w:t>
      </w:r>
      <w:r w:rsidRPr="007D4F47">
        <w:rPr>
          <w:rFonts w:ascii="Times New Roman" w:hAnsi="Times New Roman" w:cs="Times New Roman"/>
          <w:sz w:val="28"/>
          <w:szCs w:val="28"/>
          <w:lang w:val="kk-KZ"/>
        </w:rPr>
        <w:t xml:space="preserve"> </w:t>
      </w:r>
    </w:p>
    <w:p w14:paraId="38ABA372" w14:textId="77777777" w:rsidR="00312E2A" w:rsidRDefault="00312E2A" w:rsidP="00312E2A">
      <w:pPr>
        <w:tabs>
          <w:tab w:val="left" w:pos="2580"/>
        </w:tabs>
        <w:spacing w:after="0" w:line="240" w:lineRule="auto"/>
        <w:jc w:val="center"/>
        <w:rPr>
          <w:rFonts w:ascii="Times New Roman" w:hAnsi="Times New Roman" w:cs="Times New Roman"/>
          <w:sz w:val="28"/>
          <w:szCs w:val="28"/>
          <w:lang w:val="kk-KZ"/>
        </w:rPr>
      </w:pPr>
    </w:p>
    <w:p w14:paraId="2BAA2B33" w14:textId="77777777" w:rsidR="00312E2A" w:rsidRPr="007D4F47" w:rsidRDefault="00312E2A" w:rsidP="00B20582">
      <w:pPr>
        <w:pStyle w:val="a3"/>
        <w:numPr>
          <w:ilvl w:val="0"/>
          <w:numId w:val="61"/>
        </w:numPr>
        <w:tabs>
          <w:tab w:val="left" w:pos="2580"/>
        </w:tabs>
        <w:spacing w:after="0" w:line="240" w:lineRule="auto"/>
        <w:rPr>
          <w:rFonts w:ascii="Times New Roman" w:hAnsi="Times New Roman" w:cs="Times New Roman"/>
          <w:sz w:val="28"/>
          <w:szCs w:val="28"/>
          <w:lang w:val="kk-KZ"/>
        </w:rPr>
      </w:pPr>
      <w:r w:rsidRPr="007D4F47">
        <w:rPr>
          <w:rFonts w:ascii="Times New Roman" w:hAnsi="Times New Roman" w:cs="Times New Roman"/>
          <w:sz w:val="28"/>
          <w:szCs w:val="28"/>
          <w:lang w:val="kk-KZ"/>
        </w:rPr>
        <w:t>по малым предприятиям</w:t>
      </w:r>
    </w:p>
    <w:p w14:paraId="3A4814C0" w14:textId="77777777" w:rsidR="00312E2A" w:rsidRDefault="00312E2A" w:rsidP="00312E2A">
      <w:pPr>
        <w:tabs>
          <w:tab w:val="left" w:pos="2580"/>
        </w:tabs>
        <w:ind w:firstLine="426"/>
        <w:rPr>
          <w:lang w:val="kk-KZ"/>
        </w:rPr>
      </w:pPr>
      <w:r w:rsidRPr="00A835AE">
        <w:rPr>
          <w:noProof/>
          <w:lang w:eastAsia="ru-RU"/>
        </w:rPr>
        <w:drawing>
          <wp:inline distT="0" distB="0" distL="0" distR="0" wp14:anchorId="4716174C" wp14:editId="025C7B26">
            <wp:extent cx="5232893" cy="5534025"/>
            <wp:effectExtent l="0" t="0" r="635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238297" cy="5539739"/>
                    </a:xfrm>
                    <a:prstGeom prst="rect">
                      <a:avLst/>
                    </a:prstGeom>
                  </pic:spPr>
                </pic:pic>
              </a:graphicData>
            </a:graphic>
          </wp:inline>
        </w:drawing>
      </w:r>
    </w:p>
    <w:p w14:paraId="7A50DFB1" w14:textId="77777777" w:rsidR="00312E2A" w:rsidRDefault="00312E2A" w:rsidP="00312E2A">
      <w:pPr>
        <w:tabs>
          <w:tab w:val="left" w:pos="2580"/>
        </w:tabs>
        <w:ind w:firstLine="426"/>
        <w:rPr>
          <w:lang w:val="kk-KZ"/>
        </w:rPr>
      </w:pPr>
      <w:r w:rsidRPr="00336C8A">
        <w:rPr>
          <w:noProof/>
          <w:lang w:eastAsia="ru-RU"/>
        </w:rPr>
        <w:drawing>
          <wp:inline distT="0" distB="0" distL="0" distR="0" wp14:anchorId="54C32025" wp14:editId="30ED255E">
            <wp:extent cx="1705213" cy="971686"/>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705213" cy="971686"/>
                    </a:xfrm>
                    <a:prstGeom prst="rect">
                      <a:avLst/>
                    </a:prstGeom>
                  </pic:spPr>
                </pic:pic>
              </a:graphicData>
            </a:graphic>
          </wp:inline>
        </w:drawing>
      </w:r>
    </w:p>
    <w:p w14:paraId="0BA27041" w14:textId="13C55A1D" w:rsidR="00312E2A" w:rsidRDefault="00312E2A" w:rsidP="00312E2A">
      <w:pPr>
        <w:rPr>
          <w:lang w:val="kk-KZ"/>
        </w:rPr>
      </w:pPr>
      <w:r>
        <w:rPr>
          <w:lang w:val="kk-KZ"/>
        </w:rPr>
        <w:br w:type="page"/>
      </w:r>
    </w:p>
    <w:p w14:paraId="151EC655" w14:textId="77777777" w:rsidR="00C465CD" w:rsidRDefault="00C465CD" w:rsidP="00312E2A">
      <w:pPr>
        <w:rPr>
          <w:lang w:val="kk-KZ"/>
        </w:rPr>
      </w:pPr>
    </w:p>
    <w:p w14:paraId="71B93744" w14:textId="77777777" w:rsidR="00312E2A" w:rsidRPr="00312E2A" w:rsidRDefault="00312E2A" w:rsidP="00B20582">
      <w:pPr>
        <w:pStyle w:val="a3"/>
        <w:numPr>
          <w:ilvl w:val="0"/>
          <w:numId w:val="61"/>
        </w:numPr>
        <w:tabs>
          <w:tab w:val="left" w:pos="2580"/>
        </w:tabs>
        <w:rPr>
          <w:rFonts w:ascii="Times New Roman" w:hAnsi="Times New Roman" w:cs="Times New Roman"/>
          <w:sz w:val="28"/>
          <w:szCs w:val="28"/>
          <w:lang w:val="kk-KZ"/>
        </w:rPr>
      </w:pPr>
      <w:r w:rsidRPr="00312E2A">
        <w:rPr>
          <w:rFonts w:ascii="Times New Roman" w:hAnsi="Times New Roman" w:cs="Times New Roman"/>
          <w:sz w:val="28"/>
          <w:szCs w:val="28"/>
          <w:lang w:val="kk-KZ"/>
        </w:rPr>
        <w:t>по средним предприятиям:</w:t>
      </w:r>
    </w:p>
    <w:p w14:paraId="698A1ABF" w14:textId="77777777" w:rsidR="00312E2A" w:rsidRDefault="00312E2A" w:rsidP="00312E2A">
      <w:pPr>
        <w:tabs>
          <w:tab w:val="left" w:pos="2580"/>
        </w:tabs>
        <w:ind w:left="360"/>
        <w:rPr>
          <w:lang w:val="kk-KZ"/>
        </w:rPr>
      </w:pPr>
      <w:r w:rsidRPr="007D4F47">
        <w:rPr>
          <w:noProof/>
          <w:lang w:eastAsia="ru-RU"/>
        </w:rPr>
        <w:drawing>
          <wp:inline distT="0" distB="0" distL="0" distR="0" wp14:anchorId="2AF3E629" wp14:editId="3937115E">
            <wp:extent cx="5041900" cy="5377454"/>
            <wp:effectExtent l="0" t="0" r="635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052666" cy="5388936"/>
                    </a:xfrm>
                    <a:prstGeom prst="rect">
                      <a:avLst/>
                    </a:prstGeom>
                  </pic:spPr>
                </pic:pic>
              </a:graphicData>
            </a:graphic>
          </wp:inline>
        </w:drawing>
      </w:r>
    </w:p>
    <w:p w14:paraId="7230F2B7" w14:textId="77777777" w:rsidR="00312E2A" w:rsidRDefault="00312E2A" w:rsidP="00312E2A">
      <w:pPr>
        <w:tabs>
          <w:tab w:val="left" w:pos="2580"/>
        </w:tabs>
        <w:ind w:left="360"/>
        <w:rPr>
          <w:lang w:val="kk-KZ"/>
        </w:rPr>
      </w:pPr>
      <w:r w:rsidRPr="00336C8A">
        <w:rPr>
          <w:noProof/>
          <w:lang w:eastAsia="ru-RU"/>
        </w:rPr>
        <w:drawing>
          <wp:inline distT="0" distB="0" distL="0" distR="0" wp14:anchorId="265042A3" wp14:editId="0861077C">
            <wp:extent cx="1620044" cy="86677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628923" cy="871525"/>
                    </a:xfrm>
                    <a:prstGeom prst="rect">
                      <a:avLst/>
                    </a:prstGeom>
                  </pic:spPr>
                </pic:pic>
              </a:graphicData>
            </a:graphic>
          </wp:inline>
        </w:drawing>
      </w:r>
    </w:p>
    <w:p w14:paraId="5ADC54CF" w14:textId="77777777" w:rsidR="00312E2A" w:rsidRDefault="00312E2A" w:rsidP="00312E2A">
      <w:pPr>
        <w:tabs>
          <w:tab w:val="left" w:pos="2580"/>
        </w:tabs>
        <w:ind w:left="360"/>
        <w:rPr>
          <w:lang w:val="kk-KZ"/>
        </w:rPr>
      </w:pPr>
    </w:p>
    <w:p w14:paraId="51AE6CA1" w14:textId="77777777" w:rsidR="00312E2A" w:rsidRDefault="00312E2A" w:rsidP="00312E2A">
      <w:pPr>
        <w:tabs>
          <w:tab w:val="left" w:pos="2580"/>
        </w:tabs>
        <w:ind w:left="360"/>
        <w:rPr>
          <w:lang w:val="kk-KZ"/>
        </w:rPr>
      </w:pPr>
    </w:p>
    <w:p w14:paraId="2B8A37C1" w14:textId="77777777" w:rsidR="00312E2A" w:rsidRDefault="00312E2A" w:rsidP="00312E2A">
      <w:pPr>
        <w:tabs>
          <w:tab w:val="left" w:pos="2580"/>
        </w:tabs>
        <w:ind w:left="360"/>
        <w:rPr>
          <w:lang w:val="kk-KZ"/>
        </w:rPr>
      </w:pPr>
    </w:p>
    <w:p w14:paraId="7089A3BA" w14:textId="77777777" w:rsidR="00312E2A" w:rsidRDefault="00312E2A" w:rsidP="00312E2A">
      <w:pPr>
        <w:tabs>
          <w:tab w:val="left" w:pos="2580"/>
        </w:tabs>
        <w:ind w:left="360"/>
        <w:rPr>
          <w:lang w:val="kk-KZ"/>
        </w:rPr>
      </w:pPr>
    </w:p>
    <w:p w14:paraId="6B5B14BF" w14:textId="6985020F" w:rsidR="00312E2A" w:rsidRDefault="00312E2A" w:rsidP="00312E2A">
      <w:pPr>
        <w:tabs>
          <w:tab w:val="left" w:pos="2580"/>
        </w:tabs>
        <w:ind w:left="360"/>
        <w:rPr>
          <w:rFonts w:ascii="Times New Roman" w:hAnsi="Times New Roman" w:cs="Times New Roman"/>
          <w:sz w:val="28"/>
          <w:szCs w:val="28"/>
          <w:lang w:val="kk-KZ"/>
        </w:rPr>
      </w:pPr>
    </w:p>
    <w:p w14:paraId="2EACDCBB" w14:textId="01DE261E" w:rsidR="00C465CD" w:rsidRDefault="00C465CD" w:rsidP="00312E2A">
      <w:pPr>
        <w:tabs>
          <w:tab w:val="left" w:pos="2580"/>
        </w:tabs>
        <w:ind w:left="360"/>
        <w:rPr>
          <w:rFonts w:ascii="Times New Roman" w:hAnsi="Times New Roman" w:cs="Times New Roman"/>
          <w:sz w:val="28"/>
          <w:szCs w:val="28"/>
          <w:lang w:val="kk-KZ"/>
        </w:rPr>
      </w:pPr>
    </w:p>
    <w:p w14:paraId="4268ED6B" w14:textId="64FEDF9E" w:rsidR="00C465CD" w:rsidRDefault="00C465CD" w:rsidP="00312E2A">
      <w:pPr>
        <w:tabs>
          <w:tab w:val="left" w:pos="2580"/>
        </w:tabs>
        <w:ind w:left="360"/>
        <w:rPr>
          <w:rFonts w:ascii="Times New Roman" w:hAnsi="Times New Roman" w:cs="Times New Roman"/>
          <w:sz w:val="28"/>
          <w:szCs w:val="28"/>
          <w:lang w:val="kk-KZ"/>
        </w:rPr>
      </w:pPr>
    </w:p>
    <w:p w14:paraId="20D5A1D8" w14:textId="77777777" w:rsidR="00C465CD" w:rsidRPr="00312E2A" w:rsidRDefault="00C465CD" w:rsidP="00312E2A">
      <w:pPr>
        <w:tabs>
          <w:tab w:val="left" w:pos="2580"/>
        </w:tabs>
        <w:ind w:left="360"/>
        <w:rPr>
          <w:rFonts w:ascii="Times New Roman" w:hAnsi="Times New Roman" w:cs="Times New Roman"/>
          <w:sz w:val="28"/>
          <w:szCs w:val="28"/>
          <w:lang w:val="kk-KZ"/>
        </w:rPr>
      </w:pPr>
    </w:p>
    <w:p w14:paraId="2037DF18" w14:textId="77777777" w:rsidR="00312E2A" w:rsidRPr="00312E2A" w:rsidRDefault="00312E2A" w:rsidP="00B20582">
      <w:pPr>
        <w:pStyle w:val="a3"/>
        <w:numPr>
          <w:ilvl w:val="0"/>
          <w:numId w:val="61"/>
        </w:numPr>
        <w:tabs>
          <w:tab w:val="left" w:pos="2580"/>
        </w:tabs>
        <w:rPr>
          <w:rFonts w:ascii="Times New Roman" w:hAnsi="Times New Roman" w:cs="Times New Roman"/>
          <w:sz w:val="28"/>
          <w:szCs w:val="28"/>
          <w:lang w:val="kk-KZ"/>
        </w:rPr>
      </w:pPr>
      <w:r w:rsidRPr="00312E2A">
        <w:rPr>
          <w:rFonts w:ascii="Times New Roman" w:hAnsi="Times New Roman" w:cs="Times New Roman"/>
          <w:sz w:val="28"/>
          <w:szCs w:val="28"/>
          <w:lang w:val="kk-KZ"/>
        </w:rPr>
        <w:t>по крупным предприятиям:</w:t>
      </w:r>
    </w:p>
    <w:p w14:paraId="1A76715D" w14:textId="77777777" w:rsidR="00312E2A" w:rsidRDefault="00312E2A" w:rsidP="00312E2A">
      <w:pPr>
        <w:tabs>
          <w:tab w:val="left" w:pos="2580"/>
        </w:tabs>
        <w:ind w:left="360"/>
        <w:rPr>
          <w:lang w:val="kk-KZ"/>
        </w:rPr>
      </w:pPr>
      <w:r w:rsidRPr="007D4F47">
        <w:rPr>
          <w:noProof/>
          <w:lang w:eastAsia="ru-RU"/>
        </w:rPr>
        <w:drawing>
          <wp:inline distT="0" distB="0" distL="0" distR="0" wp14:anchorId="0F32DDB1" wp14:editId="07BBE62E">
            <wp:extent cx="5543347" cy="5974080"/>
            <wp:effectExtent l="0" t="0" r="635" b="762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565098" cy="5997521"/>
                    </a:xfrm>
                    <a:prstGeom prst="rect">
                      <a:avLst/>
                    </a:prstGeom>
                  </pic:spPr>
                </pic:pic>
              </a:graphicData>
            </a:graphic>
          </wp:inline>
        </w:drawing>
      </w:r>
    </w:p>
    <w:p w14:paraId="4CE7C7DD" w14:textId="77777777" w:rsidR="00312E2A" w:rsidRDefault="00312E2A" w:rsidP="00312E2A">
      <w:pPr>
        <w:tabs>
          <w:tab w:val="left" w:pos="2580"/>
        </w:tabs>
        <w:ind w:left="360"/>
        <w:rPr>
          <w:lang w:val="kk-KZ"/>
        </w:rPr>
      </w:pPr>
      <w:r w:rsidRPr="00336C8A">
        <w:rPr>
          <w:noProof/>
          <w:lang w:eastAsia="ru-RU"/>
        </w:rPr>
        <w:drawing>
          <wp:inline distT="0" distB="0" distL="0" distR="0" wp14:anchorId="28BCAC31" wp14:editId="07BBA20C">
            <wp:extent cx="2027127" cy="100965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034802" cy="1013473"/>
                    </a:xfrm>
                    <a:prstGeom prst="rect">
                      <a:avLst/>
                    </a:prstGeom>
                  </pic:spPr>
                </pic:pic>
              </a:graphicData>
            </a:graphic>
          </wp:inline>
        </w:drawing>
      </w:r>
    </w:p>
    <w:p w14:paraId="72EB4345" w14:textId="77777777" w:rsidR="00312E2A" w:rsidRDefault="00312E2A" w:rsidP="00312E2A">
      <w:pPr>
        <w:tabs>
          <w:tab w:val="left" w:pos="2580"/>
        </w:tabs>
        <w:ind w:left="360"/>
        <w:rPr>
          <w:lang w:val="kk-KZ"/>
        </w:rPr>
      </w:pPr>
    </w:p>
    <w:p w14:paraId="5287B4C8" w14:textId="2AA0AFFA" w:rsidR="00312E2A" w:rsidRDefault="00312E2A" w:rsidP="00C465CD">
      <w:pPr>
        <w:jc w:val="center"/>
        <w:rPr>
          <w:rFonts w:ascii="Times New Roman" w:hAnsi="Times New Roman" w:cs="Times New Roman"/>
          <w:b/>
          <w:caps/>
          <w:sz w:val="28"/>
          <w:szCs w:val="28"/>
          <w:lang w:val="kk-KZ"/>
        </w:rPr>
      </w:pPr>
      <w:r>
        <w:rPr>
          <w:lang w:val="kk-KZ"/>
        </w:rPr>
        <w:br w:type="page"/>
      </w:r>
      <w:r w:rsidRPr="00C00EF0">
        <w:rPr>
          <w:rFonts w:ascii="Times New Roman" w:hAnsi="Times New Roman" w:cs="Times New Roman"/>
          <w:b/>
          <w:caps/>
          <w:sz w:val="28"/>
          <w:szCs w:val="28"/>
          <w:lang w:val="kk-KZ"/>
        </w:rPr>
        <w:lastRenderedPageBreak/>
        <w:t xml:space="preserve">Приложение </w:t>
      </w:r>
      <w:r w:rsidR="0084493D">
        <w:rPr>
          <w:rFonts w:ascii="Times New Roman" w:hAnsi="Times New Roman" w:cs="Times New Roman"/>
          <w:b/>
          <w:caps/>
          <w:sz w:val="28"/>
          <w:szCs w:val="28"/>
          <w:lang w:val="kk-KZ"/>
        </w:rPr>
        <w:t>К</w:t>
      </w:r>
    </w:p>
    <w:p w14:paraId="3B2F2BA2" w14:textId="77777777" w:rsidR="00312E2A" w:rsidRPr="00F04E39" w:rsidRDefault="00312E2A" w:rsidP="00C465CD">
      <w:pPr>
        <w:tabs>
          <w:tab w:val="left" w:pos="2580"/>
        </w:tabs>
        <w:ind w:right="-1"/>
        <w:jc w:val="center"/>
        <w:rPr>
          <w:rFonts w:ascii="Times New Roman" w:hAnsi="Times New Roman" w:cs="Times New Roman"/>
          <w:sz w:val="28"/>
          <w:szCs w:val="28"/>
          <w:lang w:val="kk-KZ"/>
        </w:rPr>
      </w:pPr>
      <w:r w:rsidRPr="00F04E39">
        <w:rPr>
          <w:rFonts w:ascii="Times New Roman" w:hAnsi="Times New Roman" w:cs="Times New Roman"/>
          <w:sz w:val="28"/>
          <w:szCs w:val="28"/>
          <w:lang w:val="kk-KZ"/>
        </w:rPr>
        <w:t>Результаты однофакторного дисперсионного анализа (Welch’s ANOVA)</w:t>
      </w:r>
    </w:p>
    <w:p w14:paraId="1BA9AA90" w14:textId="77777777" w:rsidR="00312E2A" w:rsidRDefault="00312E2A" w:rsidP="00312E2A">
      <w:pPr>
        <w:tabs>
          <w:tab w:val="left" w:pos="2580"/>
        </w:tabs>
        <w:ind w:left="360"/>
        <w:rPr>
          <w:lang w:val="kk-KZ"/>
        </w:rPr>
      </w:pPr>
      <w:r w:rsidRPr="00336C8A">
        <w:rPr>
          <w:noProof/>
          <w:lang w:eastAsia="ru-RU"/>
        </w:rPr>
        <w:drawing>
          <wp:inline distT="0" distB="0" distL="0" distR="0" wp14:anchorId="0AC0CB30" wp14:editId="44446094">
            <wp:extent cx="2991315" cy="22098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008310" cy="2222355"/>
                    </a:xfrm>
                    <a:prstGeom prst="rect">
                      <a:avLst/>
                    </a:prstGeom>
                  </pic:spPr>
                </pic:pic>
              </a:graphicData>
            </a:graphic>
          </wp:inline>
        </w:drawing>
      </w:r>
    </w:p>
    <w:p w14:paraId="57011F71" w14:textId="77777777" w:rsidR="00312E2A" w:rsidRDefault="00312E2A" w:rsidP="00312E2A">
      <w:pPr>
        <w:tabs>
          <w:tab w:val="left" w:pos="2580"/>
        </w:tabs>
        <w:rPr>
          <w:lang w:val="kk-KZ"/>
        </w:rPr>
      </w:pPr>
      <w:r w:rsidRPr="00336C8A">
        <w:rPr>
          <w:noProof/>
          <w:lang w:eastAsia="ru-RU"/>
        </w:rPr>
        <w:drawing>
          <wp:inline distT="0" distB="0" distL="0" distR="0" wp14:anchorId="1FF36B87" wp14:editId="0E39ECC7">
            <wp:extent cx="4014888" cy="5266762"/>
            <wp:effectExtent l="0" t="0" r="508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028917" cy="5285166"/>
                    </a:xfrm>
                    <a:prstGeom prst="rect">
                      <a:avLst/>
                    </a:prstGeom>
                  </pic:spPr>
                </pic:pic>
              </a:graphicData>
            </a:graphic>
          </wp:inline>
        </w:drawing>
      </w:r>
    </w:p>
    <w:p w14:paraId="612016AE" w14:textId="77777777" w:rsidR="00312E2A" w:rsidRDefault="00312E2A" w:rsidP="00312E2A">
      <w:pPr>
        <w:rPr>
          <w:lang w:val="kk-KZ"/>
        </w:rPr>
      </w:pPr>
      <w:r>
        <w:rPr>
          <w:lang w:val="kk-KZ"/>
        </w:rPr>
        <w:br w:type="page"/>
      </w:r>
    </w:p>
    <w:p w14:paraId="2712E8E1" w14:textId="34753705" w:rsidR="00312E2A" w:rsidRPr="00F04E39" w:rsidRDefault="0084493D" w:rsidP="00312E2A">
      <w:pPr>
        <w:tabs>
          <w:tab w:val="left" w:pos="2580"/>
        </w:tabs>
        <w:jc w:val="center"/>
        <w:rPr>
          <w:rFonts w:ascii="Times New Roman" w:hAnsi="Times New Roman" w:cs="Times New Roman"/>
          <w:b/>
          <w:caps/>
          <w:sz w:val="28"/>
          <w:szCs w:val="28"/>
          <w:lang w:val="kk-KZ"/>
        </w:rPr>
      </w:pPr>
      <w:r>
        <w:rPr>
          <w:rFonts w:ascii="Times New Roman" w:hAnsi="Times New Roman" w:cs="Times New Roman"/>
          <w:b/>
          <w:caps/>
          <w:sz w:val="28"/>
          <w:szCs w:val="28"/>
          <w:lang w:val="kk-KZ"/>
        </w:rPr>
        <w:lastRenderedPageBreak/>
        <w:t>Приложение Л</w:t>
      </w:r>
    </w:p>
    <w:p w14:paraId="1B7CC726" w14:textId="4F31413B" w:rsidR="00312E2A" w:rsidRPr="00F04E39" w:rsidRDefault="00312E2A" w:rsidP="00C465CD">
      <w:pPr>
        <w:tabs>
          <w:tab w:val="left" w:pos="2580"/>
        </w:tabs>
        <w:ind w:right="282"/>
        <w:jc w:val="center"/>
        <w:rPr>
          <w:rFonts w:ascii="Times New Roman" w:hAnsi="Times New Roman" w:cs="Times New Roman"/>
          <w:sz w:val="28"/>
          <w:szCs w:val="28"/>
          <w:lang w:val="kk-KZ"/>
        </w:rPr>
      </w:pPr>
      <w:r w:rsidRPr="00F04E39">
        <w:rPr>
          <w:rFonts w:ascii="Times New Roman" w:hAnsi="Times New Roman" w:cs="Times New Roman"/>
          <w:sz w:val="28"/>
          <w:szCs w:val="28"/>
          <w:lang w:val="kk-KZ"/>
        </w:rPr>
        <w:t xml:space="preserve">Результаты </w:t>
      </w:r>
      <w:r w:rsidR="005D4A88">
        <w:rPr>
          <w:rFonts w:ascii="Times New Roman" w:hAnsi="Times New Roman" w:cs="Times New Roman"/>
          <w:sz w:val="28"/>
          <w:szCs w:val="28"/>
          <w:lang w:val="kk-KZ"/>
        </w:rPr>
        <w:t xml:space="preserve">латентного </w:t>
      </w:r>
      <w:r w:rsidRPr="00F04E39">
        <w:rPr>
          <w:rFonts w:ascii="Times New Roman" w:hAnsi="Times New Roman" w:cs="Times New Roman"/>
          <w:sz w:val="28"/>
          <w:szCs w:val="28"/>
          <w:lang w:val="kk-KZ"/>
        </w:rPr>
        <w:t>кластерного анализа (LCA) по  блоку «Инновационная культура»</w:t>
      </w:r>
    </w:p>
    <w:p w14:paraId="1CF0B441" w14:textId="77777777" w:rsidR="00312E2A" w:rsidRDefault="00312E2A" w:rsidP="00312E2A">
      <w:pPr>
        <w:tabs>
          <w:tab w:val="left" w:pos="2580"/>
        </w:tabs>
        <w:rPr>
          <w:lang w:val="kk-KZ"/>
        </w:rPr>
      </w:pPr>
      <w:r w:rsidRPr="00F65E13">
        <w:rPr>
          <w:noProof/>
          <w:lang w:eastAsia="ru-RU"/>
        </w:rPr>
        <w:drawing>
          <wp:inline distT="0" distB="0" distL="0" distR="0" wp14:anchorId="7F35032F" wp14:editId="5F3D4E0E">
            <wp:extent cx="2810267" cy="447737"/>
            <wp:effectExtent l="0" t="0" r="9525"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810267" cy="447737"/>
                    </a:xfrm>
                    <a:prstGeom prst="rect">
                      <a:avLst/>
                    </a:prstGeom>
                  </pic:spPr>
                </pic:pic>
              </a:graphicData>
            </a:graphic>
          </wp:inline>
        </w:drawing>
      </w:r>
    </w:p>
    <w:p w14:paraId="593FE4F9" w14:textId="77777777" w:rsidR="00312E2A" w:rsidRDefault="00312E2A" w:rsidP="00312E2A">
      <w:pPr>
        <w:tabs>
          <w:tab w:val="left" w:pos="2580"/>
        </w:tabs>
        <w:rPr>
          <w:lang w:val="kk-KZ"/>
        </w:rPr>
      </w:pPr>
      <w:r w:rsidRPr="00F65E13">
        <w:rPr>
          <w:noProof/>
          <w:lang w:eastAsia="ru-RU"/>
        </w:rPr>
        <w:drawing>
          <wp:inline distT="0" distB="0" distL="0" distR="0" wp14:anchorId="2D927BA0" wp14:editId="4DE85F07">
            <wp:extent cx="5760085" cy="2605405"/>
            <wp:effectExtent l="0" t="0" r="0" b="444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760085" cy="2605405"/>
                    </a:xfrm>
                    <a:prstGeom prst="rect">
                      <a:avLst/>
                    </a:prstGeom>
                  </pic:spPr>
                </pic:pic>
              </a:graphicData>
            </a:graphic>
          </wp:inline>
        </w:drawing>
      </w:r>
    </w:p>
    <w:p w14:paraId="0340099D" w14:textId="77777777" w:rsidR="00312E2A" w:rsidRDefault="00312E2A" w:rsidP="00312E2A">
      <w:pPr>
        <w:tabs>
          <w:tab w:val="left" w:pos="2580"/>
        </w:tabs>
        <w:rPr>
          <w:lang w:val="kk-KZ"/>
        </w:rPr>
      </w:pPr>
      <w:r w:rsidRPr="00F65E13">
        <w:rPr>
          <w:noProof/>
          <w:lang w:eastAsia="ru-RU"/>
        </w:rPr>
        <w:drawing>
          <wp:inline distT="0" distB="0" distL="0" distR="0" wp14:anchorId="1E91081B" wp14:editId="6692779E">
            <wp:extent cx="2791215" cy="1876687"/>
            <wp:effectExtent l="0" t="0" r="9525"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791215" cy="1876687"/>
                    </a:xfrm>
                    <a:prstGeom prst="rect">
                      <a:avLst/>
                    </a:prstGeom>
                  </pic:spPr>
                </pic:pic>
              </a:graphicData>
            </a:graphic>
          </wp:inline>
        </w:drawing>
      </w:r>
    </w:p>
    <w:p w14:paraId="4ABD87C1" w14:textId="77777777" w:rsidR="00312E2A" w:rsidRDefault="00312E2A" w:rsidP="00312E2A">
      <w:pPr>
        <w:rPr>
          <w:lang w:val="kk-KZ"/>
        </w:rPr>
      </w:pPr>
      <w:r>
        <w:rPr>
          <w:lang w:val="kk-KZ"/>
        </w:rPr>
        <w:br w:type="page"/>
      </w:r>
    </w:p>
    <w:p w14:paraId="640DC809" w14:textId="638D166E" w:rsidR="00312E2A" w:rsidRPr="00F04E39" w:rsidRDefault="0084493D" w:rsidP="00312E2A">
      <w:pPr>
        <w:tabs>
          <w:tab w:val="left" w:pos="2580"/>
        </w:tabs>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ПРИЛОЖЕНИЕ М</w:t>
      </w:r>
    </w:p>
    <w:p w14:paraId="7FBFF8B4" w14:textId="77777777" w:rsidR="00312E2A" w:rsidRPr="00F04E39" w:rsidRDefault="00312E2A" w:rsidP="00312E2A">
      <w:pPr>
        <w:tabs>
          <w:tab w:val="left" w:pos="2580"/>
        </w:tabs>
        <w:jc w:val="center"/>
        <w:rPr>
          <w:rFonts w:ascii="Times New Roman" w:hAnsi="Times New Roman" w:cs="Times New Roman"/>
          <w:sz w:val="28"/>
          <w:szCs w:val="28"/>
          <w:lang w:val="kk-KZ"/>
        </w:rPr>
      </w:pPr>
      <w:r w:rsidRPr="00F04E39">
        <w:rPr>
          <w:rFonts w:ascii="Times New Roman" w:hAnsi="Times New Roman" w:cs="Times New Roman"/>
          <w:sz w:val="28"/>
          <w:szCs w:val="28"/>
          <w:lang w:val="kk-KZ"/>
        </w:rPr>
        <w:t>Результаты CFA-анализа по блоку «Факторы, способствующие и препятствующие инноваациям»</w:t>
      </w:r>
    </w:p>
    <w:p w14:paraId="02B4FFC4" w14:textId="77777777" w:rsidR="00312E2A" w:rsidRDefault="00312E2A" w:rsidP="00312E2A">
      <w:pPr>
        <w:tabs>
          <w:tab w:val="left" w:pos="2580"/>
        </w:tabs>
        <w:rPr>
          <w:lang w:val="kk-KZ"/>
        </w:rPr>
      </w:pPr>
      <w:r w:rsidRPr="00767243">
        <w:rPr>
          <w:noProof/>
          <w:lang w:eastAsia="ru-RU"/>
        </w:rPr>
        <w:drawing>
          <wp:inline distT="0" distB="0" distL="0" distR="0" wp14:anchorId="7A36EBB1" wp14:editId="1C03CDB4">
            <wp:extent cx="5760085" cy="3597910"/>
            <wp:effectExtent l="0" t="0" r="0" b="254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760085" cy="3597910"/>
                    </a:xfrm>
                    <a:prstGeom prst="rect">
                      <a:avLst/>
                    </a:prstGeom>
                  </pic:spPr>
                </pic:pic>
              </a:graphicData>
            </a:graphic>
          </wp:inline>
        </w:drawing>
      </w:r>
    </w:p>
    <w:p w14:paraId="74C4A4BE" w14:textId="77777777" w:rsidR="00312E2A" w:rsidRDefault="00312E2A" w:rsidP="00312E2A">
      <w:pPr>
        <w:tabs>
          <w:tab w:val="left" w:pos="2580"/>
        </w:tabs>
        <w:rPr>
          <w:lang w:val="kk-KZ"/>
        </w:rPr>
      </w:pPr>
      <w:r w:rsidRPr="00767243">
        <w:rPr>
          <w:noProof/>
          <w:lang w:eastAsia="ru-RU"/>
        </w:rPr>
        <w:drawing>
          <wp:inline distT="0" distB="0" distL="0" distR="0" wp14:anchorId="2CF1AC8B" wp14:editId="58F73C0B">
            <wp:extent cx="1733925" cy="12573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741101" cy="1262503"/>
                    </a:xfrm>
                    <a:prstGeom prst="rect">
                      <a:avLst/>
                    </a:prstGeom>
                  </pic:spPr>
                </pic:pic>
              </a:graphicData>
            </a:graphic>
          </wp:inline>
        </w:drawing>
      </w:r>
    </w:p>
    <w:p w14:paraId="36F1031D" w14:textId="77777777" w:rsidR="00312E2A" w:rsidRDefault="00312E2A" w:rsidP="00312E2A">
      <w:pPr>
        <w:tabs>
          <w:tab w:val="left" w:pos="2580"/>
        </w:tabs>
        <w:rPr>
          <w:lang w:val="kk-KZ"/>
        </w:rPr>
      </w:pPr>
      <w:r w:rsidRPr="00767243">
        <w:rPr>
          <w:noProof/>
          <w:lang w:eastAsia="ru-RU"/>
        </w:rPr>
        <w:drawing>
          <wp:inline distT="0" distB="0" distL="0" distR="0" wp14:anchorId="7F14205A" wp14:editId="1FC7610B">
            <wp:extent cx="3819525" cy="1144098"/>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836909" cy="1149305"/>
                    </a:xfrm>
                    <a:prstGeom prst="rect">
                      <a:avLst/>
                    </a:prstGeom>
                  </pic:spPr>
                </pic:pic>
              </a:graphicData>
            </a:graphic>
          </wp:inline>
        </w:drawing>
      </w:r>
    </w:p>
    <w:p w14:paraId="57114447" w14:textId="77777777" w:rsidR="00312E2A" w:rsidRDefault="00312E2A" w:rsidP="00312E2A">
      <w:pPr>
        <w:rPr>
          <w:lang w:val="kk-KZ"/>
        </w:rPr>
      </w:pPr>
      <w:r>
        <w:rPr>
          <w:lang w:val="kk-KZ"/>
        </w:rPr>
        <w:br w:type="page"/>
      </w:r>
    </w:p>
    <w:p w14:paraId="4C754257" w14:textId="307F037A" w:rsidR="00312E2A" w:rsidRPr="005B4A65" w:rsidRDefault="0084493D" w:rsidP="00312E2A">
      <w:pPr>
        <w:tabs>
          <w:tab w:val="left" w:pos="2580"/>
        </w:tabs>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ПРИЛОЖЕНИЕ Н</w:t>
      </w:r>
    </w:p>
    <w:p w14:paraId="497EE8AF" w14:textId="77777777" w:rsidR="00312E2A" w:rsidRPr="005B4A65" w:rsidRDefault="00312E2A" w:rsidP="00312E2A">
      <w:pPr>
        <w:tabs>
          <w:tab w:val="left" w:pos="2580"/>
        </w:tabs>
        <w:jc w:val="center"/>
        <w:rPr>
          <w:rFonts w:ascii="Times New Roman" w:hAnsi="Times New Roman" w:cs="Times New Roman"/>
          <w:sz w:val="28"/>
          <w:szCs w:val="28"/>
          <w:lang w:val="kk-KZ"/>
        </w:rPr>
      </w:pPr>
      <w:r w:rsidRPr="005B4A65">
        <w:rPr>
          <w:rFonts w:ascii="Times New Roman" w:hAnsi="Times New Roman" w:cs="Times New Roman"/>
          <w:sz w:val="28"/>
          <w:szCs w:val="28"/>
          <w:lang w:val="kk-KZ"/>
        </w:rPr>
        <w:t>Результаты анализа логистической регресии по блоку «Государственная  поддержка»</w:t>
      </w:r>
    </w:p>
    <w:p w14:paraId="24B15CB0" w14:textId="77777777" w:rsidR="00312E2A" w:rsidRDefault="00312E2A" w:rsidP="00312E2A">
      <w:pPr>
        <w:tabs>
          <w:tab w:val="left" w:pos="2580"/>
        </w:tabs>
        <w:rPr>
          <w:lang w:val="kk-KZ"/>
        </w:rPr>
      </w:pPr>
      <w:r w:rsidRPr="00767243">
        <w:rPr>
          <w:noProof/>
          <w:lang w:eastAsia="ru-RU"/>
        </w:rPr>
        <w:drawing>
          <wp:inline distT="0" distB="0" distL="0" distR="0" wp14:anchorId="63A9607A" wp14:editId="3EE29DD1">
            <wp:extent cx="5410200" cy="2246149"/>
            <wp:effectExtent l="0" t="0" r="0" b="190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414888" cy="2248095"/>
                    </a:xfrm>
                    <a:prstGeom prst="rect">
                      <a:avLst/>
                    </a:prstGeom>
                  </pic:spPr>
                </pic:pic>
              </a:graphicData>
            </a:graphic>
          </wp:inline>
        </w:drawing>
      </w:r>
    </w:p>
    <w:p w14:paraId="433DA0FB" w14:textId="77777777" w:rsidR="00312E2A" w:rsidRDefault="00312E2A" w:rsidP="00312E2A">
      <w:pPr>
        <w:tabs>
          <w:tab w:val="left" w:pos="2580"/>
        </w:tabs>
        <w:rPr>
          <w:lang w:val="kk-KZ"/>
        </w:rPr>
      </w:pPr>
      <w:r w:rsidRPr="00767243">
        <w:rPr>
          <w:noProof/>
          <w:lang w:eastAsia="ru-RU"/>
        </w:rPr>
        <w:drawing>
          <wp:inline distT="0" distB="0" distL="0" distR="0" wp14:anchorId="02363A75" wp14:editId="16CD24F5">
            <wp:extent cx="2514600" cy="1068294"/>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518376" cy="1069898"/>
                    </a:xfrm>
                    <a:prstGeom prst="rect">
                      <a:avLst/>
                    </a:prstGeom>
                  </pic:spPr>
                </pic:pic>
              </a:graphicData>
            </a:graphic>
          </wp:inline>
        </w:drawing>
      </w:r>
    </w:p>
    <w:p w14:paraId="2E559D3E" w14:textId="77777777" w:rsidR="00312E2A" w:rsidRDefault="00312E2A" w:rsidP="00312E2A">
      <w:pPr>
        <w:tabs>
          <w:tab w:val="left" w:pos="2580"/>
        </w:tabs>
        <w:rPr>
          <w:lang w:val="kk-KZ"/>
        </w:rPr>
      </w:pPr>
      <w:r w:rsidRPr="00767243">
        <w:rPr>
          <w:noProof/>
          <w:lang w:eastAsia="ru-RU"/>
        </w:rPr>
        <w:drawing>
          <wp:inline distT="0" distB="0" distL="0" distR="0" wp14:anchorId="7B27C0F2" wp14:editId="570F9029">
            <wp:extent cx="5760085" cy="1412875"/>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760085" cy="1412875"/>
                    </a:xfrm>
                    <a:prstGeom prst="rect">
                      <a:avLst/>
                    </a:prstGeom>
                  </pic:spPr>
                </pic:pic>
              </a:graphicData>
            </a:graphic>
          </wp:inline>
        </w:drawing>
      </w:r>
    </w:p>
    <w:p w14:paraId="257E281F" w14:textId="77777777" w:rsidR="00312E2A" w:rsidRDefault="00312E2A" w:rsidP="00312E2A">
      <w:pPr>
        <w:tabs>
          <w:tab w:val="left" w:pos="2580"/>
        </w:tabs>
        <w:rPr>
          <w:lang w:val="kk-KZ"/>
        </w:rPr>
      </w:pPr>
      <w:r w:rsidRPr="00767243">
        <w:rPr>
          <w:noProof/>
          <w:lang w:eastAsia="ru-RU"/>
        </w:rPr>
        <w:drawing>
          <wp:inline distT="0" distB="0" distL="0" distR="0" wp14:anchorId="13BD6A69" wp14:editId="0B1A67D7">
            <wp:extent cx="5760085" cy="1307465"/>
            <wp:effectExtent l="0" t="0" r="0" b="698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760085" cy="1307465"/>
                    </a:xfrm>
                    <a:prstGeom prst="rect">
                      <a:avLst/>
                    </a:prstGeom>
                  </pic:spPr>
                </pic:pic>
              </a:graphicData>
            </a:graphic>
          </wp:inline>
        </w:drawing>
      </w:r>
    </w:p>
    <w:p w14:paraId="73D5E382" w14:textId="77777777" w:rsidR="00312E2A" w:rsidRDefault="00312E2A" w:rsidP="00312E2A">
      <w:pPr>
        <w:tabs>
          <w:tab w:val="left" w:pos="2580"/>
        </w:tabs>
        <w:rPr>
          <w:lang w:val="kk-KZ"/>
        </w:rPr>
      </w:pPr>
      <w:r w:rsidRPr="00767243">
        <w:rPr>
          <w:noProof/>
          <w:lang w:eastAsia="ru-RU"/>
        </w:rPr>
        <w:drawing>
          <wp:inline distT="0" distB="0" distL="0" distR="0" wp14:anchorId="1D03AEDF" wp14:editId="0F0E48A6">
            <wp:extent cx="4848225" cy="1522018"/>
            <wp:effectExtent l="0" t="0" r="0" b="254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876085" cy="1530764"/>
                    </a:xfrm>
                    <a:prstGeom prst="rect">
                      <a:avLst/>
                    </a:prstGeom>
                  </pic:spPr>
                </pic:pic>
              </a:graphicData>
            </a:graphic>
          </wp:inline>
        </w:drawing>
      </w:r>
    </w:p>
    <w:p w14:paraId="6F85DF8B" w14:textId="77777777" w:rsidR="00312E2A" w:rsidRDefault="00312E2A" w:rsidP="00312E2A">
      <w:pPr>
        <w:tabs>
          <w:tab w:val="left" w:pos="2580"/>
        </w:tabs>
        <w:rPr>
          <w:lang w:val="kk-KZ"/>
        </w:rPr>
        <w:sectPr w:rsidR="00312E2A" w:rsidSect="00C465CD">
          <w:pgSz w:w="11906" w:h="16838"/>
          <w:pgMar w:top="1134" w:right="567" w:bottom="1134" w:left="1701" w:header="709" w:footer="709" w:gutter="0"/>
          <w:cols w:space="708"/>
          <w:docGrid w:linePitch="360"/>
        </w:sectPr>
      </w:pPr>
    </w:p>
    <w:p w14:paraId="7DDDD84B" w14:textId="364029A4" w:rsidR="00312E2A" w:rsidRPr="001B43BD" w:rsidRDefault="0084493D" w:rsidP="00312E2A">
      <w:pPr>
        <w:tabs>
          <w:tab w:val="left" w:pos="2580"/>
        </w:tabs>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ПРИЛОЖЕНИЕ П</w:t>
      </w:r>
    </w:p>
    <w:p w14:paraId="42BFBEBD" w14:textId="00586A78" w:rsidR="00312E2A" w:rsidRDefault="00574C28" w:rsidP="00312E2A">
      <w:pPr>
        <w:tabs>
          <w:tab w:val="left" w:pos="2580"/>
        </w:tabs>
        <w:jc w:val="center"/>
        <w:rPr>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729920" behindDoc="0" locked="0" layoutInCell="1" allowOverlap="1" wp14:anchorId="5AF9350A" wp14:editId="36DE9EAD">
                <wp:simplePos x="0" y="0"/>
                <wp:positionH relativeFrom="column">
                  <wp:posOffset>-469265</wp:posOffset>
                </wp:positionH>
                <wp:positionV relativeFrom="paragraph">
                  <wp:posOffset>2514918</wp:posOffset>
                </wp:positionV>
                <wp:extent cx="613611" cy="324852"/>
                <wp:effectExtent l="0" t="0" r="7303" b="0"/>
                <wp:wrapNone/>
                <wp:docPr id="278" name="Надпись 278"/>
                <wp:cNvGraphicFramePr/>
                <a:graphic xmlns:a="http://schemas.openxmlformats.org/drawingml/2006/main">
                  <a:graphicData uri="http://schemas.microsoft.com/office/word/2010/wordprocessingShape">
                    <wps:wsp>
                      <wps:cNvSpPr txBox="1"/>
                      <wps:spPr>
                        <a:xfrm rot="5400000">
                          <a:off x="0" y="0"/>
                          <a:ext cx="613611" cy="32485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A56005A" w14:textId="622AFF62" w:rsidR="001D4931" w:rsidRPr="00C17FB9" w:rsidRDefault="001D4931" w:rsidP="00574C28">
                            <w:pPr>
                              <w:jc w:val="center"/>
                              <w:rPr>
                                <w:rFonts w:ascii="Times New Roman" w:hAnsi="Times New Roman" w:cs="Times New Roman"/>
                                <w:color w:val="595959" w:themeColor="text1" w:themeTint="A6"/>
                                <w:lang w:val="kk-KZ"/>
                              </w:rPr>
                            </w:pPr>
                            <w:r w:rsidRPr="00C17FB9">
                              <w:rPr>
                                <w:rFonts w:ascii="Times New Roman" w:hAnsi="Times New Roman" w:cs="Times New Roman"/>
                                <w:color w:val="595959" w:themeColor="text1" w:themeTint="A6"/>
                                <w:lang w:val="kk-KZ"/>
                              </w:rPr>
                              <w:t>2</w:t>
                            </w:r>
                            <w:r>
                              <w:rPr>
                                <w:rFonts w:ascii="Times New Roman" w:hAnsi="Times New Roman" w:cs="Times New Roman"/>
                                <w:color w:val="595959" w:themeColor="text1" w:themeTint="A6"/>
                                <w:lang w:val="kk-KZ"/>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F9350A" id="Надпись 278" o:spid="_x0000_s1219" type="#_x0000_t202" style="position:absolute;left:0;text-align:left;margin-left:-36.95pt;margin-top:198.05pt;width:48.3pt;height:25.6pt;rotation:90;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VRHogIAAHMFAAAOAAAAZHJzL2Uyb0RvYy54bWysVMtuEzEU3SPxD5b3dJI0KW3USRVaFSFV&#10;bUWLunY8djLCYxvbyUzYsecX+AcWLNjxC+kfcezJhFLYFDGLkX0fx77nnuvjk6ZSZCWcL43OaX+v&#10;R4nQ3BSlnuf03e35i0NKfGC6YMpokdO18PRk8vzZcW3HYmAWRhXCEYBoP65tThch2HGWeb4QFfN7&#10;xgoNpzSuYgFbN88Kx2qgVyob9HoHWW1cYZ3hwntYz1onnSR8KQUPV1J6EYjKKe4W0t+l/yz+s8kx&#10;G88ds4uSb6/B/uEWFSs1Dt1BnbHAyNKVf0BVJXfGGxn2uKkyI2XJRaoB1fR7j6q5WTArUi0gx9sd&#10;Tf7/wfLL1bUjZZHTwUu0SrMKTdp82XzdfNv82Hy//3T/mUQPeKqtHyP8xiIhNK9Mg353dg9jLL+R&#10;riLOgObRsBe/RArKJIgG/+sd56IJhMN40N8/6Pcp4XDtD4aHo0HEzFqoCGmdD6+FqUhc5NShpQmU&#10;rS58aEO7kBiuzXmpVGqr0r8ZgBktWayjvW9ahbUSMU7pt0KCiXTRaPDczWenypFWLtAzCuhEk8CQ&#10;EAMlDnxi7jYlZouk0ifm75LS+UaHXX5VauMSQWmGRCxgxaD+4n3qFi4u2/iOipaAyEVoZk3SwtGo&#10;a+zMFGv0O7UU5XvLz0v04YL5cM0cRgVGjH+4wk8qU+fUbFeULIz7+Dd7jIeC4aWkxujl1H9YMico&#10;UW80tH3UHw4BG9JmOHo5wMY99MweevSyOjWoDxrC7dIyxgfVLaUz1R1eiWk8FS6mOc7OaeiWp6Ht&#10;MF4ZLqbTFITptCxc6BvLI3SkOarstrljzm6lGKDhS9MNKRs/UmQbGzO1mS6DkWWSayS6ZXXbAEx2&#10;Evz2FYpPx8N9ivr1Vk5+AgAA//8DAFBLAwQUAAYACAAAACEA19LDKN4AAAAIAQAADwAAAGRycy9k&#10;b3ducmV2LnhtbEyPQU7DMBBF90jcwRokdq2dtjQoxKmgUllANi0cwI2HJCIeR7HTBE7PsILlaJ7+&#10;fz/fza4TFxxC60lDslQgkCpvW6o1vL8dFvcgQjRkTecJNXxhgF1xfZWbzPqJjng5xVpwCIXMaGhi&#10;7DMpQ9WgM2HpeyT+ffjBmcjnUEs7mInDXSdXSm2lMy1xQ2N63DdYfZ5Gp2GcXjvav5Tl8zb9Ph7K&#10;Kinnp0Tr25v58QFExDn+wfCrz+pQsNPZj2SD6DQs7pIVoxrW6XoDggmedtawSZUCWeTy/4DiBwAA&#10;//8DAFBLAQItABQABgAIAAAAIQC2gziS/gAAAOEBAAATAAAAAAAAAAAAAAAAAAAAAABbQ29udGVu&#10;dF9UeXBlc10ueG1sUEsBAi0AFAAGAAgAAAAhADj9If/WAAAAlAEAAAsAAAAAAAAAAAAAAAAALwEA&#10;AF9yZWxzLy5yZWxzUEsBAi0AFAAGAAgAAAAhAMxdVEeiAgAAcwUAAA4AAAAAAAAAAAAAAAAALgIA&#10;AGRycy9lMm9Eb2MueG1sUEsBAi0AFAAGAAgAAAAhANfSwyjeAAAACAEAAA8AAAAAAAAAAAAAAAAA&#10;/AQAAGRycy9kb3ducmV2LnhtbFBLBQYAAAAABAAEAPMAAAAHBgAAAAA=&#10;" filled="f" stroked="f">
                <v:textbox>
                  <w:txbxContent>
                    <w:p w14:paraId="6A56005A" w14:textId="622AFF62" w:rsidR="001D4931" w:rsidRPr="00C17FB9" w:rsidRDefault="001D4931" w:rsidP="00574C28">
                      <w:pPr>
                        <w:jc w:val="center"/>
                        <w:rPr>
                          <w:rFonts w:ascii="Times New Roman" w:hAnsi="Times New Roman" w:cs="Times New Roman"/>
                          <w:color w:val="595959" w:themeColor="text1" w:themeTint="A6"/>
                          <w:lang w:val="kk-KZ"/>
                        </w:rPr>
                      </w:pPr>
                      <w:r w:rsidRPr="00C17FB9">
                        <w:rPr>
                          <w:rFonts w:ascii="Times New Roman" w:hAnsi="Times New Roman" w:cs="Times New Roman"/>
                          <w:color w:val="595959" w:themeColor="text1" w:themeTint="A6"/>
                          <w:lang w:val="kk-KZ"/>
                        </w:rPr>
                        <w:t>2</w:t>
                      </w:r>
                      <w:r>
                        <w:rPr>
                          <w:rFonts w:ascii="Times New Roman" w:hAnsi="Times New Roman" w:cs="Times New Roman"/>
                          <w:color w:val="595959" w:themeColor="text1" w:themeTint="A6"/>
                          <w:lang w:val="kk-KZ"/>
                        </w:rPr>
                        <w:t>11</w:t>
                      </w:r>
                    </w:p>
                  </w:txbxContent>
                </v:textbox>
              </v:shape>
            </w:pict>
          </mc:Fallback>
        </mc:AlternateContent>
      </w:r>
      <w:r w:rsidR="00C465CD">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354A80D3" wp14:editId="694AAB54">
                <wp:simplePos x="0" y="0"/>
                <wp:positionH relativeFrom="column">
                  <wp:posOffset>4438650</wp:posOffset>
                </wp:positionH>
                <wp:positionV relativeFrom="paragraph">
                  <wp:posOffset>5349240</wp:posOffset>
                </wp:positionV>
                <wp:extent cx="335280" cy="243840"/>
                <wp:effectExtent l="0" t="0" r="26670" b="22860"/>
                <wp:wrapNone/>
                <wp:docPr id="167" name="Прямоугольник 167"/>
                <wp:cNvGraphicFramePr/>
                <a:graphic xmlns:a="http://schemas.openxmlformats.org/drawingml/2006/main">
                  <a:graphicData uri="http://schemas.microsoft.com/office/word/2010/wordprocessingShape">
                    <wps:wsp>
                      <wps:cNvSpPr/>
                      <wps:spPr>
                        <a:xfrm>
                          <a:off x="0" y="0"/>
                          <a:ext cx="335280" cy="2438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172835" id="Прямоугольник 167" o:spid="_x0000_s1026" style="position:absolute;margin-left:349.5pt;margin-top:421.2pt;width:26.4pt;height:19.2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a93uwIAAMAFAAAOAAAAZHJzL2Uyb0RvYy54bWysVM1uEzEQviPxDpbvdJM0/SHqpopaFSFV&#10;bUWLena8drKS12NsJ5twQuKKxCPwEFwQP32GzRsx9v6klIpDRQ6OZ2fmm5nPM3N0vCoUWQrrctAp&#10;7e/0KBGaQ5brWUrf3py9OKTEeaYzpkCLlK6Fo8fj58+OSjMSA5iDyoQlCKLdqDQpnXtvRkni+FwU&#10;zO2AERqVEmzBPIp2lmSWlYheqGTQ6+0nJdjMWODCOfx6WivpOOJLKbi/lNIJT1RKMTcfTxvPaTiT&#10;8REbzSwz85w3abAnZFGwXGPQDuqUeUYWNv8Lqsi5BQfS73AoEpAy5yLWgNX0ew+quZ4zI2ItSI4z&#10;HU3u/8Hyi+WVJXmGb7d/QIlmBT5S9WXzYfO5+lndbT5WX6u76sfmU/Wr+lZ9J8EKOSuNG6Hrtbmy&#10;jeTwGghYSVuEfyyNrCLP645nsfKE48fd3b3BIb4GR9VguHs4jO+QbJ2Ndf6VgIKES0otPmNkly3P&#10;nceAaNqahFgOVJ6d5UpFIbSOOFGWLBk++nTWDwmjxx9WSj/JEWGCZxLqryuON79WIuAp/UZIZBNr&#10;HMSEYx9vk2GcC+37tWrOMlHnuNfDX5tlm37MOQIGZInVddgNQGtZg7TYdbGNfXAVcQw6596/Equd&#10;O48YGbTvnItcg30MQGFVTeTaviWppiawNIVsjb1moR5CZ/hZjs97zpy/YhanDjsCN4m/xEMqKFMK&#10;zY2SOdj3j30P9jgMqKWkxClOqXu3YFZQol5rHJOX/SE2F/FRGO4dDFCw9zXT+xq9KE4Ae6aPO8vw&#10;eA32XrVXaaG4xYUzCVFRxTTH2Cnl3rbCia+3C64sLiaTaIajbpg/19eGB/DAamjfm9Uts6bpcY/D&#10;cQHtxLPRg1avbYOnhsnCg8zjHGx5bfjGNREbp1lpYQ/dl6PVdvGOfwMAAP//AwBQSwMEFAAGAAgA&#10;AAAhALbE0+/hAAAACwEAAA8AAABkcnMvZG93bnJldi54bWxMj8FKw0AQhu+C77CM4M1uGmqbpNkU&#10;EUUED7UV7HGa7CbB7GzIbtL49o4nPc7Mzz/fl+9m24lJD751pGC5iEBoKl3VUq3g4/h8l4DwAanC&#10;zpFW8K097Irrqxyzyl3oXU+HUAsuIZ+hgiaEPpPSl4226Beu18Q34waLgcehltWAFy63nYyjaC0t&#10;tsQfGuz1Y6PLr8NoFZwMvhyfXv2bNPFk0nY/fprNqNTtzfywBRH0HP7C8IvP6FAw09mNVHnRKVin&#10;KbsEBckqXoHgxOZ+yTJn3iRRArLI5X+H4gcAAP//AwBQSwECLQAUAAYACAAAACEAtoM4kv4AAADh&#10;AQAAEwAAAAAAAAAAAAAAAAAAAAAAW0NvbnRlbnRfVHlwZXNdLnhtbFBLAQItABQABgAIAAAAIQA4&#10;/SH/1gAAAJQBAAALAAAAAAAAAAAAAAAAAC8BAABfcmVscy8ucmVsc1BLAQItABQABgAIAAAAIQDU&#10;Ta93uwIAAMAFAAAOAAAAAAAAAAAAAAAAAC4CAABkcnMvZTJvRG9jLnhtbFBLAQItABQABgAIAAAA&#10;IQC2xNPv4QAAAAsBAAAPAAAAAAAAAAAAAAAAABUFAABkcnMvZG93bnJldi54bWxQSwUGAAAAAAQA&#10;BADzAAAAIwYAAAAA&#10;" fillcolor="white [3212]" strokecolor="white [3212]" strokeweight="1pt"/>
            </w:pict>
          </mc:Fallback>
        </mc:AlternateContent>
      </w:r>
      <w:r w:rsidR="00312E2A" w:rsidRPr="001B43BD">
        <w:rPr>
          <w:rFonts w:ascii="Times New Roman" w:hAnsi="Times New Roman" w:cs="Times New Roman"/>
          <w:sz w:val="28"/>
          <w:szCs w:val="28"/>
        </w:rPr>
        <w:t>Структурное моделирование медиирующего эффекта цифровой адаптации (</w:t>
      </w:r>
      <w:r w:rsidR="00312E2A" w:rsidRPr="001B43BD">
        <w:rPr>
          <w:rFonts w:ascii="Times New Roman" w:hAnsi="Times New Roman" w:cs="Times New Roman"/>
          <w:sz w:val="28"/>
          <w:szCs w:val="28"/>
          <w:lang w:val="en-US"/>
        </w:rPr>
        <w:t>SEM</w:t>
      </w:r>
      <w:r w:rsidR="00312E2A" w:rsidRPr="001B43BD">
        <w:rPr>
          <w:rFonts w:ascii="Times New Roman" w:hAnsi="Times New Roman" w:cs="Times New Roman"/>
          <w:sz w:val="28"/>
          <w:szCs w:val="28"/>
        </w:rPr>
        <w:t>)</w:t>
      </w:r>
      <w:r w:rsidR="00312E2A" w:rsidRPr="00767243">
        <w:rPr>
          <w:noProof/>
          <w:lang w:eastAsia="ru-RU"/>
        </w:rPr>
        <w:drawing>
          <wp:inline distT="0" distB="0" distL="0" distR="0" wp14:anchorId="27405378" wp14:editId="70E5B217">
            <wp:extent cx="9564252" cy="5076825"/>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9629413" cy="5111413"/>
                    </a:xfrm>
                    <a:prstGeom prst="rect">
                      <a:avLst/>
                    </a:prstGeom>
                  </pic:spPr>
                </pic:pic>
              </a:graphicData>
            </a:graphic>
          </wp:inline>
        </w:drawing>
      </w:r>
    </w:p>
    <w:p w14:paraId="51053E7D" w14:textId="7D917BE7" w:rsidR="00312E2A" w:rsidRDefault="00312E2A" w:rsidP="00312E2A">
      <w:pPr>
        <w:tabs>
          <w:tab w:val="left" w:pos="2580"/>
        </w:tabs>
        <w:rPr>
          <w:lang w:val="kk-KZ"/>
        </w:rPr>
      </w:pPr>
      <w:r w:rsidRPr="00DB484D">
        <w:rPr>
          <w:noProof/>
          <w:lang w:eastAsia="ru-RU"/>
        </w:rPr>
        <w:lastRenderedPageBreak/>
        <w:drawing>
          <wp:anchor distT="0" distB="0" distL="114300" distR="114300" simplePos="0" relativeHeight="251673600" behindDoc="1" locked="0" layoutInCell="1" allowOverlap="1" wp14:anchorId="10C75E0E" wp14:editId="21049933">
            <wp:simplePos x="0" y="0"/>
            <wp:positionH relativeFrom="column">
              <wp:posOffset>384810</wp:posOffset>
            </wp:positionH>
            <wp:positionV relativeFrom="paragraph">
              <wp:posOffset>2177415</wp:posOffset>
            </wp:positionV>
            <wp:extent cx="7734300" cy="2986405"/>
            <wp:effectExtent l="0" t="0" r="0" b="4445"/>
            <wp:wrapTight wrapText="bothSides">
              <wp:wrapPolygon edited="0">
                <wp:start x="0" y="0"/>
                <wp:lineTo x="0" y="21494"/>
                <wp:lineTo x="21547" y="21494"/>
                <wp:lineTo x="21547" y="0"/>
                <wp:lineTo x="0" y="0"/>
              </wp:wrapPolygon>
            </wp:wrapTight>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extLst>
                        <a:ext uri="{28A0092B-C50C-407E-A947-70E740481C1C}">
                          <a14:useLocalDpi xmlns:a14="http://schemas.microsoft.com/office/drawing/2010/main" val="0"/>
                        </a:ext>
                      </a:extLst>
                    </a:blip>
                    <a:stretch>
                      <a:fillRect/>
                    </a:stretch>
                  </pic:blipFill>
                  <pic:spPr>
                    <a:xfrm>
                      <a:off x="0" y="0"/>
                      <a:ext cx="7734300" cy="2986405"/>
                    </a:xfrm>
                    <a:prstGeom prst="rect">
                      <a:avLst/>
                    </a:prstGeom>
                  </pic:spPr>
                </pic:pic>
              </a:graphicData>
            </a:graphic>
            <wp14:sizeRelH relativeFrom="page">
              <wp14:pctWidth>0</wp14:pctWidth>
            </wp14:sizeRelH>
            <wp14:sizeRelV relativeFrom="page">
              <wp14:pctHeight>0</wp14:pctHeight>
            </wp14:sizeRelV>
          </wp:anchor>
        </w:drawing>
      </w:r>
      <w:r w:rsidRPr="00DB484D">
        <w:rPr>
          <w:noProof/>
          <w:lang w:eastAsia="ru-RU"/>
        </w:rPr>
        <w:drawing>
          <wp:anchor distT="0" distB="0" distL="114300" distR="114300" simplePos="0" relativeHeight="251672576" behindDoc="1" locked="0" layoutInCell="1" allowOverlap="1" wp14:anchorId="4133487A" wp14:editId="48760ECC">
            <wp:simplePos x="0" y="0"/>
            <wp:positionH relativeFrom="column">
              <wp:posOffset>5947410</wp:posOffset>
            </wp:positionH>
            <wp:positionV relativeFrom="paragraph">
              <wp:posOffset>0</wp:posOffset>
            </wp:positionV>
            <wp:extent cx="3390900" cy="2452370"/>
            <wp:effectExtent l="0" t="0" r="0" b="5080"/>
            <wp:wrapTight wrapText="bothSides">
              <wp:wrapPolygon edited="0">
                <wp:start x="0" y="0"/>
                <wp:lineTo x="0" y="21477"/>
                <wp:lineTo x="21479" y="21477"/>
                <wp:lineTo x="21479" y="0"/>
                <wp:lineTo x="0" y="0"/>
              </wp:wrapPolygon>
            </wp:wrapTight>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extLst>
                        <a:ext uri="{28A0092B-C50C-407E-A947-70E740481C1C}">
                          <a14:useLocalDpi xmlns:a14="http://schemas.microsoft.com/office/drawing/2010/main" val="0"/>
                        </a:ext>
                      </a:extLst>
                    </a:blip>
                    <a:stretch>
                      <a:fillRect/>
                    </a:stretch>
                  </pic:blipFill>
                  <pic:spPr>
                    <a:xfrm>
                      <a:off x="0" y="0"/>
                      <a:ext cx="3390900" cy="2452370"/>
                    </a:xfrm>
                    <a:prstGeom prst="rect">
                      <a:avLst/>
                    </a:prstGeom>
                  </pic:spPr>
                </pic:pic>
              </a:graphicData>
            </a:graphic>
            <wp14:sizeRelH relativeFrom="page">
              <wp14:pctWidth>0</wp14:pctWidth>
            </wp14:sizeRelH>
            <wp14:sizeRelV relativeFrom="page">
              <wp14:pctHeight>0</wp14:pctHeight>
            </wp14:sizeRelV>
          </wp:anchor>
        </w:drawing>
      </w:r>
      <w:r w:rsidRPr="00DB484D">
        <w:rPr>
          <w:noProof/>
          <w:lang w:eastAsia="ru-RU"/>
        </w:rPr>
        <w:drawing>
          <wp:anchor distT="0" distB="0" distL="114300" distR="114300" simplePos="0" relativeHeight="251670528" behindDoc="1" locked="0" layoutInCell="1" allowOverlap="1" wp14:anchorId="579DD24D" wp14:editId="742276B5">
            <wp:simplePos x="0" y="0"/>
            <wp:positionH relativeFrom="column">
              <wp:posOffset>99060</wp:posOffset>
            </wp:positionH>
            <wp:positionV relativeFrom="paragraph">
              <wp:posOffset>0</wp:posOffset>
            </wp:positionV>
            <wp:extent cx="2534004" cy="1390844"/>
            <wp:effectExtent l="0" t="0" r="0" b="0"/>
            <wp:wrapTight wrapText="bothSides">
              <wp:wrapPolygon edited="0">
                <wp:start x="0" y="0"/>
                <wp:lineTo x="0" y="21304"/>
                <wp:lineTo x="21438" y="21304"/>
                <wp:lineTo x="21438" y="0"/>
                <wp:lineTo x="0" y="0"/>
              </wp:wrapPolygon>
            </wp:wrapTight>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extLst>
                        <a:ext uri="{28A0092B-C50C-407E-A947-70E740481C1C}">
                          <a14:useLocalDpi xmlns:a14="http://schemas.microsoft.com/office/drawing/2010/main" val="0"/>
                        </a:ext>
                      </a:extLst>
                    </a:blip>
                    <a:stretch>
                      <a:fillRect/>
                    </a:stretch>
                  </pic:blipFill>
                  <pic:spPr>
                    <a:xfrm>
                      <a:off x="0" y="0"/>
                      <a:ext cx="2534004" cy="1390844"/>
                    </a:xfrm>
                    <a:prstGeom prst="rect">
                      <a:avLst/>
                    </a:prstGeom>
                  </pic:spPr>
                </pic:pic>
              </a:graphicData>
            </a:graphic>
            <wp14:sizeRelH relativeFrom="page">
              <wp14:pctWidth>0</wp14:pctWidth>
            </wp14:sizeRelH>
            <wp14:sizeRelV relativeFrom="page">
              <wp14:pctHeight>0</wp14:pctHeight>
            </wp14:sizeRelV>
          </wp:anchor>
        </w:drawing>
      </w:r>
      <w:r w:rsidRPr="00DB484D">
        <w:rPr>
          <w:noProof/>
          <w:lang w:eastAsia="ru-RU"/>
        </w:rPr>
        <w:drawing>
          <wp:anchor distT="0" distB="0" distL="114300" distR="114300" simplePos="0" relativeHeight="251671552" behindDoc="1" locked="0" layoutInCell="1" allowOverlap="1" wp14:anchorId="2026B695" wp14:editId="6930EC59">
            <wp:simplePos x="0" y="0"/>
            <wp:positionH relativeFrom="column">
              <wp:posOffset>2632710</wp:posOffset>
            </wp:positionH>
            <wp:positionV relativeFrom="paragraph">
              <wp:posOffset>5715</wp:posOffset>
            </wp:positionV>
            <wp:extent cx="3314700" cy="1152525"/>
            <wp:effectExtent l="0" t="0" r="0" b="9525"/>
            <wp:wrapTight wrapText="bothSides">
              <wp:wrapPolygon edited="0">
                <wp:start x="0" y="0"/>
                <wp:lineTo x="0" y="21421"/>
                <wp:lineTo x="21476" y="21421"/>
                <wp:lineTo x="21476" y="0"/>
                <wp:lineTo x="0" y="0"/>
              </wp:wrapPolygon>
            </wp:wrapTight>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extLst>
                        <a:ext uri="{28A0092B-C50C-407E-A947-70E740481C1C}">
                          <a14:useLocalDpi xmlns:a14="http://schemas.microsoft.com/office/drawing/2010/main" val="0"/>
                        </a:ext>
                      </a:extLst>
                    </a:blip>
                    <a:stretch>
                      <a:fillRect/>
                    </a:stretch>
                  </pic:blipFill>
                  <pic:spPr>
                    <a:xfrm>
                      <a:off x="0" y="0"/>
                      <a:ext cx="3314700" cy="1152525"/>
                    </a:xfrm>
                    <a:prstGeom prst="rect">
                      <a:avLst/>
                    </a:prstGeom>
                  </pic:spPr>
                </pic:pic>
              </a:graphicData>
            </a:graphic>
            <wp14:sizeRelH relativeFrom="page">
              <wp14:pctWidth>0</wp14:pctWidth>
            </wp14:sizeRelH>
            <wp14:sizeRelV relativeFrom="page">
              <wp14:pctHeight>0</wp14:pctHeight>
            </wp14:sizeRelV>
          </wp:anchor>
        </w:drawing>
      </w:r>
    </w:p>
    <w:p w14:paraId="6D677D56" w14:textId="6B3FB541" w:rsidR="00312E2A" w:rsidRPr="00312E2A" w:rsidRDefault="00312E2A" w:rsidP="00312E2A">
      <w:pPr>
        <w:rPr>
          <w:lang w:val="kk-KZ"/>
        </w:rPr>
      </w:pPr>
    </w:p>
    <w:p w14:paraId="595A5ED6" w14:textId="4FBD20A9" w:rsidR="00312E2A" w:rsidRPr="00312E2A" w:rsidRDefault="00312E2A" w:rsidP="00312E2A">
      <w:pPr>
        <w:rPr>
          <w:lang w:val="kk-KZ"/>
        </w:rPr>
      </w:pPr>
    </w:p>
    <w:p w14:paraId="27992854" w14:textId="02C7F8FA" w:rsidR="00312E2A" w:rsidRPr="00312E2A" w:rsidRDefault="00312E2A" w:rsidP="00312E2A">
      <w:pPr>
        <w:rPr>
          <w:lang w:val="kk-KZ"/>
        </w:rPr>
      </w:pPr>
    </w:p>
    <w:p w14:paraId="37AA3BCE" w14:textId="61C927E7" w:rsidR="00312E2A" w:rsidRPr="00312E2A" w:rsidRDefault="00312E2A" w:rsidP="00312E2A">
      <w:pPr>
        <w:rPr>
          <w:lang w:val="kk-KZ"/>
        </w:rPr>
      </w:pPr>
    </w:p>
    <w:p w14:paraId="5F142392" w14:textId="0619778D" w:rsidR="00312E2A" w:rsidRPr="00312E2A" w:rsidRDefault="00574C28" w:rsidP="00312E2A">
      <w:pPr>
        <w:rPr>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731968" behindDoc="0" locked="0" layoutInCell="1" allowOverlap="1" wp14:anchorId="2C70BDA6" wp14:editId="458326B8">
                <wp:simplePos x="0" y="0"/>
                <wp:positionH relativeFrom="column">
                  <wp:posOffset>-324803</wp:posOffset>
                </wp:positionH>
                <wp:positionV relativeFrom="paragraph">
                  <wp:posOffset>192823</wp:posOffset>
                </wp:positionV>
                <wp:extent cx="613611" cy="324852"/>
                <wp:effectExtent l="0" t="0" r="7303" b="0"/>
                <wp:wrapNone/>
                <wp:docPr id="279" name="Надпись 279"/>
                <wp:cNvGraphicFramePr/>
                <a:graphic xmlns:a="http://schemas.openxmlformats.org/drawingml/2006/main">
                  <a:graphicData uri="http://schemas.microsoft.com/office/word/2010/wordprocessingShape">
                    <wps:wsp>
                      <wps:cNvSpPr txBox="1"/>
                      <wps:spPr>
                        <a:xfrm rot="5400000">
                          <a:off x="0" y="0"/>
                          <a:ext cx="613611" cy="32485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E39DE9F" w14:textId="1B373D6E" w:rsidR="001D4931" w:rsidRPr="00C17FB9" w:rsidRDefault="001D4931" w:rsidP="00574C28">
                            <w:pPr>
                              <w:jc w:val="center"/>
                              <w:rPr>
                                <w:rFonts w:ascii="Times New Roman" w:hAnsi="Times New Roman" w:cs="Times New Roman"/>
                                <w:color w:val="595959" w:themeColor="text1" w:themeTint="A6"/>
                                <w:lang w:val="kk-KZ"/>
                              </w:rPr>
                            </w:pPr>
                            <w:r w:rsidRPr="00C17FB9">
                              <w:rPr>
                                <w:rFonts w:ascii="Times New Roman" w:hAnsi="Times New Roman" w:cs="Times New Roman"/>
                                <w:color w:val="595959" w:themeColor="text1" w:themeTint="A6"/>
                                <w:lang w:val="kk-KZ"/>
                              </w:rPr>
                              <w:t>2</w:t>
                            </w:r>
                            <w:r>
                              <w:rPr>
                                <w:rFonts w:ascii="Times New Roman" w:hAnsi="Times New Roman" w:cs="Times New Roman"/>
                                <w:color w:val="595959" w:themeColor="text1" w:themeTint="A6"/>
                                <w:lang w:val="kk-KZ"/>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70BDA6" id="Надпись 279" o:spid="_x0000_s1220" type="#_x0000_t202" style="position:absolute;margin-left:-25.6pt;margin-top:15.2pt;width:48.3pt;height:25.6pt;rotation:90;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1bowIAAHMFAAAOAAAAZHJzL2Uyb0RvYy54bWysVM1uEzEQviPxDpbvdJM0TduomyqkKkKq&#10;2ooU9ex47WSF7TG2k91w651X4B04cODGK6RvxNibDaFwKWIPK3t+Pnu++cZn57VWZCWcL8HktHvQ&#10;oUQYDkVp5jl9f3f56oQSH5gpmAIjcroWnp6PXr44q+xQ9GABqhCOIIjxw8rmdBGCHWaZ5wuhmT8A&#10;Kww6JTjNAm7dPCscqxBdq6zX6QyyClxhHXDhPVovGicdJXwpBQ83UnoRiMop3i2kv0v/WfxnozM2&#10;nDtmFyXfXoP9wy00Kw0euoO6YIGRpSv/gNIld+BBhgMOOgMpSy5SDVhNt/OkmumCWZFqQXK83dHk&#10;/x8sv17dOlIWOe0dn1JimMYmbb5svm6+bX5svj8+PH4m0YM8VdYPMXxqMSHUr6HGfrd2j8ZYfi2d&#10;Jg6Q5qN+J36JFCyTYDTyv95xLupAOBoH3cNBt0sJR9dhr39y1IuYWQMVIa3z4Y0ATeIipw5bmkDZ&#10;6sqHJrQNieEGLkulUluV+c2AmNGSxTqa+6ZVWCsR45R5JyQykS4aDZ67+WyiHGnkgnrGAlrRJDBM&#10;iIESD3xm7jYlZouk0mfm75LS+WDCLl+XBlwiKM2QiAWsGKq/+JC6hReXTXxLRUNA5CLUszpp4XTQ&#10;NnYGxRr7nVqK5XvLL0vswxXz4ZY5HBU04viHG/xJBVVOYbuiZAHu09/sMR4VjF5KKhy9nPqPS+YE&#10;JeqtQW2fdvt9hA1p0z867uHG7Xtm+x6z1BPA+lBDeLu0jPFBtUvpQN/jKzGOp6KLGY5n5zS0y0lo&#10;OoyvDBfjcQrC6bQsXJmp5RE60hxVdlffM2e3Ugyo4Wtoh5QNnyiyiY2ZBsbLALJMco1EN6xuG4CT&#10;nQS/fYXi07G/T1G/3srRTwAAAP//AwBQSwMEFAAGAAgAAAAhAHVAZ1TeAAAACAEAAA8AAABkcnMv&#10;ZG93bnJldi54bWxMj8FOg0AQhu8mvsNmTLy1C6ilQZZGm9SDcmn1AbbsFEjZWcIuBX16x1M9TSb/&#10;l3++yTez7cQFB986UhAvIxBIlTMt1Qq+PneLNQgfNBndOUIF3+hhU9ze5DozbqI9Xg6hFlxCPtMK&#10;mhD6TEpfNWi1X7oeibOTG6wOvA61NIOeuNx2MomilbS6Jb7Q6B63DVbnw2gVjNNHR9v3snxbpT/7&#10;XVnF5fwaK3V/N788gwg4hysMf/qsDgU7Hd1IxotOwSJZPzGqIE1BcJ4kPI/MRY8PIItc/n+g+AUA&#10;AP//AwBQSwECLQAUAAYACAAAACEAtoM4kv4AAADhAQAAEwAAAAAAAAAAAAAAAAAAAAAAW0NvbnRl&#10;bnRfVHlwZXNdLnhtbFBLAQItABQABgAIAAAAIQA4/SH/1gAAAJQBAAALAAAAAAAAAAAAAAAAAC8B&#10;AABfcmVscy8ucmVsc1BLAQItABQABgAIAAAAIQDBv/1bowIAAHMFAAAOAAAAAAAAAAAAAAAAAC4C&#10;AABkcnMvZTJvRG9jLnhtbFBLAQItABQABgAIAAAAIQB1QGdU3gAAAAgBAAAPAAAAAAAAAAAAAAAA&#10;AP0EAABkcnMvZG93bnJldi54bWxQSwUGAAAAAAQABADzAAAACAYAAAAA&#10;" filled="f" stroked="f">
                <v:textbox>
                  <w:txbxContent>
                    <w:p w14:paraId="1E39DE9F" w14:textId="1B373D6E" w:rsidR="001D4931" w:rsidRPr="00C17FB9" w:rsidRDefault="001D4931" w:rsidP="00574C28">
                      <w:pPr>
                        <w:jc w:val="center"/>
                        <w:rPr>
                          <w:rFonts w:ascii="Times New Roman" w:hAnsi="Times New Roman" w:cs="Times New Roman"/>
                          <w:color w:val="595959" w:themeColor="text1" w:themeTint="A6"/>
                          <w:lang w:val="kk-KZ"/>
                        </w:rPr>
                      </w:pPr>
                      <w:r w:rsidRPr="00C17FB9">
                        <w:rPr>
                          <w:rFonts w:ascii="Times New Roman" w:hAnsi="Times New Roman" w:cs="Times New Roman"/>
                          <w:color w:val="595959" w:themeColor="text1" w:themeTint="A6"/>
                          <w:lang w:val="kk-KZ"/>
                        </w:rPr>
                        <w:t>2</w:t>
                      </w:r>
                      <w:r>
                        <w:rPr>
                          <w:rFonts w:ascii="Times New Roman" w:hAnsi="Times New Roman" w:cs="Times New Roman"/>
                          <w:color w:val="595959" w:themeColor="text1" w:themeTint="A6"/>
                          <w:lang w:val="kk-KZ"/>
                        </w:rPr>
                        <w:t>12</w:t>
                      </w:r>
                    </w:p>
                  </w:txbxContent>
                </v:textbox>
              </v:shape>
            </w:pict>
          </mc:Fallback>
        </mc:AlternateContent>
      </w:r>
    </w:p>
    <w:p w14:paraId="4053934E" w14:textId="77777777" w:rsidR="00312E2A" w:rsidRPr="00312E2A" w:rsidRDefault="00312E2A" w:rsidP="00312E2A">
      <w:pPr>
        <w:rPr>
          <w:lang w:val="kk-KZ"/>
        </w:rPr>
      </w:pPr>
    </w:p>
    <w:p w14:paraId="7BFAC1DC" w14:textId="77777777" w:rsidR="00312E2A" w:rsidRPr="00312E2A" w:rsidRDefault="00312E2A" w:rsidP="00312E2A">
      <w:pPr>
        <w:rPr>
          <w:lang w:val="kk-KZ"/>
        </w:rPr>
      </w:pPr>
    </w:p>
    <w:p w14:paraId="41ABE423" w14:textId="77777777" w:rsidR="00312E2A" w:rsidRPr="00312E2A" w:rsidRDefault="00312E2A" w:rsidP="00312E2A">
      <w:pPr>
        <w:rPr>
          <w:lang w:val="kk-KZ"/>
        </w:rPr>
      </w:pPr>
    </w:p>
    <w:p w14:paraId="30E593E9" w14:textId="77777777" w:rsidR="00312E2A" w:rsidRPr="00312E2A" w:rsidRDefault="00312E2A" w:rsidP="00312E2A">
      <w:pPr>
        <w:rPr>
          <w:lang w:val="kk-KZ"/>
        </w:rPr>
      </w:pPr>
    </w:p>
    <w:p w14:paraId="1E2E6A31" w14:textId="77777777" w:rsidR="00312E2A" w:rsidRPr="00312E2A" w:rsidRDefault="00312E2A" w:rsidP="00312E2A">
      <w:pPr>
        <w:rPr>
          <w:lang w:val="kk-KZ"/>
        </w:rPr>
      </w:pPr>
    </w:p>
    <w:p w14:paraId="79529BD7" w14:textId="77777777" w:rsidR="00312E2A" w:rsidRPr="00312E2A" w:rsidRDefault="00312E2A" w:rsidP="00312E2A">
      <w:pPr>
        <w:rPr>
          <w:lang w:val="kk-KZ"/>
        </w:rPr>
      </w:pPr>
    </w:p>
    <w:p w14:paraId="11635301" w14:textId="77777777" w:rsidR="00312E2A" w:rsidRPr="00312E2A" w:rsidRDefault="00312E2A" w:rsidP="00312E2A">
      <w:pPr>
        <w:rPr>
          <w:lang w:val="kk-KZ"/>
        </w:rPr>
      </w:pPr>
    </w:p>
    <w:p w14:paraId="4184706E" w14:textId="77777777" w:rsidR="00312E2A" w:rsidRPr="00312E2A" w:rsidRDefault="00312E2A" w:rsidP="00312E2A">
      <w:pPr>
        <w:rPr>
          <w:lang w:val="kk-KZ"/>
        </w:rPr>
      </w:pPr>
    </w:p>
    <w:p w14:paraId="16BB9F8B" w14:textId="77777777" w:rsidR="00312E2A" w:rsidRPr="00312E2A" w:rsidRDefault="00312E2A" w:rsidP="00312E2A">
      <w:pPr>
        <w:rPr>
          <w:lang w:val="kk-KZ"/>
        </w:rPr>
      </w:pPr>
    </w:p>
    <w:p w14:paraId="395C6155" w14:textId="0ED142E1" w:rsidR="00083B78" w:rsidRPr="00C8549C" w:rsidRDefault="00C465CD" w:rsidP="00312E2A">
      <w:pPr>
        <w:tabs>
          <w:tab w:val="left" w:pos="8985"/>
        </w:tabs>
        <w:rPr>
          <w:rFonts w:ascii="Times New Roman" w:hAnsi="Times New Roman" w:cs="Times New Roman"/>
          <w:sz w:val="28"/>
          <w:szCs w:val="28"/>
          <w:lang w:val="kk-KZ"/>
        </w:rPr>
      </w:pPr>
      <w:r>
        <w:rPr>
          <w:noProof/>
          <w:lang w:eastAsia="ru-RU"/>
        </w:rPr>
        <mc:AlternateContent>
          <mc:Choice Requires="wps">
            <w:drawing>
              <wp:anchor distT="0" distB="0" distL="114300" distR="114300" simplePos="0" relativeHeight="251702272" behindDoc="0" locked="0" layoutInCell="1" allowOverlap="1" wp14:anchorId="0CFF709B" wp14:editId="0E9B8E82">
                <wp:simplePos x="0" y="0"/>
                <wp:positionH relativeFrom="column">
                  <wp:posOffset>4453890</wp:posOffset>
                </wp:positionH>
                <wp:positionV relativeFrom="paragraph">
                  <wp:posOffset>223520</wp:posOffset>
                </wp:positionV>
                <wp:extent cx="365760" cy="236220"/>
                <wp:effectExtent l="0" t="0" r="15240" b="11430"/>
                <wp:wrapNone/>
                <wp:docPr id="168" name="Прямоугольник 168"/>
                <wp:cNvGraphicFramePr/>
                <a:graphic xmlns:a="http://schemas.openxmlformats.org/drawingml/2006/main">
                  <a:graphicData uri="http://schemas.microsoft.com/office/word/2010/wordprocessingShape">
                    <wps:wsp>
                      <wps:cNvSpPr/>
                      <wps:spPr>
                        <a:xfrm>
                          <a:off x="0" y="0"/>
                          <a:ext cx="365760" cy="2362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E06AC6" id="Прямоугольник 168" o:spid="_x0000_s1026" style="position:absolute;margin-left:350.7pt;margin-top:17.6pt;width:28.8pt;height:18.6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gd4ugIAAMAFAAAOAAAAZHJzL2Uyb0RvYy54bWysVM1uEzEQviPxDpbvdJO0TSHqpopaFSFV&#10;bUWLena8dnYlr8fYzh8nJK6VeAQeggvip8+weSPG3p+UUnGoyMGxd2a+mfnm5/BoVSqyENYVoFPa&#10;3+lRIjSHrNCzlL67Pn3xkhLnmc6YAi1SuhaOHo2fPztcmpEYQA4qE5YgiHajpUlp7r0ZJYnjuSiZ&#10;2wEjNAol2JJ5fNpZklm2RPRSJYNeb5gswWbGAhfO4deTWkjHEV9Kwf2FlE54olKKsfl42nhOw5mM&#10;D9loZpnJC96EwZ4QRckKjU47qBPmGZnb4i+osuAWHEi/w6FMQMqCi5gDZtPvPcjmKmdGxFyQHGc6&#10;mtz/g+Xni0tLigxrN8RSaVZikaovm4+bz9XP6m7zqfpa3VU/NrfVr+pb9Z0ELeRsadwITa/MpW1e&#10;Dq+BgJW0ZfjH1Mgq8rzueBYrTzh+3B3uHwyxGhxFg93hYBDrkGyNjXX+tYCShEtKLZYxsssWZ86j&#10;Q1RtVYIvB6rITgul4iO0jjhWliwYFn0664eA0eIPLaWfZIgwwTIJ+dcZx5tfKxHwlH4rJLKJOQ5i&#10;wLGPt8EwzoX2/VqUs0zUMe738NdG2YYfY46AAVlidh12A9Bq1iAtdp1sox9MRRyDzrj3r8Bq484i&#10;egbtO+Oy0GAfA1CYVeO51m9JqqkJLE0hW2OvWaiH0Bl+WmB5z5jzl8zi1GFH4CbxF3hIBcuUQnOj&#10;JAf74bHvQR+HAaWULHGKU+rez5kVlKg3GsfkVX9vL4x9fOztH2CnEXtfMr0v0fPyGLBn+rizDI/X&#10;oO9Ve5UWyhtcOJPgFUVMc/SdUu5t+zj29XbBlcXFZBLVcNQN82f6yvAAHlgN7Xu9umHWND3ucTjO&#10;oZ14NnrQ6rVusNQwmXuQRZyDLa8N37gmYuM0Ky3sofvvqLVdvOPfAAAA//8DAFBLAwQUAAYACAAA&#10;ACEAcJfdLOAAAAAJAQAADwAAAGRycy9kb3ducmV2LnhtbEyPwU7DMAyG70i8Q2Qkbixd2SgrTSeE&#10;QAhpB9iQ4Og1SVvROFWTduXtMSe42fKn399fbGfXickMofWkYLlIQBiqvG6pVvB+eLq6BREiksbO&#10;k1HwbQJsy/OzAnPtT/Rmpn2sBYdQyFFBE2OfSxmqxjgMC98b4pv1g8PI61BLPeCJw10n0yS5kQ5b&#10;4g8N9uahMdXXfnQKPi0+Hx5fwk7adLKb9nX8sNmo1OXFfH8HIpo5/sHwq8/qULLT0Y+kg+gUZMly&#10;xaiC63UKgoFsveFyRx7SFciykP8blD8AAAD//wMAUEsBAi0AFAAGAAgAAAAhALaDOJL+AAAA4QEA&#10;ABMAAAAAAAAAAAAAAAAAAAAAAFtDb250ZW50X1R5cGVzXS54bWxQSwECLQAUAAYACAAAACEAOP0h&#10;/9YAAACUAQAACwAAAAAAAAAAAAAAAAAvAQAAX3JlbHMvLnJlbHNQSwECLQAUAAYACAAAACEA8wIH&#10;eLoCAADABQAADgAAAAAAAAAAAAAAAAAuAgAAZHJzL2Uyb0RvYy54bWxQSwECLQAUAAYACAAAACEA&#10;cJfdLOAAAAAJAQAADwAAAAAAAAAAAAAAAAAUBQAAZHJzL2Rvd25yZXYueG1sUEsFBgAAAAAEAAQA&#10;8wAAACEGAAAAAA==&#10;" fillcolor="white [3212]" strokecolor="white [3212]" strokeweight="1pt"/>
            </w:pict>
          </mc:Fallback>
        </mc:AlternateContent>
      </w:r>
      <w:r w:rsidR="00312E2A">
        <w:rPr>
          <w:lang w:val="kk-KZ"/>
        </w:rPr>
        <w:tab/>
      </w:r>
    </w:p>
    <w:sectPr w:rsidR="00083B78" w:rsidRPr="00C8549C" w:rsidSect="00083B78">
      <w:pgSz w:w="16838" w:h="11906" w:orient="landscape"/>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E10293" w14:textId="77777777" w:rsidR="00576695" w:rsidRDefault="00576695" w:rsidP="00566859">
      <w:pPr>
        <w:spacing w:after="0" w:line="240" w:lineRule="auto"/>
      </w:pPr>
      <w:r>
        <w:separator/>
      </w:r>
    </w:p>
  </w:endnote>
  <w:endnote w:type="continuationSeparator" w:id="0">
    <w:p w14:paraId="681B8D64" w14:textId="77777777" w:rsidR="00576695" w:rsidRDefault="00576695" w:rsidP="00566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9907701"/>
      <w:docPartObj>
        <w:docPartGallery w:val="Page Numbers (Bottom of Page)"/>
        <w:docPartUnique/>
      </w:docPartObj>
    </w:sdtPr>
    <w:sdtEndPr>
      <w:rPr>
        <w:rFonts w:ascii="Times New Roman" w:hAnsi="Times New Roman" w:cs="Times New Roman"/>
      </w:rPr>
    </w:sdtEndPr>
    <w:sdtContent>
      <w:p w14:paraId="3D6199D7" w14:textId="6C481EF0" w:rsidR="001D4931" w:rsidRPr="005051D4" w:rsidRDefault="001D4931">
        <w:pPr>
          <w:pStyle w:val="a9"/>
          <w:jc w:val="center"/>
          <w:rPr>
            <w:rFonts w:ascii="Times New Roman" w:hAnsi="Times New Roman" w:cs="Times New Roman"/>
          </w:rPr>
        </w:pPr>
        <w:r w:rsidRPr="005051D4">
          <w:rPr>
            <w:rFonts w:ascii="Times New Roman" w:hAnsi="Times New Roman" w:cs="Times New Roman"/>
          </w:rPr>
          <w:fldChar w:fldCharType="begin"/>
        </w:r>
        <w:r w:rsidRPr="005051D4">
          <w:rPr>
            <w:rFonts w:ascii="Times New Roman" w:hAnsi="Times New Roman" w:cs="Times New Roman"/>
          </w:rPr>
          <w:instrText>PAGE   \* MERGEFORMAT</w:instrText>
        </w:r>
        <w:r w:rsidRPr="005051D4">
          <w:rPr>
            <w:rFonts w:ascii="Times New Roman" w:hAnsi="Times New Roman" w:cs="Times New Roman"/>
          </w:rPr>
          <w:fldChar w:fldCharType="separate"/>
        </w:r>
        <w:r w:rsidR="00E01EB5">
          <w:rPr>
            <w:rFonts w:ascii="Times New Roman" w:hAnsi="Times New Roman" w:cs="Times New Roman"/>
            <w:noProof/>
          </w:rPr>
          <w:t>72</w:t>
        </w:r>
        <w:r w:rsidRPr="005051D4">
          <w:rPr>
            <w:rFonts w:ascii="Times New Roman" w:hAnsi="Times New Roman" w:cs="Times New Roman"/>
          </w:rPr>
          <w:fldChar w:fldCharType="end"/>
        </w:r>
      </w:p>
    </w:sdtContent>
  </w:sdt>
  <w:p w14:paraId="494D3D9E" w14:textId="77777777" w:rsidR="001D4931" w:rsidRDefault="001D493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D6484" w14:textId="77777777" w:rsidR="00576695" w:rsidRDefault="00576695" w:rsidP="00566859">
      <w:pPr>
        <w:spacing w:after="0" w:line="240" w:lineRule="auto"/>
      </w:pPr>
      <w:r>
        <w:separator/>
      </w:r>
    </w:p>
  </w:footnote>
  <w:footnote w:type="continuationSeparator" w:id="0">
    <w:p w14:paraId="5B3CE757" w14:textId="77777777" w:rsidR="00576695" w:rsidRDefault="00576695" w:rsidP="005668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C3805"/>
    <w:multiLevelType w:val="hybridMultilevel"/>
    <w:tmpl w:val="8926F5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765645D"/>
    <w:multiLevelType w:val="hybridMultilevel"/>
    <w:tmpl w:val="223258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6D727C"/>
    <w:multiLevelType w:val="hybridMultilevel"/>
    <w:tmpl w:val="F98C3514"/>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B597EF0"/>
    <w:multiLevelType w:val="hybridMultilevel"/>
    <w:tmpl w:val="76C49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845DD1"/>
    <w:multiLevelType w:val="hybridMultilevel"/>
    <w:tmpl w:val="2D080152"/>
    <w:lvl w:ilvl="0" w:tplc="917E04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0497D57"/>
    <w:multiLevelType w:val="hybridMultilevel"/>
    <w:tmpl w:val="8D72D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5C3FF4"/>
    <w:multiLevelType w:val="hybridMultilevel"/>
    <w:tmpl w:val="531A6562"/>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7C1EA3"/>
    <w:multiLevelType w:val="hybridMultilevel"/>
    <w:tmpl w:val="997A870A"/>
    <w:lvl w:ilvl="0" w:tplc="FD50A20E">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142C149D"/>
    <w:multiLevelType w:val="hybridMultilevel"/>
    <w:tmpl w:val="DDEC3A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B80006"/>
    <w:multiLevelType w:val="hybridMultilevel"/>
    <w:tmpl w:val="317A97F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8BE61FF"/>
    <w:multiLevelType w:val="hybridMultilevel"/>
    <w:tmpl w:val="7A60235E"/>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9021198"/>
    <w:multiLevelType w:val="hybridMultilevel"/>
    <w:tmpl w:val="4C26E464"/>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92C5F92"/>
    <w:multiLevelType w:val="hybridMultilevel"/>
    <w:tmpl w:val="7F86E02E"/>
    <w:lvl w:ilvl="0" w:tplc="30EE77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AF0C27"/>
    <w:multiLevelType w:val="hybridMultilevel"/>
    <w:tmpl w:val="7E9E078C"/>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D4638E7"/>
    <w:multiLevelType w:val="hybridMultilevel"/>
    <w:tmpl w:val="5C9C4D9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1F024AD0"/>
    <w:multiLevelType w:val="hybridMultilevel"/>
    <w:tmpl w:val="B664AC72"/>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FA6686E"/>
    <w:multiLevelType w:val="hybridMultilevel"/>
    <w:tmpl w:val="0520FE48"/>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1FDC0416"/>
    <w:multiLevelType w:val="hybridMultilevel"/>
    <w:tmpl w:val="C77ECD9E"/>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08702E0"/>
    <w:multiLevelType w:val="hybridMultilevel"/>
    <w:tmpl w:val="12CC7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0884A8A"/>
    <w:multiLevelType w:val="hybridMultilevel"/>
    <w:tmpl w:val="0596C762"/>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7080BE5"/>
    <w:multiLevelType w:val="hybridMultilevel"/>
    <w:tmpl w:val="D59098CE"/>
    <w:lvl w:ilvl="0" w:tplc="6D3CF3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2B8C4822"/>
    <w:multiLevelType w:val="hybridMultilevel"/>
    <w:tmpl w:val="F6C21D94"/>
    <w:lvl w:ilvl="0" w:tplc="B6C29DEA">
      <w:start w:val="1"/>
      <w:numFmt w:val="decimal"/>
      <w:lvlText w:val="%1"/>
      <w:lvlJc w:val="left"/>
      <w:pPr>
        <w:ind w:left="26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E3C7D8C"/>
    <w:multiLevelType w:val="hybridMultilevel"/>
    <w:tmpl w:val="8E7EF778"/>
    <w:lvl w:ilvl="0" w:tplc="30EE77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F905649"/>
    <w:multiLevelType w:val="hybridMultilevel"/>
    <w:tmpl w:val="E558F22A"/>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348B696A"/>
    <w:multiLevelType w:val="hybridMultilevel"/>
    <w:tmpl w:val="B6C8BAC6"/>
    <w:lvl w:ilvl="0" w:tplc="04190001">
      <w:start w:val="1"/>
      <w:numFmt w:val="bullet"/>
      <w:lvlText w:val=""/>
      <w:lvlJc w:val="left"/>
      <w:pPr>
        <w:ind w:left="2598" w:hanging="360"/>
      </w:pPr>
      <w:rPr>
        <w:rFonts w:ascii="Symbol" w:hAnsi="Symbol" w:hint="default"/>
      </w:rPr>
    </w:lvl>
    <w:lvl w:ilvl="1" w:tplc="04190003" w:tentative="1">
      <w:start w:val="1"/>
      <w:numFmt w:val="bullet"/>
      <w:lvlText w:val="o"/>
      <w:lvlJc w:val="left"/>
      <w:pPr>
        <w:ind w:left="3318" w:hanging="360"/>
      </w:pPr>
      <w:rPr>
        <w:rFonts w:ascii="Courier New" w:hAnsi="Courier New" w:cs="Courier New" w:hint="default"/>
      </w:rPr>
    </w:lvl>
    <w:lvl w:ilvl="2" w:tplc="04190005" w:tentative="1">
      <w:start w:val="1"/>
      <w:numFmt w:val="bullet"/>
      <w:lvlText w:val=""/>
      <w:lvlJc w:val="left"/>
      <w:pPr>
        <w:ind w:left="4038" w:hanging="360"/>
      </w:pPr>
      <w:rPr>
        <w:rFonts w:ascii="Wingdings" w:hAnsi="Wingdings" w:hint="default"/>
      </w:rPr>
    </w:lvl>
    <w:lvl w:ilvl="3" w:tplc="04190001" w:tentative="1">
      <w:start w:val="1"/>
      <w:numFmt w:val="bullet"/>
      <w:lvlText w:val=""/>
      <w:lvlJc w:val="left"/>
      <w:pPr>
        <w:ind w:left="4758" w:hanging="360"/>
      </w:pPr>
      <w:rPr>
        <w:rFonts w:ascii="Symbol" w:hAnsi="Symbol" w:hint="default"/>
      </w:rPr>
    </w:lvl>
    <w:lvl w:ilvl="4" w:tplc="04190003" w:tentative="1">
      <w:start w:val="1"/>
      <w:numFmt w:val="bullet"/>
      <w:lvlText w:val="o"/>
      <w:lvlJc w:val="left"/>
      <w:pPr>
        <w:ind w:left="5478" w:hanging="360"/>
      </w:pPr>
      <w:rPr>
        <w:rFonts w:ascii="Courier New" w:hAnsi="Courier New" w:cs="Courier New" w:hint="default"/>
      </w:rPr>
    </w:lvl>
    <w:lvl w:ilvl="5" w:tplc="04190005" w:tentative="1">
      <w:start w:val="1"/>
      <w:numFmt w:val="bullet"/>
      <w:lvlText w:val=""/>
      <w:lvlJc w:val="left"/>
      <w:pPr>
        <w:ind w:left="6198" w:hanging="360"/>
      </w:pPr>
      <w:rPr>
        <w:rFonts w:ascii="Wingdings" w:hAnsi="Wingdings" w:hint="default"/>
      </w:rPr>
    </w:lvl>
    <w:lvl w:ilvl="6" w:tplc="04190001" w:tentative="1">
      <w:start w:val="1"/>
      <w:numFmt w:val="bullet"/>
      <w:lvlText w:val=""/>
      <w:lvlJc w:val="left"/>
      <w:pPr>
        <w:ind w:left="6918" w:hanging="360"/>
      </w:pPr>
      <w:rPr>
        <w:rFonts w:ascii="Symbol" w:hAnsi="Symbol" w:hint="default"/>
      </w:rPr>
    </w:lvl>
    <w:lvl w:ilvl="7" w:tplc="04190003" w:tentative="1">
      <w:start w:val="1"/>
      <w:numFmt w:val="bullet"/>
      <w:lvlText w:val="o"/>
      <w:lvlJc w:val="left"/>
      <w:pPr>
        <w:ind w:left="7638" w:hanging="360"/>
      </w:pPr>
      <w:rPr>
        <w:rFonts w:ascii="Courier New" w:hAnsi="Courier New" w:cs="Courier New" w:hint="default"/>
      </w:rPr>
    </w:lvl>
    <w:lvl w:ilvl="8" w:tplc="04190005" w:tentative="1">
      <w:start w:val="1"/>
      <w:numFmt w:val="bullet"/>
      <w:lvlText w:val=""/>
      <w:lvlJc w:val="left"/>
      <w:pPr>
        <w:ind w:left="8358" w:hanging="360"/>
      </w:pPr>
      <w:rPr>
        <w:rFonts w:ascii="Wingdings" w:hAnsi="Wingdings" w:hint="default"/>
      </w:rPr>
    </w:lvl>
  </w:abstractNum>
  <w:abstractNum w:abstractNumId="25" w15:restartNumberingAfterBreak="0">
    <w:nsid w:val="34FD18EC"/>
    <w:multiLevelType w:val="hybridMultilevel"/>
    <w:tmpl w:val="B4FA8AF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7CA04A1"/>
    <w:multiLevelType w:val="hybridMultilevel"/>
    <w:tmpl w:val="8D405AE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38D3257B"/>
    <w:multiLevelType w:val="hybridMultilevel"/>
    <w:tmpl w:val="3FDEA64E"/>
    <w:lvl w:ilvl="0" w:tplc="5BE6FF9A">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A336F67"/>
    <w:multiLevelType w:val="hybridMultilevel"/>
    <w:tmpl w:val="3514945C"/>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E5C02E8"/>
    <w:multiLevelType w:val="hybridMultilevel"/>
    <w:tmpl w:val="717AF2EA"/>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40281019"/>
    <w:multiLevelType w:val="hybridMultilevel"/>
    <w:tmpl w:val="5E86D1EE"/>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433172CB"/>
    <w:multiLevelType w:val="hybridMultilevel"/>
    <w:tmpl w:val="6FE056B8"/>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44BD54EC"/>
    <w:multiLevelType w:val="hybridMultilevel"/>
    <w:tmpl w:val="33826A60"/>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5F46A33"/>
    <w:multiLevelType w:val="hybridMultilevel"/>
    <w:tmpl w:val="DB48F1D4"/>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4FC44D6B"/>
    <w:multiLevelType w:val="hybridMultilevel"/>
    <w:tmpl w:val="AFDAF00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500D595F"/>
    <w:multiLevelType w:val="hybridMultilevel"/>
    <w:tmpl w:val="CCF438CA"/>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6" w15:restartNumberingAfterBreak="0">
    <w:nsid w:val="54EF156A"/>
    <w:multiLevelType w:val="multilevel"/>
    <w:tmpl w:val="892E2002"/>
    <w:lvl w:ilvl="0">
      <w:start w:val="1"/>
      <w:numFmt w:val="decimal"/>
      <w:lvlText w:val="%1"/>
      <w:lvlJc w:val="left"/>
      <w:pPr>
        <w:ind w:left="648" w:hanging="648"/>
      </w:pPr>
      <w:rPr>
        <w:rFonts w:hint="default"/>
      </w:rPr>
    </w:lvl>
    <w:lvl w:ilvl="1">
      <w:start w:val="1"/>
      <w:numFmt w:val="decimal"/>
      <w:lvlText w:val="%1.%2"/>
      <w:lvlJc w:val="left"/>
      <w:pPr>
        <w:ind w:left="1215" w:hanging="648"/>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15:restartNumberingAfterBreak="0">
    <w:nsid w:val="565E0FAB"/>
    <w:multiLevelType w:val="hybridMultilevel"/>
    <w:tmpl w:val="510A3E1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5CE92F0D"/>
    <w:multiLevelType w:val="hybridMultilevel"/>
    <w:tmpl w:val="977600EC"/>
    <w:lvl w:ilvl="0" w:tplc="30EE77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D596AF2"/>
    <w:multiLevelType w:val="hybridMultilevel"/>
    <w:tmpl w:val="3594F65E"/>
    <w:lvl w:ilvl="0" w:tplc="30EE7762">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40" w15:restartNumberingAfterBreak="0">
    <w:nsid w:val="5E232B07"/>
    <w:multiLevelType w:val="hybridMultilevel"/>
    <w:tmpl w:val="BFC09E50"/>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0FF6DAB"/>
    <w:multiLevelType w:val="hybridMultilevel"/>
    <w:tmpl w:val="0B96CA3A"/>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61D86CB1"/>
    <w:multiLevelType w:val="hybridMultilevel"/>
    <w:tmpl w:val="245C65A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6208066B"/>
    <w:multiLevelType w:val="hybridMultilevel"/>
    <w:tmpl w:val="D77890F8"/>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63DE779D"/>
    <w:multiLevelType w:val="hybridMultilevel"/>
    <w:tmpl w:val="39E2F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4316A20"/>
    <w:multiLevelType w:val="hybridMultilevel"/>
    <w:tmpl w:val="41941B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4F852C7"/>
    <w:multiLevelType w:val="hybridMultilevel"/>
    <w:tmpl w:val="DE840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5071AF5"/>
    <w:multiLevelType w:val="hybridMultilevel"/>
    <w:tmpl w:val="98987CDC"/>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659A04D4"/>
    <w:multiLevelType w:val="hybridMultilevel"/>
    <w:tmpl w:val="F2125258"/>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65E66DDB"/>
    <w:multiLevelType w:val="hybridMultilevel"/>
    <w:tmpl w:val="A76EB45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67F0343B"/>
    <w:multiLevelType w:val="hybridMultilevel"/>
    <w:tmpl w:val="2F0C2772"/>
    <w:lvl w:ilvl="0" w:tplc="17BCE5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B9638D8"/>
    <w:multiLevelType w:val="hybridMultilevel"/>
    <w:tmpl w:val="D45C5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DE406A9"/>
    <w:multiLevelType w:val="hybridMultilevel"/>
    <w:tmpl w:val="448E7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DEB2D53"/>
    <w:multiLevelType w:val="hybridMultilevel"/>
    <w:tmpl w:val="E6ACF72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E6F722F"/>
    <w:multiLevelType w:val="hybridMultilevel"/>
    <w:tmpl w:val="9EE425B8"/>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6E946C67"/>
    <w:multiLevelType w:val="hybridMultilevel"/>
    <w:tmpl w:val="F68E4E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F4D28DD"/>
    <w:multiLevelType w:val="hybridMultilevel"/>
    <w:tmpl w:val="B254D69E"/>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6F990ACF"/>
    <w:multiLevelType w:val="hybridMultilevel"/>
    <w:tmpl w:val="3D08B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0960721"/>
    <w:multiLevelType w:val="hybridMultilevel"/>
    <w:tmpl w:val="48AEBB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9" w15:restartNumberingAfterBreak="0">
    <w:nsid w:val="71116901"/>
    <w:multiLevelType w:val="hybridMultilevel"/>
    <w:tmpl w:val="1D521C68"/>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716E5A46"/>
    <w:multiLevelType w:val="hybridMultilevel"/>
    <w:tmpl w:val="E5AA5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191213C"/>
    <w:multiLevelType w:val="hybridMultilevel"/>
    <w:tmpl w:val="6D2CA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1C60C2E"/>
    <w:multiLevelType w:val="hybridMultilevel"/>
    <w:tmpl w:val="D724336A"/>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71F8040C"/>
    <w:multiLevelType w:val="hybridMultilevel"/>
    <w:tmpl w:val="D624D17E"/>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73350F4B"/>
    <w:multiLevelType w:val="hybridMultilevel"/>
    <w:tmpl w:val="B440AB02"/>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78D7279B"/>
    <w:multiLevelType w:val="hybridMultilevel"/>
    <w:tmpl w:val="26444600"/>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7A5B548F"/>
    <w:multiLevelType w:val="hybridMultilevel"/>
    <w:tmpl w:val="E396749E"/>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7A5D0504"/>
    <w:multiLevelType w:val="hybridMultilevel"/>
    <w:tmpl w:val="2DA465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A892774"/>
    <w:multiLevelType w:val="hybridMultilevel"/>
    <w:tmpl w:val="A99E9F1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C8F44B6"/>
    <w:multiLevelType w:val="hybridMultilevel"/>
    <w:tmpl w:val="62306A10"/>
    <w:lvl w:ilvl="0" w:tplc="30EE77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D2130B9"/>
    <w:multiLevelType w:val="hybridMultilevel"/>
    <w:tmpl w:val="B06EE250"/>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7D9C1B54"/>
    <w:multiLevelType w:val="hybridMultilevel"/>
    <w:tmpl w:val="70C48FBE"/>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7FEB2B82"/>
    <w:multiLevelType w:val="hybridMultilevel"/>
    <w:tmpl w:val="9EF803CA"/>
    <w:lvl w:ilvl="0" w:tplc="30EE776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6"/>
  </w:num>
  <w:num w:numId="2">
    <w:abstractNumId w:val="67"/>
  </w:num>
  <w:num w:numId="3">
    <w:abstractNumId w:val="69"/>
  </w:num>
  <w:num w:numId="4">
    <w:abstractNumId w:val="62"/>
  </w:num>
  <w:num w:numId="5">
    <w:abstractNumId w:val="11"/>
  </w:num>
  <w:num w:numId="6">
    <w:abstractNumId w:val="31"/>
  </w:num>
  <w:num w:numId="7">
    <w:abstractNumId w:val="37"/>
  </w:num>
  <w:num w:numId="8">
    <w:abstractNumId w:val="54"/>
  </w:num>
  <w:num w:numId="9">
    <w:abstractNumId w:val="42"/>
  </w:num>
  <w:num w:numId="10">
    <w:abstractNumId w:val="2"/>
  </w:num>
  <w:num w:numId="11">
    <w:abstractNumId w:val="56"/>
  </w:num>
  <w:num w:numId="12">
    <w:abstractNumId w:val="65"/>
  </w:num>
  <w:num w:numId="13">
    <w:abstractNumId w:val="17"/>
  </w:num>
  <w:num w:numId="14">
    <w:abstractNumId w:val="19"/>
  </w:num>
  <w:num w:numId="15">
    <w:abstractNumId w:val="15"/>
  </w:num>
  <w:num w:numId="16">
    <w:abstractNumId w:val="16"/>
  </w:num>
  <w:num w:numId="17">
    <w:abstractNumId w:val="48"/>
  </w:num>
  <w:num w:numId="18">
    <w:abstractNumId w:val="28"/>
  </w:num>
  <w:num w:numId="19">
    <w:abstractNumId w:val="41"/>
  </w:num>
  <w:num w:numId="20">
    <w:abstractNumId w:val="33"/>
  </w:num>
  <w:num w:numId="21">
    <w:abstractNumId w:val="64"/>
  </w:num>
  <w:num w:numId="22">
    <w:abstractNumId w:val="0"/>
  </w:num>
  <w:num w:numId="23">
    <w:abstractNumId w:val="40"/>
  </w:num>
  <w:num w:numId="24">
    <w:abstractNumId w:val="43"/>
  </w:num>
  <w:num w:numId="25">
    <w:abstractNumId w:val="66"/>
  </w:num>
  <w:num w:numId="26">
    <w:abstractNumId w:val="4"/>
  </w:num>
  <w:num w:numId="27">
    <w:abstractNumId w:val="30"/>
  </w:num>
  <w:num w:numId="28">
    <w:abstractNumId w:val="9"/>
  </w:num>
  <w:num w:numId="29">
    <w:abstractNumId w:val="59"/>
  </w:num>
  <w:num w:numId="30">
    <w:abstractNumId w:val="29"/>
  </w:num>
  <w:num w:numId="31">
    <w:abstractNumId w:val="47"/>
  </w:num>
  <w:num w:numId="32">
    <w:abstractNumId w:val="63"/>
  </w:num>
  <w:num w:numId="33">
    <w:abstractNumId w:val="34"/>
  </w:num>
  <w:num w:numId="34">
    <w:abstractNumId w:val="72"/>
  </w:num>
  <w:num w:numId="35">
    <w:abstractNumId w:val="23"/>
  </w:num>
  <w:num w:numId="36">
    <w:abstractNumId w:val="26"/>
  </w:num>
  <w:num w:numId="37">
    <w:abstractNumId w:val="10"/>
  </w:num>
  <w:num w:numId="38">
    <w:abstractNumId w:val="32"/>
  </w:num>
  <w:num w:numId="39">
    <w:abstractNumId w:val="6"/>
  </w:num>
  <w:num w:numId="40">
    <w:abstractNumId w:val="71"/>
  </w:num>
  <w:num w:numId="41">
    <w:abstractNumId w:val="14"/>
  </w:num>
  <w:num w:numId="42">
    <w:abstractNumId w:val="51"/>
  </w:num>
  <w:num w:numId="43">
    <w:abstractNumId w:val="60"/>
  </w:num>
  <w:num w:numId="44">
    <w:abstractNumId w:val="57"/>
  </w:num>
  <w:num w:numId="45">
    <w:abstractNumId w:val="53"/>
  </w:num>
  <w:num w:numId="46">
    <w:abstractNumId w:val="25"/>
  </w:num>
  <w:num w:numId="47">
    <w:abstractNumId w:val="68"/>
  </w:num>
  <w:num w:numId="48">
    <w:abstractNumId w:val="3"/>
  </w:num>
  <w:num w:numId="49">
    <w:abstractNumId w:val="18"/>
  </w:num>
  <w:num w:numId="50">
    <w:abstractNumId w:val="45"/>
  </w:num>
  <w:num w:numId="51">
    <w:abstractNumId w:val="27"/>
  </w:num>
  <w:num w:numId="52">
    <w:abstractNumId w:val="24"/>
  </w:num>
  <w:num w:numId="53">
    <w:abstractNumId w:val="5"/>
  </w:num>
  <w:num w:numId="54">
    <w:abstractNumId w:val="46"/>
  </w:num>
  <w:num w:numId="55">
    <w:abstractNumId w:val="1"/>
  </w:num>
  <w:num w:numId="56">
    <w:abstractNumId w:val="55"/>
  </w:num>
  <w:num w:numId="57">
    <w:abstractNumId w:val="52"/>
  </w:num>
  <w:num w:numId="58">
    <w:abstractNumId w:val="44"/>
  </w:num>
  <w:num w:numId="59">
    <w:abstractNumId w:val="8"/>
  </w:num>
  <w:num w:numId="60">
    <w:abstractNumId w:val="61"/>
  </w:num>
  <w:num w:numId="61">
    <w:abstractNumId w:val="50"/>
  </w:num>
  <w:num w:numId="62">
    <w:abstractNumId w:val="49"/>
  </w:num>
  <w:num w:numId="63">
    <w:abstractNumId w:val="7"/>
  </w:num>
  <w:num w:numId="64">
    <w:abstractNumId w:val="12"/>
  </w:num>
  <w:num w:numId="65">
    <w:abstractNumId w:val="39"/>
  </w:num>
  <w:num w:numId="66">
    <w:abstractNumId w:val="38"/>
  </w:num>
  <w:num w:numId="67">
    <w:abstractNumId w:val="22"/>
  </w:num>
  <w:num w:numId="68">
    <w:abstractNumId w:val="70"/>
  </w:num>
  <w:num w:numId="69">
    <w:abstractNumId w:val="20"/>
  </w:num>
  <w:num w:numId="70">
    <w:abstractNumId w:val="13"/>
  </w:num>
  <w:num w:numId="71">
    <w:abstractNumId w:val="35"/>
  </w:num>
  <w:num w:numId="72">
    <w:abstractNumId w:val="21"/>
  </w:num>
  <w:num w:numId="73">
    <w:abstractNumId w:val="5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B58"/>
    <w:rsid w:val="00007676"/>
    <w:rsid w:val="00012BF6"/>
    <w:rsid w:val="000246A1"/>
    <w:rsid w:val="00031D7C"/>
    <w:rsid w:val="00043020"/>
    <w:rsid w:val="00052A5C"/>
    <w:rsid w:val="000547B4"/>
    <w:rsid w:val="00056D73"/>
    <w:rsid w:val="00062281"/>
    <w:rsid w:val="0006478D"/>
    <w:rsid w:val="0008157D"/>
    <w:rsid w:val="00083B78"/>
    <w:rsid w:val="000C1190"/>
    <w:rsid w:val="000C455F"/>
    <w:rsid w:val="000D4676"/>
    <w:rsid w:val="000D60E6"/>
    <w:rsid w:val="000E2C24"/>
    <w:rsid w:val="000F023A"/>
    <w:rsid w:val="000F3C80"/>
    <w:rsid w:val="000F48FE"/>
    <w:rsid w:val="00102E7A"/>
    <w:rsid w:val="00106E00"/>
    <w:rsid w:val="00122E31"/>
    <w:rsid w:val="00124A83"/>
    <w:rsid w:val="0012594C"/>
    <w:rsid w:val="00127CB8"/>
    <w:rsid w:val="0013045C"/>
    <w:rsid w:val="001304C6"/>
    <w:rsid w:val="00150479"/>
    <w:rsid w:val="00165BDA"/>
    <w:rsid w:val="00166379"/>
    <w:rsid w:val="00172932"/>
    <w:rsid w:val="001824F7"/>
    <w:rsid w:val="0018767C"/>
    <w:rsid w:val="001906AF"/>
    <w:rsid w:val="00191BC3"/>
    <w:rsid w:val="001922DD"/>
    <w:rsid w:val="001932FF"/>
    <w:rsid w:val="001A5AB2"/>
    <w:rsid w:val="001C54CD"/>
    <w:rsid w:val="001D45D9"/>
    <w:rsid w:val="001D4931"/>
    <w:rsid w:val="001D5CF3"/>
    <w:rsid w:val="001F44BE"/>
    <w:rsid w:val="001F5479"/>
    <w:rsid w:val="0021020A"/>
    <w:rsid w:val="002145C7"/>
    <w:rsid w:val="00215243"/>
    <w:rsid w:val="00221339"/>
    <w:rsid w:val="00223CC5"/>
    <w:rsid w:val="00233CFF"/>
    <w:rsid w:val="00235320"/>
    <w:rsid w:val="002452F3"/>
    <w:rsid w:val="00251026"/>
    <w:rsid w:val="00251562"/>
    <w:rsid w:val="002611EC"/>
    <w:rsid w:val="00261B71"/>
    <w:rsid w:val="0028484F"/>
    <w:rsid w:val="0029358B"/>
    <w:rsid w:val="00296BA5"/>
    <w:rsid w:val="002A2167"/>
    <w:rsid w:val="002A3B18"/>
    <w:rsid w:val="002B4A03"/>
    <w:rsid w:val="002B4D35"/>
    <w:rsid w:val="002C00C5"/>
    <w:rsid w:val="002C07C1"/>
    <w:rsid w:val="002C6041"/>
    <w:rsid w:val="002D1D04"/>
    <w:rsid w:val="002D5680"/>
    <w:rsid w:val="002E136B"/>
    <w:rsid w:val="002F33D0"/>
    <w:rsid w:val="00301B77"/>
    <w:rsid w:val="003021E3"/>
    <w:rsid w:val="00312E2A"/>
    <w:rsid w:val="00317619"/>
    <w:rsid w:val="00327946"/>
    <w:rsid w:val="00346E72"/>
    <w:rsid w:val="00352DFF"/>
    <w:rsid w:val="0035487B"/>
    <w:rsid w:val="00356FEF"/>
    <w:rsid w:val="0037490C"/>
    <w:rsid w:val="00381DB0"/>
    <w:rsid w:val="00385186"/>
    <w:rsid w:val="00390E30"/>
    <w:rsid w:val="00396881"/>
    <w:rsid w:val="003D069F"/>
    <w:rsid w:val="003D0751"/>
    <w:rsid w:val="003D1C4A"/>
    <w:rsid w:val="003D32C5"/>
    <w:rsid w:val="003D3EC6"/>
    <w:rsid w:val="003E5D26"/>
    <w:rsid w:val="003F0889"/>
    <w:rsid w:val="003F0E8F"/>
    <w:rsid w:val="003F6679"/>
    <w:rsid w:val="00413424"/>
    <w:rsid w:val="004319BF"/>
    <w:rsid w:val="004322D4"/>
    <w:rsid w:val="00433083"/>
    <w:rsid w:val="0043713D"/>
    <w:rsid w:val="00443C38"/>
    <w:rsid w:val="004558B1"/>
    <w:rsid w:val="00457221"/>
    <w:rsid w:val="00460483"/>
    <w:rsid w:val="0046290A"/>
    <w:rsid w:val="00467C13"/>
    <w:rsid w:val="00474A90"/>
    <w:rsid w:val="004826D6"/>
    <w:rsid w:val="00486569"/>
    <w:rsid w:val="0049240F"/>
    <w:rsid w:val="00492726"/>
    <w:rsid w:val="004A35E7"/>
    <w:rsid w:val="004B60DD"/>
    <w:rsid w:val="004B61BA"/>
    <w:rsid w:val="004B6734"/>
    <w:rsid w:val="004B6B5D"/>
    <w:rsid w:val="004B716E"/>
    <w:rsid w:val="004C2325"/>
    <w:rsid w:val="004C518B"/>
    <w:rsid w:val="004D1E51"/>
    <w:rsid w:val="004E481A"/>
    <w:rsid w:val="004F7A70"/>
    <w:rsid w:val="005051D4"/>
    <w:rsid w:val="00505AB7"/>
    <w:rsid w:val="00506F93"/>
    <w:rsid w:val="005124C3"/>
    <w:rsid w:val="005129E8"/>
    <w:rsid w:val="0052009A"/>
    <w:rsid w:val="0052179A"/>
    <w:rsid w:val="0053043E"/>
    <w:rsid w:val="00540759"/>
    <w:rsid w:val="00543580"/>
    <w:rsid w:val="00545A2C"/>
    <w:rsid w:val="00551B37"/>
    <w:rsid w:val="005530C8"/>
    <w:rsid w:val="0055725A"/>
    <w:rsid w:val="00557C40"/>
    <w:rsid w:val="0056009C"/>
    <w:rsid w:val="00566859"/>
    <w:rsid w:val="00572A3A"/>
    <w:rsid w:val="00574C28"/>
    <w:rsid w:val="00576695"/>
    <w:rsid w:val="0058093B"/>
    <w:rsid w:val="005852CC"/>
    <w:rsid w:val="005919C0"/>
    <w:rsid w:val="005B1FAD"/>
    <w:rsid w:val="005B59A0"/>
    <w:rsid w:val="005D4A88"/>
    <w:rsid w:val="005E50F2"/>
    <w:rsid w:val="00604E89"/>
    <w:rsid w:val="00606669"/>
    <w:rsid w:val="006071AD"/>
    <w:rsid w:val="00611810"/>
    <w:rsid w:val="00613AFE"/>
    <w:rsid w:val="00615BE8"/>
    <w:rsid w:val="00616BA5"/>
    <w:rsid w:val="00617838"/>
    <w:rsid w:val="006221CC"/>
    <w:rsid w:val="00626071"/>
    <w:rsid w:val="006306BD"/>
    <w:rsid w:val="00630F08"/>
    <w:rsid w:val="006348A0"/>
    <w:rsid w:val="006410DB"/>
    <w:rsid w:val="00650C6D"/>
    <w:rsid w:val="0065229E"/>
    <w:rsid w:val="00656204"/>
    <w:rsid w:val="00656D04"/>
    <w:rsid w:val="00660037"/>
    <w:rsid w:val="006600E0"/>
    <w:rsid w:val="00662438"/>
    <w:rsid w:val="00665DE3"/>
    <w:rsid w:val="006668B9"/>
    <w:rsid w:val="00670CAD"/>
    <w:rsid w:val="0067192C"/>
    <w:rsid w:val="00671E26"/>
    <w:rsid w:val="00684F36"/>
    <w:rsid w:val="00691939"/>
    <w:rsid w:val="006A1CC9"/>
    <w:rsid w:val="006B3161"/>
    <w:rsid w:val="006C0E4E"/>
    <w:rsid w:val="006C19B7"/>
    <w:rsid w:val="006C424B"/>
    <w:rsid w:val="006C7641"/>
    <w:rsid w:val="006D1072"/>
    <w:rsid w:val="00702F64"/>
    <w:rsid w:val="007033C1"/>
    <w:rsid w:val="007068CD"/>
    <w:rsid w:val="00712841"/>
    <w:rsid w:val="00717E22"/>
    <w:rsid w:val="0074154E"/>
    <w:rsid w:val="0074670F"/>
    <w:rsid w:val="00755C04"/>
    <w:rsid w:val="00755DB9"/>
    <w:rsid w:val="00766492"/>
    <w:rsid w:val="00773F07"/>
    <w:rsid w:val="007740F4"/>
    <w:rsid w:val="007743B9"/>
    <w:rsid w:val="00774FC9"/>
    <w:rsid w:val="00782818"/>
    <w:rsid w:val="007828BD"/>
    <w:rsid w:val="007916F5"/>
    <w:rsid w:val="007A0D8A"/>
    <w:rsid w:val="007A2A89"/>
    <w:rsid w:val="007A7D88"/>
    <w:rsid w:val="007C0834"/>
    <w:rsid w:val="007C12CB"/>
    <w:rsid w:val="007C7BEB"/>
    <w:rsid w:val="007D2472"/>
    <w:rsid w:val="007D3BF8"/>
    <w:rsid w:val="007D4704"/>
    <w:rsid w:val="007D4715"/>
    <w:rsid w:val="007D50E7"/>
    <w:rsid w:val="007D6EA9"/>
    <w:rsid w:val="007E6793"/>
    <w:rsid w:val="007E740E"/>
    <w:rsid w:val="007F460A"/>
    <w:rsid w:val="007F5E68"/>
    <w:rsid w:val="008012BB"/>
    <w:rsid w:val="00813042"/>
    <w:rsid w:val="0082050D"/>
    <w:rsid w:val="00820B49"/>
    <w:rsid w:val="00821180"/>
    <w:rsid w:val="0082235C"/>
    <w:rsid w:val="008252E9"/>
    <w:rsid w:val="00826D0C"/>
    <w:rsid w:val="00827D28"/>
    <w:rsid w:val="0083769A"/>
    <w:rsid w:val="0084493D"/>
    <w:rsid w:val="00845EA2"/>
    <w:rsid w:val="008461BD"/>
    <w:rsid w:val="00857AAC"/>
    <w:rsid w:val="00857B3E"/>
    <w:rsid w:val="00861AB0"/>
    <w:rsid w:val="00864339"/>
    <w:rsid w:val="008734FD"/>
    <w:rsid w:val="00876EDB"/>
    <w:rsid w:val="00886479"/>
    <w:rsid w:val="0089179C"/>
    <w:rsid w:val="008A745C"/>
    <w:rsid w:val="008B2B16"/>
    <w:rsid w:val="008B4B73"/>
    <w:rsid w:val="008C31B9"/>
    <w:rsid w:val="008C5F96"/>
    <w:rsid w:val="008D092F"/>
    <w:rsid w:val="008E2AA2"/>
    <w:rsid w:val="008F0791"/>
    <w:rsid w:val="009039F5"/>
    <w:rsid w:val="009151FB"/>
    <w:rsid w:val="00922F3C"/>
    <w:rsid w:val="00927FF7"/>
    <w:rsid w:val="00937878"/>
    <w:rsid w:val="009425C3"/>
    <w:rsid w:val="00944F38"/>
    <w:rsid w:val="00951DC8"/>
    <w:rsid w:val="009545B3"/>
    <w:rsid w:val="00961992"/>
    <w:rsid w:val="00962F23"/>
    <w:rsid w:val="00970388"/>
    <w:rsid w:val="009728C7"/>
    <w:rsid w:val="0097729F"/>
    <w:rsid w:val="00981A0E"/>
    <w:rsid w:val="00987F56"/>
    <w:rsid w:val="009A32BF"/>
    <w:rsid w:val="009A548D"/>
    <w:rsid w:val="009A7539"/>
    <w:rsid w:val="009B04F6"/>
    <w:rsid w:val="009C6DCA"/>
    <w:rsid w:val="009D20AE"/>
    <w:rsid w:val="009D2F87"/>
    <w:rsid w:val="009D5B89"/>
    <w:rsid w:val="009D6351"/>
    <w:rsid w:val="009E271E"/>
    <w:rsid w:val="009E3DF4"/>
    <w:rsid w:val="009E547B"/>
    <w:rsid w:val="009E7A90"/>
    <w:rsid w:val="009F2ECE"/>
    <w:rsid w:val="009F4CF9"/>
    <w:rsid w:val="00A01BDF"/>
    <w:rsid w:val="00A035AE"/>
    <w:rsid w:val="00A10192"/>
    <w:rsid w:val="00A12459"/>
    <w:rsid w:val="00A40C4F"/>
    <w:rsid w:val="00A42156"/>
    <w:rsid w:val="00A438B8"/>
    <w:rsid w:val="00A4711D"/>
    <w:rsid w:val="00A5770E"/>
    <w:rsid w:val="00A64D4E"/>
    <w:rsid w:val="00A82FD9"/>
    <w:rsid w:val="00A94AE7"/>
    <w:rsid w:val="00A95F99"/>
    <w:rsid w:val="00A96D12"/>
    <w:rsid w:val="00AA051F"/>
    <w:rsid w:val="00AA67DC"/>
    <w:rsid w:val="00AC1907"/>
    <w:rsid w:val="00AC1C47"/>
    <w:rsid w:val="00AC36F9"/>
    <w:rsid w:val="00AE0B3C"/>
    <w:rsid w:val="00AE1FD1"/>
    <w:rsid w:val="00AE44BA"/>
    <w:rsid w:val="00AE4C53"/>
    <w:rsid w:val="00AF402C"/>
    <w:rsid w:val="00B15BD7"/>
    <w:rsid w:val="00B17543"/>
    <w:rsid w:val="00B20582"/>
    <w:rsid w:val="00B238AA"/>
    <w:rsid w:val="00B33397"/>
    <w:rsid w:val="00B35BB5"/>
    <w:rsid w:val="00B46375"/>
    <w:rsid w:val="00B553EE"/>
    <w:rsid w:val="00B56FE5"/>
    <w:rsid w:val="00B613B2"/>
    <w:rsid w:val="00B637C0"/>
    <w:rsid w:val="00B65523"/>
    <w:rsid w:val="00B7417C"/>
    <w:rsid w:val="00B77B22"/>
    <w:rsid w:val="00B81F54"/>
    <w:rsid w:val="00B859DE"/>
    <w:rsid w:val="00B948F3"/>
    <w:rsid w:val="00B969ED"/>
    <w:rsid w:val="00BA1CAE"/>
    <w:rsid w:val="00BA571D"/>
    <w:rsid w:val="00BB51C3"/>
    <w:rsid w:val="00BC0CE6"/>
    <w:rsid w:val="00BC76B6"/>
    <w:rsid w:val="00BE64C2"/>
    <w:rsid w:val="00BE6E4B"/>
    <w:rsid w:val="00BE7CA4"/>
    <w:rsid w:val="00BF3797"/>
    <w:rsid w:val="00C067AE"/>
    <w:rsid w:val="00C07C2D"/>
    <w:rsid w:val="00C17FB9"/>
    <w:rsid w:val="00C20F37"/>
    <w:rsid w:val="00C3196C"/>
    <w:rsid w:val="00C32BEE"/>
    <w:rsid w:val="00C46283"/>
    <w:rsid w:val="00C465CD"/>
    <w:rsid w:val="00C46E6B"/>
    <w:rsid w:val="00C72F32"/>
    <w:rsid w:val="00C8034B"/>
    <w:rsid w:val="00C808CB"/>
    <w:rsid w:val="00C8338B"/>
    <w:rsid w:val="00C8549C"/>
    <w:rsid w:val="00C8673B"/>
    <w:rsid w:val="00C9197F"/>
    <w:rsid w:val="00C93F6B"/>
    <w:rsid w:val="00C971CF"/>
    <w:rsid w:val="00C97BD5"/>
    <w:rsid w:val="00CA0203"/>
    <w:rsid w:val="00CA02A3"/>
    <w:rsid w:val="00CA7B20"/>
    <w:rsid w:val="00CB559A"/>
    <w:rsid w:val="00CB7B36"/>
    <w:rsid w:val="00CC0B58"/>
    <w:rsid w:val="00CC1FAF"/>
    <w:rsid w:val="00CC7F5B"/>
    <w:rsid w:val="00CD052D"/>
    <w:rsid w:val="00CD2445"/>
    <w:rsid w:val="00CE0BCE"/>
    <w:rsid w:val="00CE1AFE"/>
    <w:rsid w:val="00CE2018"/>
    <w:rsid w:val="00CE3AD5"/>
    <w:rsid w:val="00CF05BD"/>
    <w:rsid w:val="00CF758C"/>
    <w:rsid w:val="00CF7FA9"/>
    <w:rsid w:val="00D06962"/>
    <w:rsid w:val="00D06D1F"/>
    <w:rsid w:val="00D07F44"/>
    <w:rsid w:val="00D124B3"/>
    <w:rsid w:val="00D1423F"/>
    <w:rsid w:val="00D14780"/>
    <w:rsid w:val="00D235A1"/>
    <w:rsid w:val="00D34C19"/>
    <w:rsid w:val="00D3546F"/>
    <w:rsid w:val="00D4033E"/>
    <w:rsid w:val="00D42636"/>
    <w:rsid w:val="00D55182"/>
    <w:rsid w:val="00D610BE"/>
    <w:rsid w:val="00D6192B"/>
    <w:rsid w:val="00D623AA"/>
    <w:rsid w:val="00D66DFE"/>
    <w:rsid w:val="00D723A9"/>
    <w:rsid w:val="00D726EE"/>
    <w:rsid w:val="00D76ADF"/>
    <w:rsid w:val="00D7716F"/>
    <w:rsid w:val="00D83BAF"/>
    <w:rsid w:val="00DA4C59"/>
    <w:rsid w:val="00DA67F1"/>
    <w:rsid w:val="00DB0D3C"/>
    <w:rsid w:val="00DB29BD"/>
    <w:rsid w:val="00DB70E8"/>
    <w:rsid w:val="00DD134E"/>
    <w:rsid w:val="00DE0CA6"/>
    <w:rsid w:val="00DF17CD"/>
    <w:rsid w:val="00DF34C6"/>
    <w:rsid w:val="00DF44A8"/>
    <w:rsid w:val="00E00A8D"/>
    <w:rsid w:val="00E01EB5"/>
    <w:rsid w:val="00E15251"/>
    <w:rsid w:val="00E21E90"/>
    <w:rsid w:val="00E26047"/>
    <w:rsid w:val="00E27253"/>
    <w:rsid w:val="00E33D41"/>
    <w:rsid w:val="00E41B93"/>
    <w:rsid w:val="00E458EC"/>
    <w:rsid w:val="00E63CB4"/>
    <w:rsid w:val="00E64F6A"/>
    <w:rsid w:val="00E678A2"/>
    <w:rsid w:val="00E708C6"/>
    <w:rsid w:val="00E749C0"/>
    <w:rsid w:val="00E7551B"/>
    <w:rsid w:val="00E77B79"/>
    <w:rsid w:val="00E84334"/>
    <w:rsid w:val="00E90D47"/>
    <w:rsid w:val="00E925F2"/>
    <w:rsid w:val="00E94B80"/>
    <w:rsid w:val="00E96BD3"/>
    <w:rsid w:val="00E96FDD"/>
    <w:rsid w:val="00EA1CDB"/>
    <w:rsid w:val="00EA4C1A"/>
    <w:rsid w:val="00EA7394"/>
    <w:rsid w:val="00EB0D3B"/>
    <w:rsid w:val="00EB10B0"/>
    <w:rsid w:val="00EB5CC8"/>
    <w:rsid w:val="00EC1168"/>
    <w:rsid w:val="00EE311D"/>
    <w:rsid w:val="00EE58FC"/>
    <w:rsid w:val="00EE6CB4"/>
    <w:rsid w:val="00EE74AE"/>
    <w:rsid w:val="00EE7DE7"/>
    <w:rsid w:val="00EF0966"/>
    <w:rsid w:val="00F104B7"/>
    <w:rsid w:val="00F21665"/>
    <w:rsid w:val="00F23FFF"/>
    <w:rsid w:val="00F3062D"/>
    <w:rsid w:val="00F343EF"/>
    <w:rsid w:val="00F367DA"/>
    <w:rsid w:val="00F41B46"/>
    <w:rsid w:val="00F568E7"/>
    <w:rsid w:val="00F56C3C"/>
    <w:rsid w:val="00F6171F"/>
    <w:rsid w:val="00F65A99"/>
    <w:rsid w:val="00F71796"/>
    <w:rsid w:val="00F74CC0"/>
    <w:rsid w:val="00F7584C"/>
    <w:rsid w:val="00F81FAD"/>
    <w:rsid w:val="00F9247A"/>
    <w:rsid w:val="00FA2665"/>
    <w:rsid w:val="00FA401F"/>
    <w:rsid w:val="00FA42F5"/>
    <w:rsid w:val="00FB3A4D"/>
    <w:rsid w:val="00FB7083"/>
    <w:rsid w:val="00FC6007"/>
    <w:rsid w:val="00FD5797"/>
    <w:rsid w:val="00FD618C"/>
    <w:rsid w:val="00FE65D3"/>
    <w:rsid w:val="00FE6C13"/>
    <w:rsid w:val="00FE7D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C5728A"/>
  <w15:chartTrackingRefBased/>
  <w15:docId w15:val="{8A80B2E2-9F0E-4555-9919-F559731CE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545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ПАРАГРАФ"/>
    <w:basedOn w:val="a"/>
    <w:link w:val="a4"/>
    <w:uiPriority w:val="34"/>
    <w:qFormat/>
    <w:rsid w:val="00F74CC0"/>
    <w:pPr>
      <w:ind w:left="720"/>
      <w:contextualSpacing/>
    </w:pPr>
  </w:style>
  <w:style w:type="table" w:styleId="a5">
    <w:name w:val="Table Grid"/>
    <w:basedOn w:val="a1"/>
    <w:uiPriority w:val="39"/>
    <w:rsid w:val="00857AAC"/>
    <w:pPr>
      <w:spacing w:after="0" w:line="240" w:lineRule="auto"/>
      <w:ind w:firstLine="567"/>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aption"/>
    <w:basedOn w:val="a"/>
    <w:next w:val="a"/>
    <w:uiPriority w:val="35"/>
    <w:unhideWhenUsed/>
    <w:qFormat/>
    <w:rsid w:val="00857AAC"/>
    <w:pPr>
      <w:spacing w:after="0" w:line="240" w:lineRule="auto"/>
      <w:jc w:val="both"/>
    </w:pPr>
    <w:rPr>
      <w:rFonts w:ascii="Times New Roman" w:hAnsi="Times New Roman" w:cs="Times New Roman"/>
      <w:bCs/>
      <w:sz w:val="28"/>
      <w:szCs w:val="28"/>
      <w:shd w:val="clear" w:color="auto" w:fill="FFFFFF"/>
    </w:rPr>
  </w:style>
  <w:style w:type="paragraph" w:styleId="a7">
    <w:name w:val="header"/>
    <w:basedOn w:val="a"/>
    <w:link w:val="a8"/>
    <w:uiPriority w:val="99"/>
    <w:unhideWhenUsed/>
    <w:rsid w:val="0056685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66859"/>
  </w:style>
  <w:style w:type="paragraph" w:styleId="a9">
    <w:name w:val="footer"/>
    <w:basedOn w:val="a"/>
    <w:link w:val="aa"/>
    <w:uiPriority w:val="99"/>
    <w:unhideWhenUsed/>
    <w:rsid w:val="0056685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66859"/>
  </w:style>
  <w:style w:type="paragraph" w:styleId="ab">
    <w:name w:val="Balloon Text"/>
    <w:basedOn w:val="a"/>
    <w:link w:val="ac"/>
    <w:uiPriority w:val="99"/>
    <w:semiHidden/>
    <w:unhideWhenUsed/>
    <w:rsid w:val="0056685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566859"/>
    <w:rPr>
      <w:rFonts w:ascii="Segoe UI" w:hAnsi="Segoe UI" w:cs="Segoe UI"/>
      <w:sz w:val="18"/>
      <w:szCs w:val="18"/>
    </w:rPr>
  </w:style>
  <w:style w:type="character" w:styleId="ad">
    <w:name w:val="annotation reference"/>
    <w:basedOn w:val="a0"/>
    <w:uiPriority w:val="99"/>
    <w:semiHidden/>
    <w:unhideWhenUsed/>
    <w:rsid w:val="00221339"/>
    <w:rPr>
      <w:sz w:val="16"/>
      <w:szCs w:val="16"/>
    </w:rPr>
  </w:style>
  <w:style w:type="paragraph" w:styleId="ae">
    <w:name w:val="annotation text"/>
    <w:basedOn w:val="a"/>
    <w:link w:val="af"/>
    <w:uiPriority w:val="99"/>
    <w:unhideWhenUsed/>
    <w:rsid w:val="00221339"/>
    <w:pPr>
      <w:spacing w:after="0" w:line="240" w:lineRule="auto"/>
      <w:ind w:firstLine="567"/>
      <w:jc w:val="both"/>
    </w:pPr>
    <w:rPr>
      <w:rFonts w:ascii="Times New Roman" w:hAnsi="Times New Roman"/>
      <w:sz w:val="20"/>
      <w:szCs w:val="20"/>
    </w:rPr>
  </w:style>
  <w:style w:type="character" w:customStyle="1" w:styleId="af">
    <w:name w:val="Текст примечания Знак"/>
    <w:basedOn w:val="a0"/>
    <w:link w:val="ae"/>
    <w:uiPriority w:val="99"/>
    <w:rsid w:val="00221339"/>
    <w:rPr>
      <w:rFonts w:ascii="Times New Roman" w:hAnsi="Times New Roman"/>
      <w:sz w:val="20"/>
      <w:szCs w:val="20"/>
    </w:rPr>
  </w:style>
  <w:style w:type="character" w:styleId="af0">
    <w:name w:val="Hyperlink"/>
    <w:basedOn w:val="a0"/>
    <w:uiPriority w:val="99"/>
    <w:unhideWhenUsed/>
    <w:rsid w:val="00221339"/>
    <w:rPr>
      <w:color w:val="0563C1" w:themeColor="hyperlink"/>
      <w:u w:val="single"/>
    </w:rPr>
  </w:style>
  <w:style w:type="character" w:styleId="af1">
    <w:name w:val="Strong"/>
    <w:basedOn w:val="a0"/>
    <w:uiPriority w:val="22"/>
    <w:qFormat/>
    <w:rsid w:val="009D5B89"/>
    <w:rPr>
      <w:b/>
      <w:bCs/>
    </w:rPr>
  </w:style>
  <w:style w:type="paragraph" w:styleId="af2">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
    <w:basedOn w:val="a"/>
    <w:link w:val="af3"/>
    <w:uiPriority w:val="99"/>
    <w:unhideWhenUsed/>
    <w:qFormat/>
    <w:rsid w:val="00381D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Emphasis"/>
    <w:basedOn w:val="a0"/>
    <w:uiPriority w:val="20"/>
    <w:qFormat/>
    <w:rsid w:val="00381DB0"/>
    <w:rPr>
      <w:i/>
      <w:iCs/>
    </w:rPr>
  </w:style>
  <w:style w:type="paragraph" w:styleId="af5">
    <w:name w:val="Bibliography"/>
    <w:basedOn w:val="a"/>
    <w:next w:val="a"/>
    <w:uiPriority w:val="37"/>
    <w:unhideWhenUsed/>
    <w:rsid w:val="003E5D26"/>
    <w:pPr>
      <w:tabs>
        <w:tab w:val="left" w:pos="504"/>
      </w:tabs>
      <w:spacing w:after="0" w:line="240" w:lineRule="auto"/>
      <w:ind w:left="504" w:hanging="504"/>
    </w:pPr>
  </w:style>
  <w:style w:type="character" w:customStyle="1" w:styleId="mbin">
    <w:name w:val="mbin"/>
    <w:basedOn w:val="a0"/>
    <w:rsid w:val="000C1190"/>
  </w:style>
  <w:style w:type="character" w:customStyle="1" w:styleId="mord">
    <w:name w:val="mord"/>
    <w:basedOn w:val="a0"/>
    <w:rsid w:val="000C1190"/>
  </w:style>
  <w:style w:type="character" w:customStyle="1" w:styleId="vlist-s">
    <w:name w:val="vlist-s"/>
    <w:basedOn w:val="a0"/>
    <w:rsid w:val="000C1190"/>
  </w:style>
  <w:style w:type="character" w:customStyle="1" w:styleId="mrel">
    <w:name w:val="mrel"/>
    <w:basedOn w:val="a0"/>
    <w:rsid w:val="000C1190"/>
  </w:style>
  <w:style w:type="character" w:customStyle="1" w:styleId="ng-star-inserted">
    <w:name w:val="ng-star-inserted"/>
    <w:basedOn w:val="a0"/>
    <w:rsid w:val="000C1190"/>
  </w:style>
  <w:style w:type="character" w:customStyle="1" w:styleId="katex-mathml">
    <w:name w:val="katex-mathml"/>
    <w:basedOn w:val="a0"/>
    <w:rsid w:val="002F33D0"/>
  </w:style>
  <w:style w:type="character" w:customStyle="1" w:styleId="mop">
    <w:name w:val="mop"/>
    <w:basedOn w:val="a0"/>
    <w:rsid w:val="002F33D0"/>
  </w:style>
  <w:style w:type="paragraph" w:styleId="af6">
    <w:name w:val="annotation subject"/>
    <w:basedOn w:val="ae"/>
    <w:next w:val="ae"/>
    <w:link w:val="af7"/>
    <w:uiPriority w:val="99"/>
    <w:semiHidden/>
    <w:unhideWhenUsed/>
    <w:rsid w:val="002F33D0"/>
    <w:rPr>
      <w:b/>
      <w:bCs/>
    </w:rPr>
  </w:style>
  <w:style w:type="character" w:customStyle="1" w:styleId="af7">
    <w:name w:val="Тема примечания Знак"/>
    <w:basedOn w:val="af"/>
    <w:link w:val="af6"/>
    <w:uiPriority w:val="99"/>
    <w:semiHidden/>
    <w:rsid w:val="002F33D0"/>
    <w:rPr>
      <w:rFonts w:ascii="Times New Roman" w:hAnsi="Times New Roman"/>
      <w:b/>
      <w:bCs/>
      <w:sz w:val="20"/>
      <w:szCs w:val="20"/>
    </w:rPr>
  </w:style>
  <w:style w:type="character" w:customStyle="1" w:styleId="af3">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f2"/>
    <w:uiPriority w:val="99"/>
    <w:locked/>
    <w:rsid w:val="0013045C"/>
    <w:rPr>
      <w:rFonts w:ascii="Times New Roman" w:eastAsia="Times New Roman" w:hAnsi="Times New Roman" w:cs="Times New Roman"/>
      <w:sz w:val="24"/>
      <w:szCs w:val="24"/>
      <w:lang w:eastAsia="ru-RU"/>
    </w:rPr>
  </w:style>
  <w:style w:type="paragraph" w:customStyle="1" w:styleId="11">
    <w:name w:val="Стиль1"/>
    <w:basedOn w:val="1"/>
    <w:link w:val="12"/>
    <w:qFormat/>
    <w:rsid w:val="009545B3"/>
    <w:pPr>
      <w:spacing w:line="240" w:lineRule="auto"/>
      <w:jc w:val="center"/>
    </w:pPr>
    <w:rPr>
      <w:rFonts w:ascii="Times New Roman" w:hAnsi="Times New Roman" w:cs="Times New Roman"/>
      <w:b/>
      <w:color w:val="auto"/>
      <w:sz w:val="28"/>
      <w:szCs w:val="28"/>
      <w:lang w:eastAsia="ru-RU"/>
    </w:rPr>
  </w:style>
  <w:style w:type="character" w:customStyle="1" w:styleId="12">
    <w:name w:val="Стиль1 Знак"/>
    <w:basedOn w:val="a0"/>
    <w:link w:val="11"/>
    <w:rsid w:val="009545B3"/>
    <w:rPr>
      <w:rFonts w:ascii="Times New Roman" w:eastAsiaTheme="majorEastAsia" w:hAnsi="Times New Roman" w:cs="Times New Roman"/>
      <w:b/>
      <w:sz w:val="28"/>
      <w:szCs w:val="28"/>
      <w:lang w:eastAsia="ru-RU"/>
    </w:rPr>
  </w:style>
  <w:style w:type="character" w:customStyle="1" w:styleId="10">
    <w:name w:val="Заголовок 1 Знак"/>
    <w:basedOn w:val="a0"/>
    <w:link w:val="1"/>
    <w:uiPriority w:val="9"/>
    <w:rsid w:val="009545B3"/>
    <w:rPr>
      <w:rFonts w:asciiTheme="majorHAnsi" w:eastAsiaTheme="majorEastAsia" w:hAnsiTheme="majorHAnsi" w:cstheme="majorBidi"/>
      <w:color w:val="2E74B5" w:themeColor="accent1" w:themeShade="BF"/>
      <w:sz w:val="32"/>
      <w:szCs w:val="32"/>
    </w:rPr>
  </w:style>
  <w:style w:type="table" w:styleId="af8">
    <w:name w:val="Grid Table Light"/>
    <w:basedOn w:val="a1"/>
    <w:uiPriority w:val="40"/>
    <w:rsid w:val="00B637C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4">
    <w:name w:val="Абзац списка Знак"/>
    <w:aliases w:val="маркированный Знак,ПАРАГРАФ Знак"/>
    <w:link w:val="a3"/>
    <w:uiPriority w:val="34"/>
    <w:rsid w:val="00D07F44"/>
  </w:style>
  <w:style w:type="character" w:styleId="af9">
    <w:name w:val="FollowedHyperlink"/>
    <w:basedOn w:val="a0"/>
    <w:uiPriority w:val="99"/>
    <w:semiHidden/>
    <w:unhideWhenUsed/>
    <w:rsid w:val="00AE1F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357125">
      <w:bodyDiv w:val="1"/>
      <w:marLeft w:val="0"/>
      <w:marRight w:val="0"/>
      <w:marTop w:val="0"/>
      <w:marBottom w:val="0"/>
      <w:divBdr>
        <w:top w:val="none" w:sz="0" w:space="0" w:color="auto"/>
        <w:left w:val="none" w:sz="0" w:space="0" w:color="auto"/>
        <w:bottom w:val="none" w:sz="0" w:space="0" w:color="auto"/>
        <w:right w:val="none" w:sz="0" w:space="0" w:color="auto"/>
      </w:divBdr>
    </w:div>
    <w:div w:id="477918356">
      <w:bodyDiv w:val="1"/>
      <w:marLeft w:val="0"/>
      <w:marRight w:val="0"/>
      <w:marTop w:val="0"/>
      <w:marBottom w:val="0"/>
      <w:divBdr>
        <w:top w:val="none" w:sz="0" w:space="0" w:color="auto"/>
        <w:left w:val="none" w:sz="0" w:space="0" w:color="auto"/>
        <w:bottom w:val="none" w:sz="0" w:space="0" w:color="auto"/>
        <w:right w:val="none" w:sz="0" w:space="0" w:color="auto"/>
      </w:divBdr>
    </w:div>
    <w:div w:id="550776250">
      <w:bodyDiv w:val="1"/>
      <w:marLeft w:val="0"/>
      <w:marRight w:val="0"/>
      <w:marTop w:val="0"/>
      <w:marBottom w:val="0"/>
      <w:divBdr>
        <w:top w:val="none" w:sz="0" w:space="0" w:color="auto"/>
        <w:left w:val="none" w:sz="0" w:space="0" w:color="auto"/>
        <w:bottom w:val="none" w:sz="0" w:space="0" w:color="auto"/>
        <w:right w:val="none" w:sz="0" w:space="0" w:color="auto"/>
      </w:divBdr>
    </w:div>
    <w:div w:id="558176277">
      <w:bodyDiv w:val="1"/>
      <w:marLeft w:val="0"/>
      <w:marRight w:val="0"/>
      <w:marTop w:val="0"/>
      <w:marBottom w:val="0"/>
      <w:divBdr>
        <w:top w:val="none" w:sz="0" w:space="0" w:color="auto"/>
        <w:left w:val="none" w:sz="0" w:space="0" w:color="auto"/>
        <w:bottom w:val="none" w:sz="0" w:space="0" w:color="auto"/>
        <w:right w:val="none" w:sz="0" w:space="0" w:color="auto"/>
      </w:divBdr>
    </w:div>
    <w:div w:id="589048510">
      <w:bodyDiv w:val="1"/>
      <w:marLeft w:val="0"/>
      <w:marRight w:val="0"/>
      <w:marTop w:val="0"/>
      <w:marBottom w:val="0"/>
      <w:divBdr>
        <w:top w:val="none" w:sz="0" w:space="0" w:color="auto"/>
        <w:left w:val="none" w:sz="0" w:space="0" w:color="auto"/>
        <w:bottom w:val="none" w:sz="0" w:space="0" w:color="auto"/>
        <w:right w:val="none" w:sz="0" w:space="0" w:color="auto"/>
      </w:divBdr>
    </w:div>
    <w:div w:id="618754997">
      <w:bodyDiv w:val="1"/>
      <w:marLeft w:val="0"/>
      <w:marRight w:val="0"/>
      <w:marTop w:val="0"/>
      <w:marBottom w:val="0"/>
      <w:divBdr>
        <w:top w:val="none" w:sz="0" w:space="0" w:color="auto"/>
        <w:left w:val="none" w:sz="0" w:space="0" w:color="auto"/>
        <w:bottom w:val="none" w:sz="0" w:space="0" w:color="auto"/>
        <w:right w:val="none" w:sz="0" w:space="0" w:color="auto"/>
      </w:divBdr>
    </w:div>
    <w:div w:id="641082938">
      <w:bodyDiv w:val="1"/>
      <w:marLeft w:val="0"/>
      <w:marRight w:val="0"/>
      <w:marTop w:val="0"/>
      <w:marBottom w:val="0"/>
      <w:divBdr>
        <w:top w:val="none" w:sz="0" w:space="0" w:color="auto"/>
        <w:left w:val="none" w:sz="0" w:space="0" w:color="auto"/>
        <w:bottom w:val="none" w:sz="0" w:space="0" w:color="auto"/>
        <w:right w:val="none" w:sz="0" w:space="0" w:color="auto"/>
      </w:divBdr>
    </w:div>
    <w:div w:id="692924874">
      <w:bodyDiv w:val="1"/>
      <w:marLeft w:val="0"/>
      <w:marRight w:val="0"/>
      <w:marTop w:val="0"/>
      <w:marBottom w:val="0"/>
      <w:divBdr>
        <w:top w:val="none" w:sz="0" w:space="0" w:color="auto"/>
        <w:left w:val="none" w:sz="0" w:space="0" w:color="auto"/>
        <w:bottom w:val="none" w:sz="0" w:space="0" w:color="auto"/>
        <w:right w:val="none" w:sz="0" w:space="0" w:color="auto"/>
      </w:divBdr>
    </w:div>
    <w:div w:id="749425067">
      <w:bodyDiv w:val="1"/>
      <w:marLeft w:val="0"/>
      <w:marRight w:val="0"/>
      <w:marTop w:val="0"/>
      <w:marBottom w:val="0"/>
      <w:divBdr>
        <w:top w:val="none" w:sz="0" w:space="0" w:color="auto"/>
        <w:left w:val="none" w:sz="0" w:space="0" w:color="auto"/>
        <w:bottom w:val="none" w:sz="0" w:space="0" w:color="auto"/>
        <w:right w:val="none" w:sz="0" w:space="0" w:color="auto"/>
      </w:divBdr>
    </w:div>
    <w:div w:id="1203901294">
      <w:bodyDiv w:val="1"/>
      <w:marLeft w:val="0"/>
      <w:marRight w:val="0"/>
      <w:marTop w:val="0"/>
      <w:marBottom w:val="0"/>
      <w:divBdr>
        <w:top w:val="none" w:sz="0" w:space="0" w:color="auto"/>
        <w:left w:val="none" w:sz="0" w:space="0" w:color="auto"/>
        <w:bottom w:val="none" w:sz="0" w:space="0" w:color="auto"/>
        <w:right w:val="none" w:sz="0" w:space="0" w:color="auto"/>
      </w:divBdr>
    </w:div>
    <w:div w:id="1347250028">
      <w:bodyDiv w:val="1"/>
      <w:marLeft w:val="0"/>
      <w:marRight w:val="0"/>
      <w:marTop w:val="0"/>
      <w:marBottom w:val="0"/>
      <w:divBdr>
        <w:top w:val="none" w:sz="0" w:space="0" w:color="auto"/>
        <w:left w:val="none" w:sz="0" w:space="0" w:color="auto"/>
        <w:bottom w:val="none" w:sz="0" w:space="0" w:color="auto"/>
        <w:right w:val="none" w:sz="0" w:space="0" w:color="auto"/>
      </w:divBdr>
    </w:div>
    <w:div w:id="1354989448">
      <w:bodyDiv w:val="1"/>
      <w:marLeft w:val="0"/>
      <w:marRight w:val="0"/>
      <w:marTop w:val="0"/>
      <w:marBottom w:val="0"/>
      <w:divBdr>
        <w:top w:val="none" w:sz="0" w:space="0" w:color="auto"/>
        <w:left w:val="none" w:sz="0" w:space="0" w:color="auto"/>
        <w:bottom w:val="none" w:sz="0" w:space="0" w:color="auto"/>
        <w:right w:val="none" w:sz="0" w:space="0" w:color="auto"/>
      </w:divBdr>
    </w:div>
    <w:div w:id="1511917755">
      <w:bodyDiv w:val="1"/>
      <w:marLeft w:val="0"/>
      <w:marRight w:val="0"/>
      <w:marTop w:val="0"/>
      <w:marBottom w:val="0"/>
      <w:divBdr>
        <w:top w:val="none" w:sz="0" w:space="0" w:color="auto"/>
        <w:left w:val="none" w:sz="0" w:space="0" w:color="auto"/>
        <w:bottom w:val="none" w:sz="0" w:space="0" w:color="auto"/>
        <w:right w:val="none" w:sz="0" w:space="0" w:color="auto"/>
      </w:divBdr>
    </w:div>
    <w:div w:id="1513035257">
      <w:bodyDiv w:val="1"/>
      <w:marLeft w:val="0"/>
      <w:marRight w:val="0"/>
      <w:marTop w:val="0"/>
      <w:marBottom w:val="0"/>
      <w:divBdr>
        <w:top w:val="none" w:sz="0" w:space="0" w:color="auto"/>
        <w:left w:val="none" w:sz="0" w:space="0" w:color="auto"/>
        <w:bottom w:val="none" w:sz="0" w:space="0" w:color="auto"/>
        <w:right w:val="none" w:sz="0" w:space="0" w:color="auto"/>
      </w:divBdr>
    </w:div>
    <w:div w:id="1568029954">
      <w:bodyDiv w:val="1"/>
      <w:marLeft w:val="0"/>
      <w:marRight w:val="0"/>
      <w:marTop w:val="0"/>
      <w:marBottom w:val="0"/>
      <w:divBdr>
        <w:top w:val="none" w:sz="0" w:space="0" w:color="auto"/>
        <w:left w:val="none" w:sz="0" w:space="0" w:color="auto"/>
        <w:bottom w:val="none" w:sz="0" w:space="0" w:color="auto"/>
        <w:right w:val="none" w:sz="0" w:space="0" w:color="auto"/>
      </w:divBdr>
    </w:div>
    <w:div w:id="1788889469">
      <w:bodyDiv w:val="1"/>
      <w:marLeft w:val="0"/>
      <w:marRight w:val="0"/>
      <w:marTop w:val="0"/>
      <w:marBottom w:val="0"/>
      <w:divBdr>
        <w:top w:val="none" w:sz="0" w:space="0" w:color="auto"/>
        <w:left w:val="none" w:sz="0" w:space="0" w:color="auto"/>
        <w:bottom w:val="none" w:sz="0" w:space="0" w:color="auto"/>
        <w:right w:val="none" w:sz="0" w:space="0" w:color="auto"/>
      </w:divBdr>
    </w:div>
    <w:div w:id="1894190713">
      <w:bodyDiv w:val="1"/>
      <w:marLeft w:val="0"/>
      <w:marRight w:val="0"/>
      <w:marTop w:val="0"/>
      <w:marBottom w:val="0"/>
      <w:divBdr>
        <w:top w:val="none" w:sz="0" w:space="0" w:color="auto"/>
        <w:left w:val="none" w:sz="0" w:space="0" w:color="auto"/>
        <w:bottom w:val="none" w:sz="0" w:space="0" w:color="auto"/>
        <w:right w:val="none" w:sz="0" w:space="0" w:color="auto"/>
      </w:divBdr>
    </w:div>
    <w:div w:id="1900506937">
      <w:bodyDiv w:val="1"/>
      <w:marLeft w:val="0"/>
      <w:marRight w:val="0"/>
      <w:marTop w:val="0"/>
      <w:marBottom w:val="0"/>
      <w:divBdr>
        <w:top w:val="none" w:sz="0" w:space="0" w:color="auto"/>
        <w:left w:val="none" w:sz="0" w:space="0" w:color="auto"/>
        <w:bottom w:val="none" w:sz="0" w:space="0" w:color="auto"/>
        <w:right w:val="none" w:sz="0" w:space="0" w:color="auto"/>
      </w:divBdr>
    </w:div>
    <w:div w:id="1915583948">
      <w:bodyDiv w:val="1"/>
      <w:marLeft w:val="0"/>
      <w:marRight w:val="0"/>
      <w:marTop w:val="0"/>
      <w:marBottom w:val="0"/>
      <w:divBdr>
        <w:top w:val="none" w:sz="0" w:space="0" w:color="auto"/>
        <w:left w:val="none" w:sz="0" w:space="0" w:color="auto"/>
        <w:bottom w:val="none" w:sz="0" w:space="0" w:color="auto"/>
        <w:right w:val="none" w:sz="0" w:space="0" w:color="auto"/>
      </w:divBdr>
    </w:div>
    <w:div w:id="202054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diagramLayout" Target="diagrams/layout3.xml"/><Relationship Id="rId42" Type="http://schemas.openxmlformats.org/officeDocument/2006/relationships/hyperlink" Target="https://bidenwhitehouse.archives.gov/wp-content/uploads/2024/10/National_Innovation_Pathway_of_the_United_States_2024_final.pdf" TargetMode="External"/><Relationship Id="rId47" Type="http://schemas.openxmlformats.org/officeDocument/2006/relationships/hyperlink" Target="https://www.msit.go.kr/eng/index.do" TargetMode="External"/><Relationship Id="rId63" Type="http://schemas.openxmlformats.org/officeDocument/2006/relationships/image" Target="media/image11.png"/><Relationship Id="rId68" Type="http://schemas.openxmlformats.org/officeDocument/2006/relationships/image" Target="media/image16.png"/><Relationship Id="rId84" Type="http://schemas.openxmlformats.org/officeDocument/2006/relationships/image" Target="media/image32.png"/><Relationship Id="rId89" Type="http://schemas.openxmlformats.org/officeDocument/2006/relationships/image" Target="media/image37.png"/><Relationship Id="rId16" Type="http://schemas.openxmlformats.org/officeDocument/2006/relationships/diagramQuickStyle" Target="diagrams/quickStyle2.xml"/><Relationship Id="rId11" Type="http://schemas.openxmlformats.org/officeDocument/2006/relationships/diagramQuickStyle" Target="diagrams/quickStyle1.xml"/><Relationship Id="rId32" Type="http://schemas.openxmlformats.org/officeDocument/2006/relationships/diagramData" Target="diagrams/data5.xml"/><Relationship Id="rId37" Type="http://schemas.openxmlformats.org/officeDocument/2006/relationships/hyperlink" Target="https://www.mpdv.com/en/products" TargetMode="External"/><Relationship Id="rId53" Type="http://schemas.openxmlformats.org/officeDocument/2006/relationships/hyperlink" Target="https://ris3.gov.cz/en/about-ris3/national-dimension/national-research-and-innovation-strategy-for-smart-specialisation-of-the-czech-republic-2021-2027" TargetMode="External"/><Relationship Id="rId58" Type="http://schemas.openxmlformats.org/officeDocument/2006/relationships/image" Target="media/image6.jpeg"/><Relationship Id="rId74" Type="http://schemas.openxmlformats.org/officeDocument/2006/relationships/image" Target="media/image22.png"/><Relationship Id="rId79" Type="http://schemas.openxmlformats.org/officeDocument/2006/relationships/image" Target="media/image27.png"/><Relationship Id="rId5" Type="http://schemas.openxmlformats.org/officeDocument/2006/relationships/webSettings" Target="webSettings.xml"/><Relationship Id="rId90" Type="http://schemas.openxmlformats.org/officeDocument/2006/relationships/image" Target="media/image38.png"/><Relationship Id="rId95" Type="http://schemas.openxmlformats.org/officeDocument/2006/relationships/image" Target="media/image43.png"/><Relationship Id="rId22" Type="http://schemas.openxmlformats.org/officeDocument/2006/relationships/diagramQuickStyle" Target="diagrams/quickStyle3.xml"/><Relationship Id="rId27" Type="http://schemas.openxmlformats.org/officeDocument/2006/relationships/diagramData" Target="diagrams/data4.xml"/><Relationship Id="rId43" Type="http://schemas.openxmlformats.org/officeDocument/2006/relationships/hyperlink" Target="https://www8.cao.go.jp/cstp/english/society5_0/index.html" TargetMode="External"/><Relationship Id="rId48" Type="http://schemas.openxmlformats.org/officeDocument/2006/relationships/hyperlink" Target="https://cset.georgetown.edu/wp-content/uploads/t0432_made_in_china_2025_EN.pdf" TargetMode="External"/><Relationship Id="rId64" Type="http://schemas.openxmlformats.org/officeDocument/2006/relationships/image" Target="media/image12.png"/><Relationship Id="rId69" Type="http://schemas.openxmlformats.org/officeDocument/2006/relationships/image" Target="media/image17.png"/><Relationship Id="rId80" Type="http://schemas.openxmlformats.org/officeDocument/2006/relationships/image" Target="media/image28.png"/><Relationship Id="rId85" Type="http://schemas.openxmlformats.org/officeDocument/2006/relationships/image" Target="media/image33.png"/><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chart" Target="charts/chart1.xml"/><Relationship Id="rId33" Type="http://schemas.openxmlformats.org/officeDocument/2006/relationships/diagramLayout" Target="diagrams/layout5.xml"/><Relationship Id="rId38" Type="http://schemas.openxmlformats.org/officeDocument/2006/relationships/hyperlink" Target="https://www.smartnation.gov.sg/about/our-vision/smart-nation-vision/" TargetMode="External"/><Relationship Id="rId46" Type="http://schemas.openxmlformats.org/officeDocument/2006/relationships/hyperlink" Target="https://www.nipa.kr/eng/1-1" TargetMode="External"/><Relationship Id="rId59" Type="http://schemas.openxmlformats.org/officeDocument/2006/relationships/image" Target="media/image7.png"/><Relationship Id="rId67" Type="http://schemas.openxmlformats.org/officeDocument/2006/relationships/image" Target="media/image15.png"/><Relationship Id="rId20" Type="http://schemas.openxmlformats.org/officeDocument/2006/relationships/diagramData" Target="diagrams/data3.xml"/><Relationship Id="rId41" Type="http://schemas.openxmlformats.org/officeDocument/2006/relationships/hyperlink" Target="https://www.darpa.mil/work-with-us/communities/small-business/sbir-sttr-overview" TargetMode="External"/><Relationship Id="rId54" Type="http://schemas.openxmlformats.org/officeDocument/2006/relationships/hyperlink" Target="https://e-estonia.com/" TargetMode="External"/><Relationship Id="rId62" Type="http://schemas.openxmlformats.org/officeDocument/2006/relationships/image" Target="media/image10.png"/><Relationship Id="rId70" Type="http://schemas.openxmlformats.org/officeDocument/2006/relationships/image" Target="media/image18.png"/><Relationship Id="rId75" Type="http://schemas.openxmlformats.org/officeDocument/2006/relationships/image" Target="media/image23.png"/><Relationship Id="rId83" Type="http://schemas.openxmlformats.org/officeDocument/2006/relationships/image" Target="media/image31.png"/><Relationship Id="rId88" Type="http://schemas.openxmlformats.org/officeDocument/2006/relationships/image" Target="media/image36.png"/><Relationship Id="rId91" Type="http://schemas.openxmlformats.org/officeDocument/2006/relationships/image" Target="media/image39.png"/><Relationship Id="rId96"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2.xml"/><Relationship Id="rId23" Type="http://schemas.openxmlformats.org/officeDocument/2006/relationships/diagramColors" Target="diagrams/colors3.xml"/><Relationship Id="rId28" Type="http://schemas.openxmlformats.org/officeDocument/2006/relationships/diagramLayout" Target="diagrams/layout4.xml"/><Relationship Id="rId36" Type="http://schemas.microsoft.com/office/2007/relationships/diagramDrawing" Target="diagrams/drawing5.xml"/><Relationship Id="rId49" Type="http://schemas.openxmlformats.org/officeDocument/2006/relationships/hyperlink" Target="https://www.digitalindia.gov.in/" TargetMode="External"/><Relationship Id="rId57" Type="http://schemas.openxmlformats.org/officeDocument/2006/relationships/image" Target="media/image5.jpeg"/><Relationship Id="rId10" Type="http://schemas.openxmlformats.org/officeDocument/2006/relationships/diagramLayout" Target="diagrams/layout1.xml"/><Relationship Id="rId31" Type="http://schemas.microsoft.com/office/2007/relationships/diagramDrawing" Target="diagrams/drawing4.xml"/><Relationship Id="rId44" Type="http://schemas.openxmlformats.org/officeDocument/2006/relationships/hyperlink" Target="https://www.meti.go.jp/english/policy/mono_info_service/connected_industries/index.html" TargetMode="External"/><Relationship Id="rId52" Type="http://schemas.openxmlformats.org/officeDocument/2006/relationships/hyperlink" Target="https://www.gov.pl/web/ncbr-en" TargetMode="External"/><Relationship Id="rId60" Type="http://schemas.openxmlformats.org/officeDocument/2006/relationships/image" Target="media/image8.png"/><Relationship Id="rId65" Type="http://schemas.openxmlformats.org/officeDocument/2006/relationships/image" Target="media/image13.png"/><Relationship Id="rId73" Type="http://schemas.openxmlformats.org/officeDocument/2006/relationships/image" Target="media/image21.png"/><Relationship Id="rId78" Type="http://schemas.openxmlformats.org/officeDocument/2006/relationships/image" Target="media/image26.png"/><Relationship Id="rId81" Type="http://schemas.openxmlformats.org/officeDocument/2006/relationships/image" Target="media/image29.png"/><Relationship Id="rId86" Type="http://schemas.openxmlformats.org/officeDocument/2006/relationships/image" Target="media/image34.png"/><Relationship Id="rId94" Type="http://schemas.openxmlformats.org/officeDocument/2006/relationships/image" Target="media/image42.png"/><Relationship Id="rId99" Type="http://schemas.openxmlformats.org/officeDocument/2006/relationships/image" Target="media/image47.png"/><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3" Type="http://schemas.microsoft.com/office/2007/relationships/diagramDrawing" Target="diagrams/drawing1.xml"/><Relationship Id="rId18" Type="http://schemas.microsoft.com/office/2007/relationships/diagramDrawing" Target="diagrams/drawing2.xml"/><Relationship Id="rId39" Type="http://schemas.openxmlformats.org/officeDocument/2006/relationships/hyperlink" Target="https://www.businessfinland.fi/en" TargetMode="External"/><Relationship Id="rId34" Type="http://schemas.openxmlformats.org/officeDocument/2006/relationships/diagramQuickStyle" Target="diagrams/quickStyle5.xml"/><Relationship Id="rId50" Type="http://schemas.openxmlformats.org/officeDocument/2006/relationships/hyperlink" Target="https://www.mydigital.gov.my/" TargetMode="External"/><Relationship Id="rId55" Type="http://schemas.openxmlformats.org/officeDocument/2006/relationships/image" Target="media/image3.png"/><Relationship Id="rId76" Type="http://schemas.openxmlformats.org/officeDocument/2006/relationships/image" Target="media/image24.png"/><Relationship Id="rId97" Type="http://schemas.openxmlformats.org/officeDocument/2006/relationships/image" Target="media/image45.png"/><Relationship Id="rId7" Type="http://schemas.openxmlformats.org/officeDocument/2006/relationships/endnotes" Target="endnotes.xml"/><Relationship Id="rId71" Type="http://schemas.openxmlformats.org/officeDocument/2006/relationships/image" Target="media/image19.png"/><Relationship Id="rId92" Type="http://schemas.openxmlformats.org/officeDocument/2006/relationships/image" Target="media/image40.png"/><Relationship Id="rId2" Type="http://schemas.openxmlformats.org/officeDocument/2006/relationships/numbering" Target="numbering.xml"/><Relationship Id="rId29" Type="http://schemas.openxmlformats.org/officeDocument/2006/relationships/diagramQuickStyle" Target="diagrams/quickStyle4.xml"/><Relationship Id="rId24" Type="http://schemas.microsoft.com/office/2007/relationships/diagramDrawing" Target="diagrams/drawing3.xml"/><Relationship Id="rId40" Type="http://schemas.openxmlformats.org/officeDocument/2006/relationships/hyperlink" Target="https://scandicorp.com/innovation-and-rd-incentives-in-finland" TargetMode="External"/><Relationship Id="rId45" Type="http://schemas.openxmlformats.org/officeDocument/2006/relationships/hyperlink" Target="https://www8.cao.go.jp/cstp/english/index.html" TargetMode="External"/><Relationship Id="rId66" Type="http://schemas.openxmlformats.org/officeDocument/2006/relationships/image" Target="media/image14.png"/><Relationship Id="rId87" Type="http://schemas.openxmlformats.org/officeDocument/2006/relationships/image" Target="media/image35.png"/><Relationship Id="rId61" Type="http://schemas.openxmlformats.org/officeDocument/2006/relationships/image" Target="media/image9.png"/><Relationship Id="rId82" Type="http://schemas.openxmlformats.org/officeDocument/2006/relationships/image" Target="media/image30.png"/><Relationship Id="rId19" Type="http://schemas.openxmlformats.org/officeDocument/2006/relationships/footer" Target="footer1.xml"/><Relationship Id="rId14" Type="http://schemas.openxmlformats.org/officeDocument/2006/relationships/diagramData" Target="diagrams/data2.xml"/><Relationship Id="rId30" Type="http://schemas.openxmlformats.org/officeDocument/2006/relationships/diagramColors" Target="diagrams/colors4.xml"/><Relationship Id="rId35" Type="http://schemas.openxmlformats.org/officeDocument/2006/relationships/diagramColors" Target="diagrams/colors5.xml"/><Relationship Id="rId56" Type="http://schemas.openxmlformats.org/officeDocument/2006/relationships/image" Target="media/image4.png"/><Relationship Id="rId77" Type="http://schemas.openxmlformats.org/officeDocument/2006/relationships/image" Target="media/image25.png"/><Relationship Id="rId100"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ekonomi.gov.my/sites/default/files/2021-02/malaysia-digital-economy-blueprint.pdf" TargetMode="External"/><Relationship Id="rId72" Type="http://schemas.openxmlformats.org/officeDocument/2006/relationships/image" Target="media/image20.png"/><Relationship Id="rId93" Type="http://schemas.openxmlformats.org/officeDocument/2006/relationships/image" Target="media/image41.png"/><Relationship Id="rId98" Type="http://schemas.openxmlformats.org/officeDocument/2006/relationships/image" Target="media/image46.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cuments\&#1057;&#1072;&#1076;&#1077;&#1085;&#1086;&#1074;&#1072;%20&#1040;.&#1052;\&#1075;&#1088;&#1072;&#1085;&#1090;&#1086;&#1074;&#1086;&#1077;%20&#1092;&#1080;&#1085;&#1072;&#1085;&#1089;&#1080;&#1088;&#1086;&#1074;&#1072;&#1085;&#1080;&#1077;\&#1087;&#1088;&#1086;&#1077;&#1082;&#1090;%20&#1095;&#1077;&#1083;&#1086;&#1074;&#1077;&#1095;&#1077;&#1089;&#1082;&#1080;&#1077;%20&#1088;&#1077;&#1089;&#1091;&#1088;&#1089;&#1099;\&#1048;&#1058;&#1054;&#1043;&#1054;&#1042;&#1067;&#1049;%20&#1054;&#1058;&#1063;&#1045;&#1058;\5%20&#1075;&#1083;&#1072;&#1074;&#1072;\ANOVA_Chart_Data%20(&#1042;&#1086;&#1089;&#1089;&#1090;&#1072;&#1085;&#1086;&#1074;&#1083;&#1077;&#1085;&#1085;&#1099;&#108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027815064417475"/>
          <c:y val="9.7325650985132073E-2"/>
          <c:w val="0.53051169570411782"/>
          <c:h val="0.87294240976956872"/>
        </c:manualLayout>
      </c:layout>
      <c:radarChart>
        <c:radarStyle val="marker"/>
        <c:varyColors val="0"/>
        <c:ser>
          <c:idx val="0"/>
          <c:order val="0"/>
          <c:spPr>
            <a:ln w="34925" cap="rnd">
              <a:solidFill>
                <a:schemeClr val="accent1"/>
              </a:solidFill>
              <a:round/>
            </a:ln>
            <a:effectLst>
              <a:outerShdw blurRad="40000" dist="23000" dir="5400000" rotWithShape="0">
                <a:srgbClr val="000000">
                  <a:alpha val="35000"/>
                </a:srgbClr>
              </a:outerShdw>
            </a:effectLst>
          </c:spPr>
          <c:marker>
            <c:symbol val="circle"/>
            <c:size val="6"/>
            <c:spPr>
              <a:solidFill>
                <a:srgbClr val="00B050"/>
              </a:soli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Pt>
            <c:idx val="0"/>
            <c:marker>
              <c:symbol val="circle"/>
              <c:size val="6"/>
              <c:spPr>
                <a:solidFill>
                  <a:srgbClr val="00B050"/>
                </a:soli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bubble3D val="0"/>
            <c:spPr>
              <a:ln w="34925" cap="rnd">
                <a:solidFill>
                  <a:srgbClr val="00B050"/>
                </a:solidFill>
                <a:round/>
              </a:ln>
              <a:effectLst>
                <a:outerShdw blurRad="40000" dist="23000" dir="5400000" rotWithShape="0">
                  <a:srgbClr val="000000">
                    <a:alpha val="35000"/>
                  </a:srgbClr>
                </a:outerShdw>
              </a:effectLst>
            </c:spPr>
            <c:extLst>
              <c:ext xmlns:c16="http://schemas.microsoft.com/office/drawing/2014/chart" uri="{C3380CC4-5D6E-409C-BE32-E72D297353CC}">
                <c16:uniqueId val="{00000001-0297-499C-B4F7-9AADB93CE4AD}"/>
              </c:ext>
            </c:extLst>
          </c:dPt>
          <c:dPt>
            <c:idx val="1"/>
            <c:marker>
              <c:symbol val="circle"/>
              <c:size val="6"/>
              <c:spPr>
                <a:solidFill>
                  <a:srgbClr val="00B050"/>
                </a:soli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bubble3D val="0"/>
            <c:spPr>
              <a:ln w="34925" cap="rnd">
                <a:solidFill>
                  <a:srgbClr val="00B050"/>
                </a:solidFill>
                <a:round/>
              </a:ln>
              <a:effectLst>
                <a:outerShdw blurRad="40000" dist="23000" dir="5400000" rotWithShape="0">
                  <a:srgbClr val="000000">
                    <a:alpha val="35000"/>
                  </a:srgbClr>
                </a:outerShdw>
              </a:effectLst>
            </c:spPr>
            <c:extLst>
              <c:ext xmlns:c16="http://schemas.microsoft.com/office/drawing/2014/chart" uri="{C3380CC4-5D6E-409C-BE32-E72D297353CC}">
                <c16:uniqueId val="{00000003-0297-499C-B4F7-9AADB93CE4AD}"/>
              </c:ext>
            </c:extLst>
          </c:dPt>
          <c:dPt>
            <c:idx val="2"/>
            <c:marker>
              <c:symbol val="circle"/>
              <c:size val="6"/>
              <c:spPr>
                <a:solidFill>
                  <a:srgbClr val="FFFF00"/>
                </a:soli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bubble3D val="0"/>
            <c:spPr>
              <a:ln w="34925" cap="rnd">
                <a:solidFill>
                  <a:srgbClr val="00B050"/>
                </a:solidFill>
                <a:round/>
              </a:ln>
              <a:effectLst>
                <a:outerShdw blurRad="40000" dist="23000" dir="5400000" rotWithShape="0">
                  <a:srgbClr val="000000">
                    <a:alpha val="35000"/>
                  </a:srgbClr>
                </a:outerShdw>
              </a:effectLst>
            </c:spPr>
            <c:extLst>
              <c:ext xmlns:c16="http://schemas.microsoft.com/office/drawing/2014/chart" uri="{C3380CC4-5D6E-409C-BE32-E72D297353CC}">
                <c16:uniqueId val="{00000005-0297-499C-B4F7-9AADB93CE4AD}"/>
              </c:ext>
            </c:extLst>
          </c:dPt>
          <c:dPt>
            <c:idx val="3"/>
            <c:marker>
              <c:symbol val="circle"/>
              <c:size val="6"/>
              <c:spPr>
                <a:solidFill>
                  <a:srgbClr val="00B050"/>
                </a:soli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bubble3D val="0"/>
            <c:spPr>
              <a:ln w="34925" cap="rnd">
                <a:solidFill>
                  <a:srgbClr val="00B050"/>
                </a:solidFill>
                <a:round/>
              </a:ln>
              <a:effectLst>
                <a:outerShdw blurRad="40000" dist="23000" dir="5400000" rotWithShape="0">
                  <a:srgbClr val="000000">
                    <a:alpha val="35000"/>
                  </a:srgbClr>
                </a:outerShdw>
              </a:effectLst>
            </c:spPr>
            <c:extLst>
              <c:ext xmlns:c16="http://schemas.microsoft.com/office/drawing/2014/chart" uri="{C3380CC4-5D6E-409C-BE32-E72D297353CC}">
                <c16:uniqueId val="{00000007-0297-499C-B4F7-9AADB93CE4AD}"/>
              </c:ext>
            </c:extLst>
          </c:dPt>
          <c:dPt>
            <c:idx val="4"/>
            <c:marker>
              <c:symbol val="circle"/>
              <c:size val="6"/>
              <c:spPr>
                <a:solidFill>
                  <a:srgbClr val="00B050"/>
                </a:soli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bubble3D val="0"/>
            <c:spPr>
              <a:ln w="34925" cap="rnd">
                <a:solidFill>
                  <a:srgbClr val="00B050"/>
                </a:solidFill>
                <a:round/>
              </a:ln>
              <a:effectLst>
                <a:outerShdw blurRad="40000" dist="23000" dir="5400000" rotWithShape="0">
                  <a:srgbClr val="000000">
                    <a:alpha val="35000"/>
                  </a:srgbClr>
                </a:outerShdw>
              </a:effectLst>
            </c:spPr>
            <c:extLst>
              <c:ext xmlns:c16="http://schemas.microsoft.com/office/drawing/2014/chart" uri="{C3380CC4-5D6E-409C-BE32-E72D297353CC}">
                <c16:uniqueId val="{00000009-0297-499C-B4F7-9AADB93CE4AD}"/>
              </c:ext>
            </c:extLst>
          </c:dPt>
          <c:dPt>
            <c:idx val="5"/>
            <c:marker>
              <c:symbol val="circle"/>
              <c:size val="6"/>
              <c:spPr>
                <a:solidFill>
                  <a:srgbClr val="00B050"/>
                </a:soli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bubble3D val="0"/>
            <c:spPr>
              <a:ln w="34925" cap="rnd">
                <a:solidFill>
                  <a:srgbClr val="00B050"/>
                </a:solidFill>
                <a:round/>
              </a:ln>
              <a:effectLst>
                <a:outerShdw blurRad="40000" dist="23000" dir="5400000" rotWithShape="0">
                  <a:srgbClr val="000000">
                    <a:alpha val="35000"/>
                  </a:srgbClr>
                </a:outerShdw>
              </a:effectLst>
            </c:spPr>
            <c:extLst>
              <c:ext xmlns:c16="http://schemas.microsoft.com/office/drawing/2014/chart" uri="{C3380CC4-5D6E-409C-BE32-E72D297353CC}">
                <c16:uniqueId val="{0000000B-0297-499C-B4F7-9AADB93CE4AD}"/>
              </c:ext>
            </c:extLst>
          </c:dPt>
          <c:dPt>
            <c:idx val="6"/>
            <c:marker>
              <c:symbol val="circle"/>
              <c:size val="6"/>
              <c:spPr>
                <a:solidFill>
                  <a:srgbClr val="FF0000"/>
                </a:solidFill>
                <a:ln w="9525" cap="sq">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bubble3D val="0"/>
            <c:spPr>
              <a:ln w="34925" cap="sq">
                <a:solidFill>
                  <a:srgbClr val="00B050"/>
                </a:solidFill>
                <a:round/>
                <a:tailEnd w="lg" len="lg"/>
              </a:ln>
              <a:effectLst>
                <a:outerShdw blurRad="40000" dist="23000" dir="5400000" rotWithShape="0">
                  <a:srgbClr val="000000">
                    <a:alpha val="35000"/>
                  </a:srgbClr>
                </a:outerShdw>
              </a:effectLst>
            </c:spPr>
            <c:extLst>
              <c:ext xmlns:c16="http://schemas.microsoft.com/office/drawing/2014/chart" uri="{C3380CC4-5D6E-409C-BE32-E72D297353CC}">
                <c16:uniqueId val="{0000000D-0297-499C-B4F7-9AADB93CE4AD}"/>
              </c:ext>
            </c:extLst>
          </c:dPt>
          <c:dLbls>
            <c:dLbl>
              <c:idx val="0"/>
              <c:layout>
                <c:manualLayout>
                  <c:x val="-4.4444444444444495E-2"/>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297-499C-B4F7-9AADB93CE4AD}"/>
                </c:ext>
              </c:extLst>
            </c:dLbl>
            <c:dLbl>
              <c:idx val="1"/>
              <c:layout>
                <c:manualLayout>
                  <c:x val="8.3333333333333332E-3"/>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97-499C-B4F7-9AADB93CE4AD}"/>
                </c:ext>
              </c:extLst>
            </c:dLbl>
            <c:dLbl>
              <c:idx val="2"/>
              <c:layout>
                <c:manualLayout>
                  <c:x val="-8.3333333333334356E-3"/>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297-499C-B4F7-9AADB93CE4AD}"/>
                </c:ext>
              </c:extLst>
            </c:dLbl>
            <c:dLbl>
              <c:idx val="3"/>
              <c:layout>
                <c:manualLayout>
                  <c:x val="2.2222222222222223E-2"/>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297-499C-B4F7-9AADB93CE4AD}"/>
                </c:ext>
              </c:extLst>
            </c:dLbl>
            <c:dLbl>
              <c:idx val="4"/>
              <c:layout>
                <c:manualLayout>
                  <c:x val="-1.9444444444444445E-2"/>
                  <c:y val="-4.16666666666668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297-499C-B4F7-9AADB93CE4AD}"/>
                </c:ext>
              </c:extLst>
            </c:dLbl>
            <c:dLbl>
              <c:idx val="5"/>
              <c:layout>
                <c:manualLayout>
                  <c:x val="2.5000109361329834E-2"/>
                  <c:y val="-7.870370370370379E-2"/>
                </c:manualLayout>
              </c:layout>
              <c:showLegendKey val="0"/>
              <c:showVal val="1"/>
              <c:showCatName val="0"/>
              <c:showSerName val="0"/>
              <c:showPercent val="0"/>
              <c:showBubbleSize val="0"/>
              <c:extLst>
                <c:ext xmlns:c15="http://schemas.microsoft.com/office/drawing/2012/chart" uri="{CE6537A1-D6FC-4f65-9D91-7224C49458BB}">
                  <c15:layout>
                    <c:manualLayout>
                      <c:w val="6.0902668416447932E-2"/>
                      <c:h val="7.4004811898512685E-2"/>
                    </c:manualLayout>
                  </c15:layout>
                </c:ext>
                <c:ext xmlns:c16="http://schemas.microsoft.com/office/drawing/2014/chart" uri="{C3380CC4-5D6E-409C-BE32-E72D297353CC}">
                  <c16:uniqueId val="{0000000B-0297-499C-B4F7-9AADB93CE4AD}"/>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solidFill>
                      <a:round/>
                    </a:ln>
                    <a:effectLst/>
                  </c:spPr>
                </c15:leaderLines>
              </c:ext>
            </c:extLst>
          </c:dLbls>
          <c:cat>
            <c:strRef>
              <c:f>Лист1!$B$30:$H$30</c:f>
              <c:strCache>
                <c:ptCount val="7"/>
                <c:pt idx="0">
                  <c:v>MR</c:v>
                </c:pt>
                <c:pt idx="1">
                  <c:v>TR</c:v>
                </c:pt>
                <c:pt idx="2">
                  <c:v>FR</c:v>
                </c:pt>
                <c:pt idx="3">
                  <c:v>HR</c:v>
                </c:pt>
                <c:pt idx="4">
                  <c:v>IC</c:v>
                </c:pt>
                <c:pt idx="5">
                  <c:v>DS</c:v>
                </c:pt>
                <c:pt idx="6">
                  <c:v>Inst</c:v>
                </c:pt>
              </c:strCache>
            </c:strRef>
          </c:cat>
          <c:val>
            <c:numRef>
              <c:f>Лист1!$B$31:$H$31</c:f>
              <c:numCache>
                <c:formatCode>General</c:formatCode>
                <c:ptCount val="7"/>
                <c:pt idx="0">
                  <c:v>0.84</c:v>
                </c:pt>
                <c:pt idx="1">
                  <c:v>0.76</c:v>
                </c:pt>
                <c:pt idx="2">
                  <c:v>0.6</c:v>
                </c:pt>
                <c:pt idx="3">
                  <c:v>0.8</c:v>
                </c:pt>
                <c:pt idx="4">
                  <c:v>0.71</c:v>
                </c:pt>
                <c:pt idx="5">
                  <c:v>0.86</c:v>
                </c:pt>
                <c:pt idx="6">
                  <c:v>0.4</c:v>
                </c:pt>
              </c:numCache>
            </c:numRef>
          </c:val>
          <c:extLst>
            <c:ext xmlns:c16="http://schemas.microsoft.com/office/drawing/2014/chart" uri="{C3380CC4-5D6E-409C-BE32-E72D297353CC}">
              <c16:uniqueId val="{0000000E-0297-499C-B4F7-9AADB93CE4AD}"/>
            </c:ext>
          </c:extLst>
        </c:ser>
        <c:ser>
          <c:idx val="1"/>
          <c:order val="1"/>
          <c:spPr>
            <a:ln w="19050" cap="rnd" cmpd="sng">
              <a:solidFill>
                <a:schemeClr val="accent2"/>
              </a:solidFill>
              <a:prstDash val="solid"/>
              <a:round/>
            </a:ln>
            <a:effectLst>
              <a:outerShdw blurRad="40000" dist="23000" dir="5400000" rotWithShape="0">
                <a:srgbClr val="000000">
                  <a:alpha val="35000"/>
                </a:srgbClr>
              </a:outerShdw>
            </a:effectLst>
          </c:spPr>
          <c:marker>
            <c:symbol val="none"/>
          </c:marker>
          <c:dLbls>
            <c:delete val="1"/>
          </c:dLbls>
          <c:cat>
            <c:strRef>
              <c:f>Лист1!$B$30:$H$30</c:f>
              <c:strCache>
                <c:ptCount val="7"/>
                <c:pt idx="0">
                  <c:v>MR</c:v>
                </c:pt>
                <c:pt idx="1">
                  <c:v>TR</c:v>
                </c:pt>
                <c:pt idx="2">
                  <c:v>FR</c:v>
                </c:pt>
                <c:pt idx="3">
                  <c:v>HR</c:v>
                </c:pt>
                <c:pt idx="4">
                  <c:v>IC</c:v>
                </c:pt>
                <c:pt idx="5">
                  <c:v>DS</c:v>
                </c:pt>
                <c:pt idx="6">
                  <c:v>Inst</c:v>
                </c:pt>
              </c:strCache>
            </c:strRef>
          </c:cat>
          <c:val>
            <c:numRef>
              <c:f>Лист1!$B$32:$H$32</c:f>
              <c:numCache>
                <c:formatCode>General</c:formatCode>
                <c:ptCount val="7"/>
                <c:pt idx="0">
                  <c:v>0.5</c:v>
                </c:pt>
                <c:pt idx="1">
                  <c:v>0.5</c:v>
                </c:pt>
                <c:pt idx="2">
                  <c:v>0.5</c:v>
                </c:pt>
                <c:pt idx="3">
                  <c:v>0.5</c:v>
                </c:pt>
                <c:pt idx="4">
                  <c:v>0.5</c:v>
                </c:pt>
                <c:pt idx="5">
                  <c:v>0.5</c:v>
                </c:pt>
                <c:pt idx="6">
                  <c:v>0.5</c:v>
                </c:pt>
              </c:numCache>
            </c:numRef>
          </c:val>
          <c:extLst>
            <c:ext xmlns:c16="http://schemas.microsoft.com/office/drawing/2014/chart" uri="{C3380CC4-5D6E-409C-BE32-E72D297353CC}">
              <c16:uniqueId val="{0000000F-0297-499C-B4F7-9AADB93CE4AD}"/>
            </c:ext>
          </c:extLst>
        </c:ser>
        <c:dLbls>
          <c:showLegendKey val="0"/>
          <c:showVal val="1"/>
          <c:showCatName val="0"/>
          <c:showSerName val="0"/>
          <c:showPercent val="0"/>
          <c:showBubbleSize val="0"/>
        </c:dLbls>
        <c:axId val="2127236016"/>
        <c:axId val="2127228944"/>
      </c:radarChart>
      <c:catAx>
        <c:axId val="21272360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127228944"/>
        <c:crosses val="autoZero"/>
        <c:auto val="1"/>
        <c:lblAlgn val="ctr"/>
        <c:lblOffset val="100"/>
        <c:noMultiLvlLbl val="0"/>
      </c:catAx>
      <c:valAx>
        <c:axId val="2127228944"/>
        <c:scaling>
          <c:orientation val="minMax"/>
        </c:scaling>
        <c:delete val="1"/>
        <c:axPos val="l"/>
        <c:majorGridlines>
          <c:spPr>
            <a:ln w="9525" cap="flat" cmpd="sng" algn="ctr">
              <a:solidFill>
                <a:schemeClr val="tx1">
                  <a:lumMod val="15000"/>
                  <a:lumOff val="85000"/>
                </a:schemeClr>
              </a:solidFill>
              <a:prstDash val="solid"/>
              <a:round/>
            </a:ln>
            <a:effectLst/>
          </c:spPr>
        </c:majorGridlines>
        <c:minorGridlines>
          <c:spPr>
            <a:ln w="9525" cap="flat" cmpd="sng" algn="ctr">
              <a:solidFill>
                <a:schemeClr val="tx1">
                  <a:lumMod val="5000"/>
                  <a:lumOff val="95000"/>
                </a:schemeClr>
              </a:solidFill>
              <a:round/>
            </a:ln>
            <a:effectLst/>
          </c:spPr>
        </c:minorGridlines>
        <c:numFmt formatCode="#,##0.00" sourceLinked="0"/>
        <c:majorTickMark val="none"/>
        <c:minorTickMark val="none"/>
        <c:tickLblPos val="nextTo"/>
        <c:crossAx val="21272360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5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BA191D-29E8-4BE6-8835-8FE04371333C}" type="doc">
      <dgm:prSet loTypeId="urn:microsoft.com/office/officeart/2005/8/layout/matrix1" loCatId="matrix" qsTypeId="urn:microsoft.com/office/officeart/2005/8/quickstyle/simple1" qsCatId="simple" csTypeId="urn:microsoft.com/office/officeart/2005/8/colors/accent1_3" csCatId="accent1" phldr="1"/>
      <dgm:spPr/>
      <dgm:t>
        <a:bodyPr/>
        <a:lstStyle/>
        <a:p>
          <a:endParaRPr lang="ru-RU"/>
        </a:p>
      </dgm:t>
    </dgm:pt>
    <dgm:pt modelId="{3161A5FC-8E83-44F5-8FC7-350F3A228870}">
      <dgm:prSet phldrT="[Текст]"/>
      <dgm:spPr/>
      <dgm:t>
        <a:bodyPr/>
        <a:lstStyle/>
        <a:p>
          <a:r>
            <a:rPr lang="ru-RU">
              <a:solidFill>
                <a:sysClr val="windowText" lastClr="000000"/>
              </a:solidFill>
              <a:latin typeface="Times New Roman" panose="02020603050405020304" pitchFamily="18" charset="0"/>
              <a:cs typeface="Times New Roman" panose="02020603050405020304" pitchFamily="18" charset="0"/>
            </a:rPr>
            <a:t>Проектирование инновационного потенциала</a:t>
          </a:r>
        </a:p>
      </dgm:t>
    </dgm:pt>
    <dgm:pt modelId="{E923B7FF-7765-451B-B827-E3B62E6E2DA8}" type="parTrans" cxnId="{96846344-35E9-4AA3-969E-773043906069}">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E44590F8-6F6C-4B41-A193-4E55205D68A2}" type="sibTrans" cxnId="{96846344-35E9-4AA3-969E-773043906069}">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D341C8D3-AA16-4C03-8709-F218DB0A288B}">
      <dgm:prSet phldrT="[Текст]"/>
      <dgm:spPr/>
      <dgm:t>
        <a:bodyPr/>
        <a:lstStyle/>
        <a:p>
          <a:endParaRPr lang="ru-RU" b="1">
            <a:solidFill>
              <a:sysClr val="windowText" lastClr="000000"/>
            </a:solidFill>
            <a:latin typeface="Times New Roman" panose="02020603050405020304" pitchFamily="18" charset="0"/>
            <a:cs typeface="Times New Roman" panose="02020603050405020304" pitchFamily="18" charset="0"/>
          </a:endParaRPr>
        </a:p>
        <a:p>
          <a:r>
            <a:rPr lang="ru-RU" b="1">
              <a:solidFill>
                <a:sysClr val="windowText" lastClr="000000"/>
              </a:solidFill>
              <a:latin typeface="Times New Roman" panose="02020603050405020304" pitchFamily="18" charset="0"/>
              <a:cs typeface="Times New Roman" panose="02020603050405020304" pitchFamily="18" charset="0"/>
            </a:rPr>
            <a:t>Ресурсный подход</a:t>
          </a:r>
          <a:r>
            <a:rPr lang="ru-RU">
              <a:solidFill>
                <a:sysClr val="windowText" lastClr="000000"/>
              </a:solidFill>
              <a:latin typeface="Times New Roman" panose="02020603050405020304" pitchFamily="18" charset="0"/>
              <a:cs typeface="Times New Roman" panose="02020603050405020304" pitchFamily="18" charset="0"/>
            </a:rPr>
            <a:t>:</a:t>
          </a:r>
        </a:p>
        <a:p>
          <a:r>
            <a:rPr lang="ru-RU">
              <a:solidFill>
                <a:sysClr val="windowText" lastClr="000000"/>
              </a:solidFill>
              <a:latin typeface="Times New Roman" panose="02020603050405020304" pitchFamily="18" charset="0"/>
              <a:cs typeface="Times New Roman" panose="02020603050405020304" pitchFamily="18" charset="0"/>
            </a:rPr>
            <a:t>– кадровые, финансовые, технологические ресурсы;
– цифровые инструменты управления ресурсами.</a:t>
          </a:r>
        </a:p>
      </dgm:t>
    </dgm:pt>
    <dgm:pt modelId="{32997AFA-914B-4783-9CFA-076AD2DD3D7B}" type="parTrans" cxnId="{BA2BC1F4-4A18-48EB-A319-22EA2CB026D7}">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85EBD120-2141-4141-89C9-FE3C8838B7AC}" type="sibTrans" cxnId="{BA2BC1F4-4A18-48EB-A319-22EA2CB026D7}">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5F7EA9D3-29B6-4A48-A813-09A791163632}">
      <dgm:prSet phldrT="[Текст]"/>
      <dgm:spPr/>
      <dgm:t>
        <a:bodyPr/>
        <a:lstStyle/>
        <a:p>
          <a:endParaRPr lang="ru-RU" b="1">
            <a:solidFill>
              <a:sysClr val="windowText" lastClr="000000"/>
            </a:solidFill>
            <a:latin typeface="Times New Roman" panose="02020603050405020304" pitchFamily="18" charset="0"/>
            <a:cs typeface="Times New Roman" panose="02020603050405020304" pitchFamily="18" charset="0"/>
          </a:endParaRPr>
        </a:p>
        <a:p>
          <a:r>
            <a:rPr lang="ru-RU" b="1">
              <a:solidFill>
                <a:sysClr val="windowText" lastClr="000000"/>
              </a:solidFill>
              <a:latin typeface="Times New Roman" panose="02020603050405020304" pitchFamily="18" charset="0"/>
              <a:cs typeface="Times New Roman" panose="02020603050405020304" pitchFamily="18" charset="0"/>
            </a:rPr>
            <a:t>Процессный подход</a:t>
          </a:r>
          <a:r>
            <a:rPr lang="ru-RU">
              <a:solidFill>
                <a:sysClr val="windowText" lastClr="000000"/>
              </a:solidFill>
              <a:latin typeface="Times New Roman" panose="02020603050405020304" pitchFamily="18" charset="0"/>
              <a:cs typeface="Times New Roman" panose="02020603050405020304" pitchFamily="18" charset="0"/>
            </a:rPr>
            <a:t>:</a:t>
          </a:r>
        </a:p>
        <a:p>
          <a:r>
            <a:rPr lang="ru-RU">
              <a:solidFill>
                <a:sysClr val="windowText" lastClr="000000"/>
              </a:solidFill>
              <a:latin typeface="Times New Roman" panose="02020603050405020304" pitchFamily="18" charset="0"/>
              <a:cs typeface="Times New Roman" panose="02020603050405020304" pitchFamily="18" charset="0"/>
            </a:rPr>
            <a:t>– организация, планирование, реализация, контроль;
– непрерывное воспроизводство потенциала.</a:t>
          </a:r>
        </a:p>
      </dgm:t>
    </dgm:pt>
    <dgm:pt modelId="{E824BA73-9BA6-41FE-9082-C2B43D94B6D7}" type="parTrans" cxnId="{D14D022D-8223-4774-83CB-8FB07BF5FC00}">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BF65FD97-B28E-45B7-B5F1-15D17CE5982A}" type="sibTrans" cxnId="{D14D022D-8223-4774-83CB-8FB07BF5FC00}">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436C3959-229C-48C0-9046-FA7882753EA2}">
      <dgm:prSet phldrT="[Текст]"/>
      <dgm:spPr/>
      <dgm:t>
        <a:bodyPr/>
        <a:lstStyle/>
        <a:p>
          <a:r>
            <a:rPr lang="ru-RU" b="1">
              <a:solidFill>
                <a:sysClr val="windowText" lastClr="000000"/>
              </a:solidFill>
              <a:latin typeface="Times New Roman" panose="02020603050405020304" pitchFamily="18" charset="0"/>
              <a:cs typeface="Times New Roman" panose="02020603050405020304" pitchFamily="18" charset="0"/>
            </a:rPr>
            <a:t>Институциональный подход</a:t>
          </a:r>
          <a:r>
            <a:rPr lang="ru-RU">
              <a:solidFill>
                <a:sysClr val="windowText" lastClr="000000"/>
              </a:solidFill>
              <a:latin typeface="Times New Roman" panose="02020603050405020304" pitchFamily="18" charset="0"/>
              <a:cs typeface="Times New Roman" panose="02020603050405020304" pitchFamily="18" charset="0"/>
            </a:rPr>
            <a:t>:</a:t>
          </a:r>
        </a:p>
        <a:p>
          <a:r>
            <a:rPr lang="ru-RU">
              <a:solidFill>
                <a:sysClr val="windowText" lastClr="000000"/>
              </a:solidFill>
              <a:latin typeface="Times New Roman" panose="02020603050405020304" pitchFamily="18" charset="0"/>
              <a:cs typeface="Times New Roman" panose="02020603050405020304" pitchFamily="18" charset="0"/>
            </a:rPr>
            <a:t>– нормативная среда;
– государственная поддержка;
– цифровые экосистемы.</a:t>
          </a:r>
        </a:p>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02489F95-25BA-413B-8F38-678CCB3C5523}" type="parTrans" cxnId="{620D9E91-279A-4B3C-859F-4F71D8327F20}">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1B0C3C5A-5666-432D-A7A9-5DD57FB015CE}" type="sibTrans" cxnId="{620D9E91-279A-4B3C-859F-4F71D8327F20}">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0466FBA8-06BC-4C9D-BD74-B8F35A4AC239}">
      <dgm:prSet phldrT="[Текст]"/>
      <dgm:spPr/>
      <dgm:t>
        <a:bodyPr/>
        <a:lstStyle/>
        <a:p>
          <a:r>
            <a:rPr lang="ru-RU" b="1">
              <a:solidFill>
                <a:sysClr val="windowText" lastClr="000000"/>
              </a:solidFill>
              <a:latin typeface="Times New Roman" panose="02020603050405020304" pitchFamily="18" charset="0"/>
              <a:cs typeface="Times New Roman" panose="02020603050405020304" pitchFamily="18" charset="0"/>
            </a:rPr>
            <a:t>Системно-управленческий подход</a:t>
          </a:r>
          <a:r>
            <a:rPr lang="ru-RU">
              <a:solidFill>
                <a:sysClr val="windowText" lastClr="000000"/>
              </a:solidFill>
              <a:latin typeface="Times New Roman" panose="02020603050405020304" pitchFamily="18" charset="0"/>
              <a:cs typeface="Times New Roman" panose="02020603050405020304" pitchFamily="18" charset="0"/>
            </a:rPr>
            <a:t>:</a:t>
          </a:r>
        </a:p>
        <a:p>
          <a:r>
            <a:rPr lang="ru-RU">
              <a:solidFill>
                <a:sysClr val="windowText" lastClr="000000"/>
              </a:solidFill>
              <a:latin typeface="Times New Roman" panose="02020603050405020304" pitchFamily="18" charset="0"/>
              <a:cs typeface="Times New Roman" panose="02020603050405020304" pitchFamily="18" charset="0"/>
            </a:rPr>
            <a:t>– интеграция ресурсов и процессов;
– взаимодействие с внешней средой;
– адаптация и саморазвитие.</a:t>
          </a:r>
        </a:p>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7073061D-438E-42E7-B160-50A8BE92F5EA}" type="parTrans" cxnId="{99A62BC4-199C-4576-827F-7563F6285199}">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A26C06DD-B6AA-4DFB-A52B-27251C8894D6}" type="sibTrans" cxnId="{99A62BC4-199C-4576-827F-7563F6285199}">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109E115A-9550-4A3A-A4E9-ACD3B9C0324B}" type="pres">
      <dgm:prSet presAssocID="{33BA191D-29E8-4BE6-8835-8FE04371333C}" presName="diagram" presStyleCnt="0">
        <dgm:presLayoutVars>
          <dgm:chMax val="1"/>
          <dgm:dir/>
          <dgm:animLvl val="ctr"/>
          <dgm:resizeHandles val="exact"/>
        </dgm:presLayoutVars>
      </dgm:prSet>
      <dgm:spPr/>
      <dgm:t>
        <a:bodyPr/>
        <a:lstStyle/>
        <a:p>
          <a:endParaRPr lang="ru-RU"/>
        </a:p>
      </dgm:t>
    </dgm:pt>
    <dgm:pt modelId="{4660985F-50E5-4ACF-8B1A-EFEBF36F369F}" type="pres">
      <dgm:prSet presAssocID="{33BA191D-29E8-4BE6-8835-8FE04371333C}" presName="matrix" presStyleCnt="0"/>
      <dgm:spPr/>
    </dgm:pt>
    <dgm:pt modelId="{74C365B5-A2AE-4133-B178-FD7B358EF47B}" type="pres">
      <dgm:prSet presAssocID="{33BA191D-29E8-4BE6-8835-8FE04371333C}" presName="tile1" presStyleLbl="node1" presStyleIdx="0" presStyleCnt="4"/>
      <dgm:spPr/>
      <dgm:t>
        <a:bodyPr/>
        <a:lstStyle/>
        <a:p>
          <a:endParaRPr lang="ru-RU"/>
        </a:p>
      </dgm:t>
    </dgm:pt>
    <dgm:pt modelId="{C4E415AF-9332-47B3-A41F-746492BB699E}" type="pres">
      <dgm:prSet presAssocID="{33BA191D-29E8-4BE6-8835-8FE04371333C}" presName="tile1text" presStyleLbl="node1" presStyleIdx="0" presStyleCnt="4">
        <dgm:presLayoutVars>
          <dgm:chMax val="0"/>
          <dgm:chPref val="0"/>
          <dgm:bulletEnabled val="1"/>
        </dgm:presLayoutVars>
      </dgm:prSet>
      <dgm:spPr/>
      <dgm:t>
        <a:bodyPr/>
        <a:lstStyle/>
        <a:p>
          <a:endParaRPr lang="ru-RU"/>
        </a:p>
      </dgm:t>
    </dgm:pt>
    <dgm:pt modelId="{572A8015-2B54-472C-98CB-C4D6A2BD21BA}" type="pres">
      <dgm:prSet presAssocID="{33BA191D-29E8-4BE6-8835-8FE04371333C}" presName="tile2" presStyleLbl="node1" presStyleIdx="1" presStyleCnt="4"/>
      <dgm:spPr/>
      <dgm:t>
        <a:bodyPr/>
        <a:lstStyle/>
        <a:p>
          <a:endParaRPr lang="ru-RU"/>
        </a:p>
      </dgm:t>
    </dgm:pt>
    <dgm:pt modelId="{0AA4A274-5DA8-4302-BDBB-26DB191BCEF3}" type="pres">
      <dgm:prSet presAssocID="{33BA191D-29E8-4BE6-8835-8FE04371333C}" presName="tile2text" presStyleLbl="node1" presStyleIdx="1" presStyleCnt="4">
        <dgm:presLayoutVars>
          <dgm:chMax val="0"/>
          <dgm:chPref val="0"/>
          <dgm:bulletEnabled val="1"/>
        </dgm:presLayoutVars>
      </dgm:prSet>
      <dgm:spPr/>
      <dgm:t>
        <a:bodyPr/>
        <a:lstStyle/>
        <a:p>
          <a:endParaRPr lang="ru-RU"/>
        </a:p>
      </dgm:t>
    </dgm:pt>
    <dgm:pt modelId="{75CDE5CD-85C3-40EE-8045-A195EBB26F65}" type="pres">
      <dgm:prSet presAssocID="{33BA191D-29E8-4BE6-8835-8FE04371333C}" presName="tile3" presStyleLbl="node1" presStyleIdx="2" presStyleCnt="4"/>
      <dgm:spPr/>
      <dgm:t>
        <a:bodyPr/>
        <a:lstStyle/>
        <a:p>
          <a:endParaRPr lang="ru-RU"/>
        </a:p>
      </dgm:t>
    </dgm:pt>
    <dgm:pt modelId="{E11D3C9B-6B54-49C5-9F4B-EE338D798B7B}" type="pres">
      <dgm:prSet presAssocID="{33BA191D-29E8-4BE6-8835-8FE04371333C}" presName="tile3text" presStyleLbl="node1" presStyleIdx="2" presStyleCnt="4">
        <dgm:presLayoutVars>
          <dgm:chMax val="0"/>
          <dgm:chPref val="0"/>
          <dgm:bulletEnabled val="1"/>
        </dgm:presLayoutVars>
      </dgm:prSet>
      <dgm:spPr/>
      <dgm:t>
        <a:bodyPr/>
        <a:lstStyle/>
        <a:p>
          <a:endParaRPr lang="ru-RU"/>
        </a:p>
      </dgm:t>
    </dgm:pt>
    <dgm:pt modelId="{4417B25A-5058-4CC7-8AB1-BE292A17548F}" type="pres">
      <dgm:prSet presAssocID="{33BA191D-29E8-4BE6-8835-8FE04371333C}" presName="tile4" presStyleLbl="node1" presStyleIdx="3" presStyleCnt="4"/>
      <dgm:spPr/>
      <dgm:t>
        <a:bodyPr/>
        <a:lstStyle/>
        <a:p>
          <a:endParaRPr lang="ru-RU"/>
        </a:p>
      </dgm:t>
    </dgm:pt>
    <dgm:pt modelId="{AC7BD710-E4D9-4B90-94A2-4A71C54DC6DB}" type="pres">
      <dgm:prSet presAssocID="{33BA191D-29E8-4BE6-8835-8FE04371333C}" presName="tile4text" presStyleLbl="node1" presStyleIdx="3" presStyleCnt="4">
        <dgm:presLayoutVars>
          <dgm:chMax val="0"/>
          <dgm:chPref val="0"/>
          <dgm:bulletEnabled val="1"/>
        </dgm:presLayoutVars>
      </dgm:prSet>
      <dgm:spPr/>
      <dgm:t>
        <a:bodyPr/>
        <a:lstStyle/>
        <a:p>
          <a:endParaRPr lang="ru-RU"/>
        </a:p>
      </dgm:t>
    </dgm:pt>
    <dgm:pt modelId="{B52BFB00-720A-47B1-9A64-E7F84B8DB786}" type="pres">
      <dgm:prSet presAssocID="{33BA191D-29E8-4BE6-8835-8FE04371333C}" presName="centerTile" presStyleLbl="fgShp" presStyleIdx="0" presStyleCnt="1">
        <dgm:presLayoutVars>
          <dgm:chMax val="0"/>
          <dgm:chPref val="0"/>
        </dgm:presLayoutVars>
      </dgm:prSet>
      <dgm:spPr/>
      <dgm:t>
        <a:bodyPr/>
        <a:lstStyle/>
        <a:p>
          <a:endParaRPr lang="ru-RU"/>
        </a:p>
      </dgm:t>
    </dgm:pt>
  </dgm:ptLst>
  <dgm:cxnLst>
    <dgm:cxn modelId="{620D9E91-279A-4B3C-859F-4F71D8327F20}" srcId="{3161A5FC-8E83-44F5-8FC7-350F3A228870}" destId="{436C3959-229C-48C0-9046-FA7882753EA2}" srcOrd="2" destOrd="0" parTransId="{02489F95-25BA-413B-8F38-678CCB3C5523}" sibTransId="{1B0C3C5A-5666-432D-A7A9-5DD57FB015CE}"/>
    <dgm:cxn modelId="{054F44CC-F255-46DD-B78E-202835C1A99B}" type="presOf" srcId="{D341C8D3-AA16-4C03-8709-F218DB0A288B}" destId="{C4E415AF-9332-47B3-A41F-746492BB699E}" srcOrd="1" destOrd="0" presId="urn:microsoft.com/office/officeart/2005/8/layout/matrix1"/>
    <dgm:cxn modelId="{BA2BC1F4-4A18-48EB-A319-22EA2CB026D7}" srcId="{3161A5FC-8E83-44F5-8FC7-350F3A228870}" destId="{D341C8D3-AA16-4C03-8709-F218DB0A288B}" srcOrd="0" destOrd="0" parTransId="{32997AFA-914B-4783-9CFA-076AD2DD3D7B}" sibTransId="{85EBD120-2141-4141-89C9-FE3C8838B7AC}"/>
    <dgm:cxn modelId="{7C5B8D62-354F-4B12-B17F-963C8A9A9BBE}" type="presOf" srcId="{5F7EA9D3-29B6-4A48-A813-09A791163632}" destId="{572A8015-2B54-472C-98CB-C4D6A2BD21BA}" srcOrd="0" destOrd="0" presId="urn:microsoft.com/office/officeart/2005/8/layout/matrix1"/>
    <dgm:cxn modelId="{478EBEAC-6BE9-4765-839F-CE87E1779773}" type="presOf" srcId="{0466FBA8-06BC-4C9D-BD74-B8F35A4AC239}" destId="{AC7BD710-E4D9-4B90-94A2-4A71C54DC6DB}" srcOrd="1" destOrd="0" presId="urn:microsoft.com/office/officeart/2005/8/layout/matrix1"/>
    <dgm:cxn modelId="{D14D022D-8223-4774-83CB-8FB07BF5FC00}" srcId="{3161A5FC-8E83-44F5-8FC7-350F3A228870}" destId="{5F7EA9D3-29B6-4A48-A813-09A791163632}" srcOrd="1" destOrd="0" parTransId="{E824BA73-9BA6-41FE-9082-C2B43D94B6D7}" sibTransId="{BF65FD97-B28E-45B7-B5F1-15D17CE5982A}"/>
    <dgm:cxn modelId="{6F602573-FE01-47AC-BDA6-5578991CFD95}" type="presOf" srcId="{5F7EA9D3-29B6-4A48-A813-09A791163632}" destId="{0AA4A274-5DA8-4302-BDBB-26DB191BCEF3}" srcOrd="1" destOrd="0" presId="urn:microsoft.com/office/officeart/2005/8/layout/matrix1"/>
    <dgm:cxn modelId="{F7EAA6E1-A820-4809-9B7B-511B41C3A4C6}" type="presOf" srcId="{33BA191D-29E8-4BE6-8835-8FE04371333C}" destId="{109E115A-9550-4A3A-A4E9-ACD3B9C0324B}" srcOrd="0" destOrd="0" presId="urn:microsoft.com/office/officeart/2005/8/layout/matrix1"/>
    <dgm:cxn modelId="{96846344-35E9-4AA3-969E-773043906069}" srcId="{33BA191D-29E8-4BE6-8835-8FE04371333C}" destId="{3161A5FC-8E83-44F5-8FC7-350F3A228870}" srcOrd="0" destOrd="0" parTransId="{E923B7FF-7765-451B-B827-E3B62E6E2DA8}" sibTransId="{E44590F8-6F6C-4B41-A193-4E55205D68A2}"/>
    <dgm:cxn modelId="{09B1365D-49C1-4263-A39E-E707BE2B4F1B}" type="presOf" srcId="{3161A5FC-8E83-44F5-8FC7-350F3A228870}" destId="{B52BFB00-720A-47B1-9A64-E7F84B8DB786}" srcOrd="0" destOrd="0" presId="urn:microsoft.com/office/officeart/2005/8/layout/matrix1"/>
    <dgm:cxn modelId="{098FFCC3-B1E7-4037-BB49-F082B5EEC34E}" type="presOf" srcId="{0466FBA8-06BC-4C9D-BD74-B8F35A4AC239}" destId="{4417B25A-5058-4CC7-8AB1-BE292A17548F}" srcOrd="0" destOrd="0" presId="urn:microsoft.com/office/officeart/2005/8/layout/matrix1"/>
    <dgm:cxn modelId="{CBC98D5A-49EA-47C1-92D9-DA0875DBD30B}" type="presOf" srcId="{D341C8D3-AA16-4C03-8709-F218DB0A288B}" destId="{74C365B5-A2AE-4133-B178-FD7B358EF47B}" srcOrd="0" destOrd="0" presId="urn:microsoft.com/office/officeart/2005/8/layout/matrix1"/>
    <dgm:cxn modelId="{99A62BC4-199C-4576-827F-7563F6285199}" srcId="{3161A5FC-8E83-44F5-8FC7-350F3A228870}" destId="{0466FBA8-06BC-4C9D-BD74-B8F35A4AC239}" srcOrd="3" destOrd="0" parTransId="{7073061D-438E-42E7-B160-50A8BE92F5EA}" sibTransId="{A26C06DD-B6AA-4DFB-A52B-27251C8894D6}"/>
    <dgm:cxn modelId="{6738FC8C-DDDE-444F-A738-434FE6599EDC}" type="presOf" srcId="{436C3959-229C-48C0-9046-FA7882753EA2}" destId="{75CDE5CD-85C3-40EE-8045-A195EBB26F65}" srcOrd="0" destOrd="0" presId="urn:microsoft.com/office/officeart/2005/8/layout/matrix1"/>
    <dgm:cxn modelId="{149E1C7E-7A23-43C4-A218-D7B3ABF1CEB7}" type="presOf" srcId="{436C3959-229C-48C0-9046-FA7882753EA2}" destId="{E11D3C9B-6B54-49C5-9F4B-EE338D798B7B}" srcOrd="1" destOrd="0" presId="urn:microsoft.com/office/officeart/2005/8/layout/matrix1"/>
    <dgm:cxn modelId="{40377E1B-19C3-46DA-A3F6-AA61DC33CB5B}" type="presParOf" srcId="{109E115A-9550-4A3A-A4E9-ACD3B9C0324B}" destId="{4660985F-50E5-4ACF-8B1A-EFEBF36F369F}" srcOrd="0" destOrd="0" presId="urn:microsoft.com/office/officeart/2005/8/layout/matrix1"/>
    <dgm:cxn modelId="{69A79B25-E0E1-4B3A-9DB9-F68A95675ECB}" type="presParOf" srcId="{4660985F-50E5-4ACF-8B1A-EFEBF36F369F}" destId="{74C365B5-A2AE-4133-B178-FD7B358EF47B}" srcOrd="0" destOrd="0" presId="urn:microsoft.com/office/officeart/2005/8/layout/matrix1"/>
    <dgm:cxn modelId="{0BC0E05D-9434-441E-B810-BADAE1017693}" type="presParOf" srcId="{4660985F-50E5-4ACF-8B1A-EFEBF36F369F}" destId="{C4E415AF-9332-47B3-A41F-746492BB699E}" srcOrd="1" destOrd="0" presId="urn:microsoft.com/office/officeart/2005/8/layout/matrix1"/>
    <dgm:cxn modelId="{A99FD614-9950-4AFD-AB9D-AAB8203428A0}" type="presParOf" srcId="{4660985F-50E5-4ACF-8B1A-EFEBF36F369F}" destId="{572A8015-2B54-472C-98CB-C4D6A2BD21BA}" srcOrd="2" destOrd="0" presId="urn:microsoft.com/office/officeart/2005/8/layout/matrix1"/>
    <dgm:cxn modelId="{36B80FA9-06F2-4CC7-B628-7CE890FD7660}" type="presParOf" srcId="{4660985F-50E5-4ACF-8B1A-EFEBF36F369F}" destId="{0AA4A274-5DA8-4302-BDBB-26DB191BCEF3}" srcOrd="3" destOrd="0" presId="urn:microsoft.com/office/officeart/2005/8/layout/matrix1"/>
    <dgm:cxn modelId="{0C28DEB1-18DB-402A-8033-E4A90448C085}" type="presParOf" srcId="{4660985F-50E5-4ACF-8B1A-EFEBF36F369F}" destId="{75CDE5CD-85C3-40EE-8045-A195EBB26F65}" srcOrd="4" destOrd="0" presId="urn:microsoft.com/office/officeart/2005/8/layout/matrix1"/>
    <dgm:cxn modelId="{D42F8555-E2AC-4FA4-9057-7F5CDB02BA80}" type="presParOf" srcId="{4660985F-50E5-4ACF-8B1A-EFEBF36F369F}" destId="{E11D3C9B-6B54-49C5-9F4B-EE338D798B7B}" srcOrd="5" destOrd="0" presId="urn:microsoft.com/office/officeart/2005/8/layout/matrix1"/>
    <dgm:cxn modelId="{3292BD8C-88F5-4A76-A6FA-1051BAA3AFE6}" type="presParOf" srcId="{4660985F-50E5-4ACF-8B1A-EFEBF36F369F}" destId="{4417B25A-5058-4CC7-8AB1-BE292A17548F}" srcOrd="6" destOrd="0" presId="urn:microsoft.com/office/officeart/2005/8/layout/matrix1"/>
    <dgm:cxn modelId="{20ECD708-9B14-42AB-B670-34245216B616}" type="presParOf" srcId="{4660985F-50E5-4ACF-8B1A-EFEBF36F369F}" destId="{AC7BD710-E4D9-4B90-94A2-4A71C54DC6DB}" srcOrd="7" destOrd="0" presId="urn:microsoft.com/office/officeart/2005/8/layout/matrix1"/>
    <dgm:cxn modelId="{F01BD7DA-C733-4372-8A3B-7545484699F6}" type="presParOf" srcId="{109E115A-9550-4A3A-A4E9-ACD3B9C0324B}" destId="{B52BFB00-720A-47B1-9A64-E7F84B8DB786}" srcOrd="1" destOrd="0" presId="urn:microsoft.com/office/officeart/2005/8/layout/matrix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182016A-023B-4AF0-A472-B17E2184B9FF}" type="doc">
      <dgm:prSet loTypeId="urn:microsoft.com/office/officeart/2005/8/layout/vList6" loCatId="process" qsTypeId="urn:microsoft.com/office/officeart/2005/8/quickstyle/simple2" qsCatId="simple" csTypeId="urn:microsoft.com/office/officeart/2005/8/colors/accent1_1" csCatId="accent1" phldr="1"/>
      <dgm:spPr/>
      <dgm:t>
        <a:bodyPr/>
        <a:lstStyle/>
        <a:p>
          <a:endParaRPr lang="ru-RU"/>
        </a:p>
      </dgm:t>
    </dgm:pt>
    <dgm:pt modelId="{9CF9110C-63ED-4635-AD12-67F4BBB61D6C}">
      <dgm:prSet phldrT="[Текст]" custT="1"/>
      <dgm:spPr/>
      <dgm:t>
        <a:bodyPr/>
        <a:lstStyle/>
        <a:p>
          <a:pPr algn="ctr"/>
          <a:r>
            <a:rPr lang="ru-RU" sz="1200" b="0">
              <a:latin typeface="Times New Roman" panose="02020603050405020304" pitchFamily="18" charset="0"/>
              <a:cs typeface="Times New Roman" panose="02020603050405020304" pitchFamily="18" charset="0"/>
            </a:rPr>
            <a:t>Индикативный</a:t>
          </a:r>
        </a:p>
      </dgm:t>
    </dgm:pt>
    <dgm:pt modelId="{D0025354-0BA0-426E-BA12-34B05625C4EB}" type="parTrans" cxnId="{D6AA2417-ECD0-4DB4-B307-48406A6D36E9}">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6D32B839-CB34-4071-AE6A-A811F0761A66}" type="sibTrans" cxnId="{D6AA2417-ECD0-4DB4-B307-48406A6D36E9}">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2D0D2A3B-6203-4472-84FF-582D4C02D74B}">
      <dgm:prSet phldrT="[Текст]" custT="1"/>
      <dgm:spPr/>
      <dgm:t>
        <a:bodyPr/>
        <a:lstStyle/>
        <a:p>
          <a:pPr algn="l"/>
          <a:r>
            <a:rPr lang="ru-RU" sz="1200">
              <a:latin typeface="Times New Roman" panose="02020603050405020304" pitchFamily="18" charset="0"/>
              <a:cs typeface="Times New Roman" panose="02020603050405020304" pitchFamily="18" charset="0"/>
            </a:rPr>
            <a:t>статическое измерение ресурсов</a:t>
          </a:r>
        </a:p>
      </dgm:t>
    </dgm:pt>
    <dgm:pt modelId="{E677A941-D921-440C-BB73-F52AB4EF86BD}" type="parTrans" cxnId="{DF2E6EBE-F75E-4470-95BD-CDF17D2FEAB2}">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335CF396-61FE-4665-9AD8-CE1FC5C475B7}" type="sibTrans" cxnId="{DF2E6EBE-F75E-4470-95BD-CDF17D2FEAB2}">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1DE5130F-04A9-4917-9529-0BB2C8290444}">
      <dgm:prSet phldrT="[Текст]" custT="1"/>
      <dgm:spPr/>
      <dgm:t>
        <a:bodyPr/>
        <a:lstStyle/>
        <a:p>
          <a:pPr algn="ctr"/>
          <a:r>
            <a:rPr lang="ru-RU" sz="1200">
              <a:latin typeface="Times New Roman" panose="02020603050405020304" pitchFamily="18" charset="0"/>
              <a:cs typeface="Times New Roman" panose="02020603050405020304" pitchFamily="18" charset="0"/>
            </a:rPr>
            <a:t>Индексный и интегральный</a:t>
          </a:r>
        </a:p>
      </dgm:t>
    </dgm:pt>
    <dgm:pt modelId="{E960F6ED-E617-4CC3-89DB-82100DEDAB5C}" type="parTrans" cxnId="{CA10809E-264D-40A7-9488-4838BE9E5998}">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59C9761C-5901-4577-B9A1-4FB413556609}" type="sibTrans" cxnId="{CA10809E-264D-40A7-9488-4838BE9E5998}">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75A34D70-360E-49A8-8C11-5B34550FB0AC}">
      <dgm:prSet phldrT="[Текст]" custT="1"/>
      <dgm:spPr/>
      <dgm:t>
        <a:bodyPr/>
        <a:lstStyle/>
        <a:p>
          <a:pPr algn="l"/>
          <a:r>
            <a:rPr lang="ru-RU" sz="1200">
              <a:latin typeface="Times New Roman" panose="02020603050405020304" pitchFamily="18" charset="0"/>
              <a:cs typeface="Times New Roman" panose="02020603050405020304" pitchFamily="18" charset="0"/>
            </a:rPr>
            <a:t>агрегирование показателей и формирование сводных индексов</a:t>
          </a:r>
        </a:p>
      </dgm:t>
    </dgm:pt>
    <dgm:pt modelId="{6B6C0053-A546-4F54-91AC-D7998725AD82}" type="parTrans" cxnId="{B0BAD829-53B4-4D10-B1F9-B35925B02A40}">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7740E79D-4A18-47CF-9A92-FD64080B8DEC}" type="sibTrans" cxnId="{B0BAD829-53B4-4D10-B1F9-B35925B02A40}">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3562ACE0-3D4A-427A-A8FA-1B2C372478AA}">
      <dgm:prSet phldrT="[Текст]" custT="1"/>
      <dgm:spPr/>
      <dgm:t>
        <a:bodyPr/>
        <a:lstStyle/>
        <a:p>
          <a:pPr algn="ctr"/>
          <a:r>
            <a:rPr lang="ru-RU" sz="1200">
              <a:latin typeface="Times New Roman" panose="02020603050405020304" pitchFamily="18" charset="0"/>
              <a:cs typeface="Times New Roman" panose="02020603050405020304" pitchFamily="18" charset="0"/>
            </a:rPr>
            <a:t>Ключевые показатели результативности</a:t>
          </a:r>
        </a:p>
      </dgm:t>
    </dgm:pt>
    <dgm:pt modelId="{13819C6F-2175-43FC-96A9-31A16D41B237}" type="parTrans" cxnId="{B24F1F9B-F2DC-46D9-B526-35655E7BF688}">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A0E7DAC9-32B9-46D2-B3F3-D0DB6E0C0EDF}" type="sibTrans" cxnId="{B24F1F9B-F2DC-46D9-B526-35655E7BF688}">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43C94540-5CD1-4922-A86D-778390C6497E}">
      <dgm:prSet phldrT="[Текст]" custT="1"/>
      <dgm:spPr/>
      <dgm:t>
        <a:bodyPr/>
        <a:lstStyle/>
        <a:p>
          <a:pPr algn="l"/>
          <a:r>
            <a:rPr lang="ru-RU" sz="1200">
              <a:latin typeface="Times New Roman" panose="02020603050405020304" pitchFamily="18" charset="0"/>
              <a:cs typeface="Times New Roman" panose="02020603050405020304" pitchFamily="18" charset="0"/>
            </a:rPr>
            <a:t>ориентация на связь между инновациями и стратегическими целями</a:t>
          </a:r>
        </a:p>
      </dgm:t>
    </dgm:pt>
    <dgm:pt modelId="{5CBF8B75-87B2-450D-8AEF-71389177F7E1}" type="parTrans" cxnId="{DB91B36B-096D-414F-8E52-4FE68F05B866}">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66DBF542-BB79-45E8-8E6E-F89C825D67AB}" type="sibTrans" cxnId="{DB91B36B-096D-414F-8E52-4FE68F05B866}">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CDAF9684-2E03-4E68-9996-A783D4186FB9}">
      <dgm:prSet phldrT="[Текст]" custT="1"/>
      <dgm:spPr/>
      <dgm:t>
        <a:bodyPr/>
        <a:lstStyle/>
        <a:p>
          <a:pPr algn="ctr"/>
          <a:r>
            <a:rPr lang="ru-RU" sz="1200">
              <a:latin typeface="Times New Roman" panose="02020603050405020304" pitchFamily="18" charset="0"/>
              <a:cs typeface="Times New Roman" panose="02020603050405020304" pitchFamily="18" charset="0"/>
            </a:rPr>
            <a:t>Цифровые и интеллектуальные</a:t>
          </a:r>
        </a:p>
      </dgm:t>
    </dgm:pt>
    <dgm:pt modelId="{66E8D0D7-25AD-4FE6-A773-B3A631E78260}" type="parTrans" cxnId="{CFBC75ED-8B29-4C47-822D-DA21A2D218CE}">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04E31280-7CAB-45B2-A1EB-A1A3811A74A5}" type="sibTrans" cxnId="{CFBC75ED-8B29-4C47-822D-DA21A2D218CE}">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0358C874-D9B5-47B7-8290-4B8D56CD45DE}">
      <dgm:prSet phldrT="[Текст]" custT="1"/>
      <dgm:spPr/>
      <dgm:t>
        <a:bodyPr/>
        <a:lstStyle/>
        <a:p>
          <a:pPr algn="l"/>
          <a:r>
            <a:rPr lang="ru-RU" sz="1200">
              <a:latin typeface="Times New Roman" panose="02020603050405020304" pitchFamily="18" charset="0"/>
              <a:cs typeface="Times New Roman" panose="02020603050405020304" pitchFamily="18" charset="0"/>
            </a:rPr>
            <a:t>использование цифровых данных и аналитических систем</a:t>
          </a:r>
        </a:p>
      </dgm:t>
    </dgm:pt>
    <dgm:pt modelId="{2A9D0232-37ED-470D-A1B8-834158D2EA4A}" type="parTrans" cxnId="{4C1EFF64-FB38-46C0-9AC8-41CDCC744E4D}">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DB025D86-2498-4B50-8B82-EE0D71615809}" type="sibTrans" cxnId="{4C1EFF64-FB38-46C0-9AC8-41CDCC744E4D}">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30027832-DF7F-48B3-9218-99E5EF6E86AA}">
      <dgm:prSet phldrT="[Текст]" custT="1"/>
      <dgm:spPr/>
      <dgm:t>
        <a:bodyPr/>
        <a:lstStyle/>
        <a:p>
          <a:pPr algn="ctr"/>
          <a:r>
            <a:rPr lang="ru-RU" sz="1200">
              <a:latin typeface="Times New Roman" panose="02020603050405020304" pitchFamily="18" charset="0"/>
              <a:cs typeface="Times New Roman" panose="02020603050405020304" pitchFamily="18" charset="0"/>
            </a:rPr>
            <a:t>Ресурсно-процессный</a:t>
          </a:r>
        </a:p>
      </dgm:t>
    </dgm:pt>
    <dgm:pt modelId="{ABBE4F1F-D178-4815-B088-C904496318FA}" type="parTrans" cxnId="{ECFCD123-3168-4158-9640-A4E3D52B0632}">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1743A023-AE55-4419-B3C7-D3AA9F7CBAFC}" type="sibTrans" cxnId="{ECFCD123-3168-4158-9640-A4E3D52B0632}">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A77E32EC-93E5-4C38-BD15-517FB7771854}">
      <dgm:prSet phldrT="[Текст]" custT="1"/>
      <dgm:spPr/>
      <dgm:t>
        <a:bodyPr/>
        <a:lstStyle/>
        <a:p>
          <a:pPr algn="l"/>
          <a:r>
            <a:rPr lang="ru-RU" sz="1200">
              <a:latin typeface="Times New Roman" panose="02020603050405020304" pitchFamily="18" charset="0"/>
              <a:cs typeface="Times New Roman" panose="02020603050405020304" pitchFamily="18" charset="0"/>
            </a:rPr>
            <a:t>динамическое взаимодействие ресурсов, процессов и цифровой среды</a:t>
          </a:r>
        </a:p>
      </dgm:t>
    </dgm:pt>
    <dgm:pt modelId="{A493D091-BFA9-49A3-A47D-E0B14B6CD2DA}" type="parTrans" cxnId="{FEDF4471-0D8F-41A2-AB2D-6AF812380104}">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18445871-FA13-4774-A66B-9636DD3E868B}" type="sibTrans" cxnId="{FEDF4471-0D8F-41A2-AB2D-6AF812380104}">
      <dgm:prSet/>
      <dgm:spPr/>
      <dgm:t>
        <a:bodyPr/>
        <a:lstStyle/>
        <a:p>
          <a:pPr algn="l"/>
          <a:endParaRPr lang="ru-RU" sz="1200">
            <a:latin typeface="Times New Roman" panose="02020603050405020304" pitchFamily="18" charset="0"/>
            <a:cs typeface="Times New Roman" panose="02020603050405020304" pitchFamily="18" charset="0"/>
          </a:endParaRPr>
        </a:p>
      </dgm:t>
    </dgm:pt>
    <dgm:pt modelId="{B2D4579F-A35D-4A64-8899-DA1A703A684D}">
      <dgm:prSet phldrT="[Текст]" custT="1"/>
      <dgm:spPr/>
      <dgm:t>
        <a:bodyPr/>
        <a:lstStyle/>
        <a:p>
          <a:pPr algn="l"/>
          <a:endParaRPr lang="ru-RU" sz="1200">
            <a:latin typeface="Times New Roman" panose="02020603050405020304" pitchFamily="18" charset="0"/>
            <a:cs typeface="Times New Roman" panose="02020603050405020304" pitchFamily="18" charset="0"/>
          </a:endParaRPr>
        </a:p>
      </dgm:t>
    </dgm:pt>
    <dgm:pt modelId="{5AF908DB-886F-4F00-9AB0-092618A26199}" type="parTrans" cxnId="{8D53F73F-26A6-485B-926B-3E262DAE06D9}">
      <dgm:prSet/>
      <dgm:spPr/>
    </dgm:pt>
    <dgm:pt modelId="{D715D257-F4B8-46CF-BB52-AF1148DEDEEB}" type="sibTrans" cxnId="{8D53F73F-26A6-485B-926B-3E262DAE06D9}">
      <dgm:prSet/>
      <dgm:spPr/>
    </dgm:pt>
    <dgm:pt modelId="{2CAC9F6D-2E5F-4947-AF23-9B28F2CB2300}">
      <dgm:prSet phldrT="[Текст]" custT="1"/>
      <dgm:spPr/>
      <dgm:t>
        <a:bodyPr/>
        <a:lstStyle/>
        <a:p>
          <a:pPr algn="l"/>
          <a:endParaRPr lang="ru-RU" sz="1200">
            <a:latin typeface="Times New Roman" panose="02020603050405020304" pitchFamily="18" charset="0"/>
            <a:cs typeface="Times New Roman" panose="02020603050405020304" pitchFamily="18" charset="0"/>
          </a:endParaRPr>
        </a:p>
      </dgm:t>
    </dgm:pt>
    <dgm:pt modelId="{5087FBD5-9C2B-4A98-B70C-15E0145BBC9F}" type="parTrans" cxnId="{246269DC-1445-4FCD-8401-A483365C1263}">
      <dgm:prSet/>
      <dgm:spPr/>
    </dgm:pt>
    <dgm:pt modelId="{D3B3ED71-99FA-4021-B94F-7BF6D6A648A2}" type="sibTrans" cxnId="{246269DC-1445-4FCD-8401-A483365C1263}">
      <dgm:prSet/>
      <dgm:spPr/>
    </dgm:pt>
    <dgm:pt modelId="{9B9A65D7-88E8-4E24-A063-5AE50AC43182}" type="pres">
      <dgm:prSet presAssocID="{8182016A-023B-4AF0-A472-B17E2184B9FF}" presName="Name0" presStyleCnt="0">
        <dgm:presLayoutVars>
          <dgm:dir/>
          <dgm:animLvl val="lvl"/>
          <dgm:resizeHandles/>
        </dgm:presLayoutVars>
      </dgm:prSet>
      <dgm:spPr/>
      <dgm:t>
        <a:bodyPr/>
        <a:lstStyle/>
        <a:p>
          <a:endParaRPr lang="ru-RU"/>
        </a:p>
      </dgm:t>
    </dgm:pt>
    <dgm:pt modelId="{14D5F438-6A66-4D90-BF08-D522C30C0549}" type="pres">
      <dgm:prSet presAssocID="{9CF9110C-63ED-4635-AD12-67F4BBB61D6C}" presName="linNode" presStyleCnt="0"/>
      <dgm:spPr/>
    </dgm:pt>
    <dgm:pt modelId="{C0A952D8-07BB-48C5-A904-611D4C892BD1}" type="pres">
      <dgm:prSet presAssocID="{9CF9110C-63ED-4635-AD12-67F4BBB61D6C}" presName="parentShp" presStyleLbl="node1" presStyleIdx="0" presStyleCnt="5">
        <dgm:presLayoutVars>
          <dgm:bulletEnabled val="1"/>
        </dgm:presLayoutVars>
      </dgm:prSet>
      <dgm:spPr/>
      <dgm:t>
        <a:bodyPr/>
        <a:lstStyle/>
        <a:p>
          <a:endParaRPr lang="ru-RU"/>
        </a:p>
      </dgm:t>
    </dgm:pt>
    <dgm:pt modelId="{0B48CBAA-D0A7-4C06-BBC3-ADB81048ABB6}" type="pres">
      <dgm:prSet presAssocID="{9CF9110C-63ED-4635-AD12-67F4BBB61D6C}" presName="childShp" presStyleLbl="bgAccFollowNode1" presStyleIdx="0" presStyleCnt="5">
        <dgm:presLayoutVars>
          <dgm:bulletEnabled val="1"/>
        </dgm:presLayoutVars>
      </dgm:prSet>
      <dgm:spPr/>
      <dgm:t>
        <a:bodyPr/>
        <a:lstStyle/>
        <a:p>
          <a:endParaRPr lang="ru-RU"/>
        </a:p>
      </dgm:t>
    </dgm:pt>
    <dgm:pt modelId="{AD15EA7F-F0F2-4872-8EF7-DE9E4A6C6F12}" type="pres">
      <dgm:prSet presAssocID="{6D32B839-CB34-4071-AE6A-A811F0761A66}" presName="spacing" presStyleCnt="0"/>
      <dgm:spPr/>
    </dgm:pt>
    <dgm:pt modelId="{EFC52CCA-BD86-4B91-9880-0F9D52F7BB23}" type="pres">
      <dgm:prSet presAssocID="{1DE5130F-04A9-4917-9529-0BB2C8290444}" presName="linNode" presStyleCnt="0"/>
      <dgm:spPr/>
    </dgm:pt>
    <dgm:pt modelId="{C0489304-A9AC-4D31-9308-69302E0B9330}" type="pres">
      <dgm:prSet presAssocID="{1DE5130F-04A9-4917-9529-0BB2C8290444}" presName="parentShp" presStyleLbl="node1" presStyleIdx="1" presStyleCnt="5">
        <dgm:presLayoutVars>
          <dgm:bulletEnabled val="1"/>
        </dgm:presLayoutVars>
      </dgm:prSet>
      <dgm:spPr/>
      <dgm:t>
        <a:bodyPr/>
        <a:lstStyle/>
        <a:p>
          <a:endParaRPr lang="ru-RU"/>
        </a:p>
      </dgm:t>
    </dgm:pt>
    <dgm:pt modelId="{045CC8FE-FB29-4DF7-B262-2253292C48C7}" type="pres">
      <dgm:prSet presAssocID="{1DE5130F-04A9-4917-9529-0BB2C8290444}" presName="childShp" presStyleLbl="bgAccFollowNode1" presStyleIdx="1" presStyleCnt="5">
        <dgm:presLayoutVars>
          <dgm:bulletEnabled val="1"/>
        </dgm:presLayoutVars>
      </dgm:prSet>
      <dgm:spPr/>
      <dgm:t>
        <a:bodyPr/>
        <a:lstStyle/>
        <a:p>
          <a:endParaRPr lang="ru-RU"/>
        </a:p>
      </dgm:t>
    </dgm:pt>
    <dgm:pt modelId="{E2CE4F30-6347-47CC-92A3-6761D8A76D83}" type="pres">
      <dgm:prSet presAssocID="{59C9761C-5901-4577-B9A1-4FB413556609}" presName="spacing" presStyleCnt="0"/>
      <dgm:spPr/>
    </dgm:pt>
    <dgm:pt modelId="{869C0C13-CEF1-4919-BD39-4DE74457A26C}" type="pres">
      <dgm:prSet presAssocID="{3562ACE0-3D4A-427A-A8FA-1B2C372478AA}" presName="linNode" presStyleCnt="0"/>
      <dgm:spPr/>
    </dgm:pt>
    <dgm:pt modelId="{914C4FF6-089D-40F0-B92C-6CADD6BFD7F6}" type="pres">
      <dgm:prSet presAssocID="{3562ACE0-3D4A-427A-A8FA-1B2C372478AA}" presName="parentShp" presStyleLbl="node1" presStyleIdx="2" presStyleCnt="5">
        <dgm:presLayoutVars>
          <dgm:bulletEnabled val="1"/>
        </dgm:presLayoutVars>
      </dgm:prSet>
      <dgm:spPr/>
      <dgm:t>
        <a:bodyPr/>
        <a:lstStyle/>
        <a:p>
          <a:endParaRPr lang="ru-RU"/>
        </a:p>
      </dgm:t>
    </dgm:pt>
    <dgm:pt modelId="{1EE439B7-401A-4DE6-9D0F-5811E8E18794}" type="pres">
      <dgm:prSet presAssocID="{3562ACE0-3D4A-427A-A8FA-1B2C372478AA}" presName="childShp" presStyleLbl="bgAccFollowNode1" presStyleIdx="2" presStyleCnt="5">
        <dgm:presLayoutVars>
          <dgm:bulletEnabled val="1"/>
        </dgm:presLayoutVars>
      </dgm:prSet>
      <dgm:spPr/>
      <dgm:t>
        <a:bodyPr/>
        <a:lstStyle/>
        <a:p>
          <a:endParaRPr lang="ru-RU"/>
        </a:p>
      </dgm:t>
    </dgm:pt>
    <dgm:pt modelId="{68CC4A6B-1842-4E17-B50F-D55EF518166D}" type="pres">
      <dgm:prSet presAssocID="{A0E7DAC9-32B9-46D2-B3F3-D0DB6E0C0EDF}" presName="spacing" presStyleCnt="0"/>
      <dgm:spPr/>
    </dgm:pt>
    <dgm:pt modelId="{5534AD3B-E928-42AE-96A9-3746CBDEE97C}" type="pres">
      <dgm:prSet presAssocID="{CDAF9684-2E03-4E68-9996-A783D4186FB9}" presName="linNode" presStyleCnt="0"/>
      <dgm:spPr/>
    </dgm:pt>
    <dgm:pt modelId="{84D784B6-8038-4675-8995-67B9E8F01012}" type="pres">
      <dgm:prSet presAssocID="{CDAF9684-2E03-4E68-9996-A783D4186FB9}" presName="parentShp" presStyleLbl="node1" presStyleIdx="3" presStyleCnt="5">
        <dgm:presLayoutVars>
          <dgm:bulletEnabled val="1"/>
        </dgm:presLayoutVars>
      </dgm:prSet>
      <dgm:spPr/>
      <dgm:t>
        <a:bodyPr/>
        <a:lstStyle/>
        <a:p>
          <a:endParaRPr lang="ru-RU"/>
        </a:p>
      </dgm:t>
    </dgm:pt>
    <dgm:pt modelId="{72AD06E3-489E-45D4-8A4E-72A590A0B513}" type="pres">
      <dgm:prSet presAssocID="{CDAF9684-2E03-4E68-9996-A783D4186FB9}" presName="childShp" presStyleLbl="bgAccFollowNode1" presStyleIdx="3" presStyleCnt="5">
        <dgm:presLayoutVars>
          <dgm:bulletEnabled val="1"/>
        </dgm:presLayoutVars>
      </dgm:prSet>
      <dgm:spPr/>
      <dgm:t>
        <a:bodyPr/>
        <a:lstStyle/>
        <a:p>
          <a:endParaRPr lang="ru-RU"/>
        </a:p>
      </dgm:t>
    </dgm:pt>
    <dgm:pt modelId="{9BD285E0-2BAD-492E-9163-B4E2CF7AB9AF}" type="pres">
      <dgm:prSet presAssocID="{04E31280-7CAB-45B2-A1EB-A1A3811A74A5}" presName="spacing" presStyleCnt="0"/>
      <dgm:spPr/>
    </dgm:pt>
    <dgm:pt modelId="{6C922ED8-17A6-4F1A-9542-14724AA9BE72}" type="pres">
      <dgm:prSet presAssocID="{30027832-DF7F-48B3-9218-99E5EF6E86AA}" presName="linNode" presStyleCnt="0"/>
      <dgm:spPr/>
    </dgm:pt>
    <dgm:pt modelId="{6BEFAF6C-A029-4548-A292-CED759ED1A1C}" type="pres">
      <dgm:prSet presAssocID="{30027832-DF7F-48B3-9218-99E5EF6E86AA}" presName="parentShp" presStyleLbl="node1" presStyleIdx="4" presStyleCnt="5">
        <dgm:presLayoutVars>
          <dgm:bulletEnabled val="1"/>
        </dgm:presLayoutVars>
      </dgm:prSet>
      <dgm:spPr/>
      <dgm:t>
        <a:bodyPr/>
        <a:lstStyle/>
        <a:p>
          <a:endParaRPr lang="ru-RU"/>
        </a:p>
      </dgm:t>
    </dgm:pt>
    <dgm:pt modelId="{F46E5D78-1736-4F55-964A-A8A6BB2EF57E}" type="pres">
      <dgm:prSet presAssocID="{30027832-DF7F-48B3-9218-99E5EF6E86AA}" presName="childShp" presStyleLbl="bgAccFollowNode1" presStyleIdx="4" presStyleCnt="5">
        <dgm:presLayoutVars>
          <dgm:bulletEnabled val="1"/>
        </dgm:presLayoutVars>
      </dgm:prSet>
      <dgm:spPr/>
      <dgm:t>
        <a:bodyPr/>
        <a:lstStyle/>
        <a:p>
          <a:endParaRPr lang="ru-RU"/>
        </a:p>
      </dgm:t>
    </dgm:pt>
  </dgm:ptLst>
  <dgm:cxnLst>
    <dgm:cxn modelId="{1A1F5EFB-2C01-4068-9D9C-B6A4C6DEFB87}" type="presOf" srcId="{3562ACE0-3D4A-427A-A8FA-1B2C372478AA}" destId="{914C4FF6-089D-40F0-B92C-6CADD6BFD7F6}" srcOrd="0" destOrd="0" presId="urn:microsoft.com/office/officeart/2005/8/layout/vList6"/>
    <dgm:cxn modelId="{B0BAD829-53B4-4D10-B1F9-B35925B02A40}" srcId="{1DE5130F-04A9-4917-9529-0BB2C8290444}" destId="{75A34D70-360E-49A8-8C11-5B34550FB0AC}" srcOrd="0" destOrd="0" parTransId="{6B6C0053-A546-4F54-91AC-D7998725AD82}" sibTransId="{7740E79D-4A18-47CF-9A92-FD64080B8DEC}"/>
    <dgm:cxn modelId="{DB79B8FE-1A43-4C1C-82CF-D736BDA454DF}" type="presOf" srcId="{CDAF9684-2E03-4E68-9996-A783D4186FB9}" destId="{84D784B6-8038-4675-8995-67B9E8F01012}" srcOrd="0" destOrd="0" presId="urn:microsoft.com/office/officeart/2005/8/layout/vList6"/>
    <dgm:cxn modelId="{1A2F18A2-DC07-434D-9F88-AC7E9AB101EA}" type="presOf" srcId="{30027832-DF7F-48B3-9218-99E5EF6E86AA}" destId="{6BEFAF6C-A029-4548-A292-CED759ED1A1C}" srcOrd="0" destOrd="0" presId="urn:microsoft.com/office/officeart/2005/8/layout/vList6"/>
    <dgm:cxn modelId="{CD74D7F6-D92A-4550-98CD-01181FD6555D}" type="presOf" srcId="{B2D4579F-A35D-4A64-8899-DA1A703A684D}" destId="{0B48CBAA-D0A7-4C06-BBC3-ADB81048ABB6}" srcOrd="0" destOrd="1" presId="urn:microsoft.com/office/officeart/2005/8/layout/vList6"/>
    <dgm:cxn modelId="{D6AA2417-ECD0-4DB4-B307-48406A6D36E9}" srcId="{8182016A-023B-4AF0-A472-B17E2184B9FF}" destId="{9CF9110C-63ED-4635-AD12-67F4BBB61D6C}" srcOrd="0" destOrd="0" parTransId="{D0025354-0BA0-426E-BA12-34B05625C4EB}" sibTransId="{6D32B839-CB34-4071-AE6A-A811F0761A66}"/>
    <dgm:cxn modelId="{8D53F73F-26A6-485B-926B-3E262DAE06D9}" srcId="{9CF9110C-63ED-4635-AD12-67F4BBB61D6C}" destId="{B2D4579F-A35D-4A64-8899-DA1A703A684D}" srcOrd="1" destOrd="0" parTransId="{5AF908DB-886F-4F00-9AB0-092618A26199}" sibTransId="{D715D257-F4B8-46CF-BB52-AF1148DEDEEB}"/>
    <dgm:cxn modelId="{4C1EFF64-FB38-46C0-9AC8-41CDCC744E4D}" srcId="{CDAF9684-2E03-4E68-9996-A783D4186FB9}" destId="{0358C874-D9B5-47B7-8290-4B8D56CD45DE}" srcOrd="0" destOrd="0" parTransId="{2A9D0232-37ED-470D-A1B8-834158D2EA4A}" sibTransId="{DB025D86-2498-4B50-8B82-EE0D71615809}"/>
    <dgm:cxn modelId="{CFBC75ED-8B29-4C47-822D-DA21A2D218CE}" srcId="{8182016A-023B-4AF0-A472-B17E2184B9FF}" destId="{CDAF9684-2E03-4E68-9996-A783D4186FB9}" srcOrd="3" destOrd="0" parTransId="{66E8D0D7-25AD-4FE6-A773-B3A631E78260}" sibTransId="{04E31280-7CAB-45B2-A1EB-A1A3811A74A5}"/>
    <dgm:cxn modelId="{246269DC-1445-4FCD-8401-A483365C1263}" srcId="{9CF9110C-63ED-4635-AD12-67F4BBB61D6C}" destId="{2CAC9F6D-2E5F-4947-AF23-9B28F2CB2300}" srcOrd="2" destOrd="0" parTransId="{5087FBD5-9C2B-4A98-B70C-15E0145BBC9F}" sibTransId="{D3B3ED71-99FA-4021-B94F-7BF6D6A648A2}"/>
    <dgm:cxn modelId="{BD91EF03-587D-4C53-8DDE-DEB2A29329DA}" type="presOf" srcId="{0358C874-D9B5-47B7-8290-4B8D56CD45DE}" destId="{72AD06E3-489E-45D4-8A4E-72A590A0B513}" srcOrd="0" destOrd="0" presId="urn:microsoft.com/office/officeart/2005/8/layout/vList6"/>
    <dgm:cxn modelId="{B578ABCD-58DD-498F-BE2F-567E2612323D}" type="presOf" srcId="{1DE5130F-04A9-4917-9529-0BB2C8290444}" destId="{C0489304-A9AC-4D31-9308-69302E0B9330}" srcOrd="0" destOrd="0" presId="urn:microsoft.com/office/officeart/2005/8/layout/vList6"/>
    <dgm:cxn modelId="{DF2E6EBE-F75E-4470-95BD-CDF17D2FEAB2}" srcId="{9CF9110C-63ED-4635-AD12-67F4BBB61D6C}" destId="{2D0D2A3B-6203-4472-84FF-582D4C02D74B}" srcOrd="0" destOrd="0" parTransId="{E677A941-D921-440C-BB73-F52AB4EF86BD}" sibTransId="{335CF396-61FE-4665-9AD8-CE1FC5C475B7}"/>
    <dgm:cxn modelId="{CA10809E-264D-40A7-9488-4838BE9E5998}" srcId="{8182016A-023B-4AF0-A472-B17E2184B9FF}" destId="{1DE5130F-04A9-4917-9529-0BB2C8290444}" srcOrd="1" destOrd="0" parTransId="{E960F6ED-E617-4CC3-89DB-82100DEDAB5C}" sibTransId="{59C9761C-5901-4577-B9A1-4FB413556609}"/>
    <dgm:cxn modelId="{ECFCD123-3168-4158-9640-A4E3D52B0632}" srcId="{8182016A-023B-4AF0-A472-B17E2184B9FF}" destId="{30027832-DF7F-48B3-9218-99E5EF6E86AA}" srcOrd="4" destOrd="0" parTransId="{ABBE4F1F-D178-4815-B088-C904496318FA}" sibTransId="{1743A023-AE55-4419-B3C7-D3AA9F7CBAFC}"/>
    <dgm:cxn modelId="{BF8B4774-29B5-4DB5-A904-64A4801A59F1}" type="presOf" srcId="{2CAC9F6D-2E5F-4947-AF23-9B28F2CB2300}" destId="{0B48CBAA-D0A7-4C06-BBC3-ADB81048ABB6}" srcOrd="0" destOrd="2" presId="urn:microsoft.com/office/officeart/2005/8/layout/vList6"/>
    <dgm:cxn modelId="{F3DFCAA5-7AF3-4EBB-B937-2EF5D24B4027}" type="presOf" srcId="{2D0D2A3B-6203-4472-84FF-582D4C02D74B}" destId="{0B48CBAA-D0A7-4C06-BBC3-ADB81048ABB6}" srcOrd="0" destOrd="0" presId="urn:microsoft.com/office/officeart/2005/8/layout/vList6"/>
    <dgm:cxn modelId="{3307A10A-4334-40FD-8501-746F6ABD5E17}" type="presOf" srcId="{43C94540-5CD1-4922-A86D-778390C6497E}" destId="{1EE439B7-401A-4DE6-9D0F-5811E8E18794}" srcOrd="0" destOrd="0" presId="urn:microsoft.com/office/officeart/2005/8/layout/vList6"/>
    <dgm:cxn modelId="{FEDF4471-0D8F-41A2-AB2D-6AF812380104}" srcId="{30027832-DF7F-48B3-9218-99E5EF6E86AA}" destId="{A77E32EC-93E5-4C38-BD15-517FB7771854}" srcOrd="0" destOrd="0" parTransId="{A493D091-BFA9-49A3-A47D-E0B14B6CD2DA}" sibTransId="{18445871-FA13-4774-A66B-9636DD3E868B}"/>
    <dgm:cxn modelId="{B24F1F9B-F2DC-46D9-B526-35655E7BF688}" srcId="{8182016A-023B-4AF0-A472-B17E2184B9FF}" destId="{3562ACE0-3D4A-427A-A8FA-1B2C372478AA}" srcOrd="2" destOrd="0" parTransId="{13819C6F-2175-43FC-96A9-31A16D41B237}" sibTransId="{A0E7DAC9-32B9-46D2-B3F3-D0DB6E0C0EDF}"/>
    <dgm:cxn modelId="{4D341D4A-9EC6-49FD-A56D-7475637B762E}" type="presOf" srcId="{8182016A-023B-4AF0-A472-B17E2184B9FF}" destId="{9B9A65D7-88E8-4E24-A063-5AE50AC43182}" srcOrd="0" destOrd="0" presId="urn:microsoft.com/office/officeart/2005/8/layout/vList6"/>
    <dgm:cxn modelId="{10AC94C4-67CA-448B-AD18-157C59F83339}" type="presOf" srcId="{A77E32EC-93E5-4C38-BD15-517FB7771854}" destId="{F46E5D78-1736-4F55-964A-A8A6BB2EF57E}" srcOrd="0" destOrd="0" presId="urn:microsoft.com/office/officeart/2005/8/layout/vList6"/>
    <dgm:cxn modelId="{464D2EAE-7CE4-47FE-B5D2-69E1CD02869F}" type="presOf" srcId="{75A34D70-360E-49A8-8C11-5B34550FB0AC}" destId="{045CC8FE-FB29-4DF7-B262-2253292C48C7}" srcOrd="0" destOrd="0" presId="urn:microsoft.com/office/officeart/2005/8/layout/vList6"/>
    <dgm:cxn modelId="{6DD10ACE-279B-443C-852A-9706B3872BDF}" type="presOf" srcId="{9CF9110C-63ED-4635-AD12-67F4BBB61D6C}" destId="{C0A952D8-07BB-48C5-A904-611D4C892BD1}" srcOrd="0" destOrd="0" presId="urn:microsoft.com/office/officeart/2005/8/layout/vList6"/>
    <dgm:cxn modelId="{DB91B36B-096D-414F-8E52-4FE68F05B866}" srcId="{3562ACE0-3D4A-427A-A8FA-1B2C372478AA}" destId="{43C94540-5CD1-4922-A86D-778390C6497E}" srcOrd="0" destOrd="0" parTransId="{5CBF8B75-87B2-450D-8AEF-71389177F7E1}" sibTransId="{66DBF542-BB79-45E8-8E6E-F89C825D67AB}"/>
    <dgm:cxn modelId="{D9C719EF-C8E1-43E7-A5EF-12636CC7A4CC}" type="presParOf" srcId="{9B9A65D7-88E8-4E24-A063-5AE50AC43182}" destId="{14D5F438-6A66-4D90-BF08-D522C30C0549}" srcOrd="0" destOrd="0" presId="urn:microsoft.com/office/officeart/2005/8/layout/vList6"/>
    <dgm:cxn modelId="{C705AC1F-31C2-44DB-A4E3-6AD6BE858CA9}" type="presParOf" srcId="{14D5F438-6A66-4D90-BF08-D522C30C0549}" destId="{C0A952D8-07BB-48C5-A904-611D4C892BD1}" srcOrd="0" destOrd="0" presId="urn:microsoft.com/office/officeart/2005/8/layout/vList6"/>
    <dgm:cxn modelId="{42158D17-73C4-4160-A8B0-0A963C0B5092}" type="presParOf" srcId="{14D5F438-6A66-4D90-BF08-D522C30C0549}" destId="{0B48CBAA-D0A7-4C06-BBC3-ADB81048ABB6}" srcOrd="1" destOrd="0" presId="urn:microsoft.com/office/officeart/2005/8/layout/vList6"/>
    <dgm:cxn modelId="{13D93C2B-2C05-41B0-9EA9-A844D63B2BAA}" type="presParOf" srcId="{9B9A65D7-88E8-4E24-A063-5AE50AC43182}" destId="{AD15EA7F-F0F2-4872-8EF7-DE9E4A6C6F12}" srcOrd="1" destOrd="0" presId="urn:microsoft.com/office/officeart/2005/8/layout/vList6"/>
    <dgm:cxn modelId="{216F573E-E653-4B27-8645-C0B42196DEE7}" type="presParOf" srcId="{9B9A65D7-88E8-4E24-A063-5AE50AC43182}" destId="{EFC52CCA-BD86-4B91-9880-0F9D52F7BB23}" srcOrd="2" destOrd="0" presId="urn:microsoft.com/office/officeart/2005/8/layout/vList6"/>
    <dgm:cxn modelId="{C32E5541-97BA-4CF0-AE7C-A9FE7A3CF284}" type="presParOf" srcId="{EFC52CCA-BD86-4B91-9880-0F9D52F7BB23}" destId="{C0489304-A9AC-4D31-9308-69302E0B9330}" srcOrd="0" destOrd="0" presId="urn:microsoft.com/office/officeart/2005/8/layout/vList6"/>
    <dgm:cxn modelId="{CBDB41F7-4FCB-4710-9CDB-110D9382EB8E}" type="presParOf" srcId="{EFC52CCA-BD86-4B91-9880-0F9D52F7BB23}" destId="{045CC8FE-FB29-4DF7-B262-2253292C48C7}" srcOrd="1" destOrd="0" presId="urn:microsoft.com/office/officeart/2005/8/layout/vList6"/>
    <dgm:cxn modelId="{A7FD21F3-493B-4D99-9ED9-CC9700FFF916}" type="presParOf" srcId="{9B9A65D7-88E8-4E24-A063-5AE50AC43182}" destId="{E2CE4F30-6347-47CC-92A3-6761D8A76D83}" srcOrd="3" destOrd="0" presId="urn:microsoft.com/office/officeart/2005/8/layout/vList6"/>
    <dgm:cxn modelId="{375EF2A9-950C-4AA5-AB3B-229A0A8A13BB}" type="presParOf" srcId="{9B9A65D7-88E8-4E24-A063-5AE50AC43182}" destId="{869C0C13-CEF1-4919-BD39-4DE74457A26C}" srcOrd="4" destOrd="0" presId="urn:microsoft.com/office/officeart/2005/8/layout/vList6"/>
    <dgm:cxn modelId="{BF50206A-1C18-4360-96F7-64A4C638EC69}" type="presParOf" srcId="{869C0C13-CEF1-4919-BD39-4DE74457A26C}" destId="{914C4FF6-089D-40F0-B92C-6CADD6BFD7F6}" srcOrd="0" destOrd="0" presId="urn:microsoft.com/office/officeart/2005/8/layout/vList6"/>
    <dgm:cxn modelId="{7611EFFB-41DB-406A-A90C-43190FC2AFBC}" type="presParOf" srcId="{869C0C13-CEF1-4919-BD39-4DE74457A26C}" destId="{1EE439B7-401A-4DE6-9D0F-5811E8E18794}" srcOrd="1" destOrd="0" presId="urn:microsoft.com/office/officeart/2005/8/layout/vList6"/>
    <dgm:cxn modelId="{9B671A2E-E1B2-4740-B992-41828B39E09E}" type="presParOf" srcId="{9B9A65D7-88E8-4E24-A063-5AE50AC43182}" destId="{68CC4A6B-1842-4E17-B50F-D55EF518166D}" srcOrd="5" destOrd="0" presId="urn:microsoft.com/office/officeart/2005/8/layout/vList6"/>
    <dgm:cxn modelId="{6EDA9A5F-6576-49DC-BD53-A52AB75820A9}" type="presParOf" srcId="{9B9A65D7-88E8-4E24-A063-5AE50AC43182}" destId="{5534AD3B-E928-42AE-96A9-3746CBDEE97C}" srcOrd="6" destOrd="0" presId="urn:microsoft.com/office/officeart/2005/8/layout/vList6"/>
    <dgm:cxn modelId="{CFEDF187-9584-48F4-AF77-DD48D87286D0}" type="presParOf" srcId="{5534AD3B-E928-42AE-96A9-3746CBDEE97C}" destId="{84D784B6-8038-4675-8995-67B9E8F01012}" srcOrd="0" destOrd="0" presId="urn:microsoft.com/office/officeart/2005/8/layout/vList6"/>
    <dgm:cxn modelId="{DE7DE0C1-B7F1-4B06-ADBF-4F2BF737F40E}" type="presParOf" srcId="{5534AD3B-E928-42AE-96A9-3746CBDEE97C}" destId="{72AD06E3-489E-45D4-8A4E-72A590A0B513}" srcOrd="1" destOrd="0" presId="urn:microsoft.com/office/officeart/2005/8/layout/vList6"/>
    <dgm:cxn modelId="{9D0AAB75-BD95-4538-A02B-58869F2DD61A}" type="presParOf" srcId="{9B9A65D7-88E8-4E24-A063-5AE50AC43182}" destId="{9BD285E0-2BAD-492E-9163-B4E2CF7AB9AF}" srcOrd="7" destOrd="0" presId="urn:microsoft.com/office/officeart/2005/8/layout/vList6"/>
    <dgm:cxn modelId="{1ECC0951-D49B-4C8E-9889-FA63C3D11B17}" type="presParOf" srcId="{9B9A65D7-88E8-4E24-A063-5AE50AC43182}" destId="{6C922ED8-17A6-4F1A-9542-14724AA9BE72}" srcOrd="8" destOrd="0" presId="urn:microsoft.com/office/officeart/2005/8/layout/vList6"/>
    <dgm:cxn modelId="{E4184011-E524-4C33-9B61-62A35167433E}" type="presParOf" srcId="{6C922ED8-17A6-4F1A-9542-14724AA9BE72}" destId="{6BEFAF6C-A029-4548-A292-CED759ED1A1C}" srcOrd="0" destOrd="0" presId="urn:microsoft.com/office/officeart/2005/8/layout/vList6"/>
    <dgm:cxn modelId="{89C95A43-D767-478E-B9E9-0D417F3E348F}" type="presParOf" srcId="{6C922ED8-17A6-4F1A-9542-14724AA9BE72}" destId="{F46E5D78-1736-4F55-964A-A8A6BB2EF57E}" srcOrd="1" destOrd="0" presId="urn:microsoft.com/office/officeart/2005/8/layout/vList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2B55015-7645-453D-8018-F818BF973DFA}" type="doc">
      <dgm:prSet loTypeId="urn:microsoft.com/office/officeart/2005/8/layout/hierarchy4" loCatId="list" qsTypeId="urn:microsoft.com/office/officeart/2005/8/quickstyle/simple1" qsCatId="simple" csTypeId="urn:microsoft.com/office/officeart/2005/8/colors/accent1_2" csCatId="accent1" phldr="1"/>
      <dgm:spPr/>
      <dgm:t>
        <a:bodyPr/>
        <a:lstStyle/>
        <a:p>
          <a:endParaRPr lang="ru-RU"/>
        </a:p>
      </dgm:t>
    </dgm:pt>
    <dgm:pt modelId="{AAC05DCA-159E-4DE4-B844-295CA6644CAB}">
      <dgm:prSet phldrT="[Текст]" custT="1"/>
      <dgm:spPr>
        <a:solidFill>
          <a:schemeClr val="bg2">
            <a:lumMod val="90000"/>
          </a:schemeClr>
        </a:solidFill>
      </dgm:spPr>
      <dgm:t>
        <a:bodyPr/>
        <a:lstStyle/>
        <a:p>
          <a:r>
            <a:rPr lang="ru-RU" sz="1400">
              <a:solidFill>
                <a:sysClr val="windowText" lastClr="000000"/>
              </a:solidFill>
              <a:latin typeface="Times New Roman" panose="02020603050405020304" pitchFamily="18" charset="0"/>
              <a:cs typeface="Times New Roman" panose="02020603050405020304" pitchFamily="18" charset="0"/>
            </a:rPr>
            <a:t>Модель проектирования инновационного потенциала</a:t>
          </a:r>
        </a:p>
      </dgm:t>
    </dgm:pt>
    <dgm:pt modelId="{0A5122FA-D1AD-46F0-BE4A-08AB52F6C720}" type="parTrans" cxnId="{B7C7C8EA-D010-4992-974C-E512D7983160}">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292A216F-F07B-4FAB-A0FD-1B80A6A88001}" type="sibTrans" cxnId="{B7C7C8EA-D010-4992-974C-E512D7983160}">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3B738AC3-4478-4903-B6A9-7FD7E9207F6B}">
      <dgm:prSet phldrT="[Текст]" custT="1"/>
      <dgm:spPr>
        <a:solidFill>
          <a:schemeClr val="accent5">
            <a:lumMod val="20000"/>
            <a:lumOff val="80000"/>
          </a:schemeClr>
        </a:solidFill>
      </dgm:spPr>
      <dgm:t>
        <a:bodyPr/>
        <a:lstStyle/>
        <a:p>
          <a:r>
            <a:rPr lang="ru-RU" sz="1400">
              <a:solidFill>
                <a:sysClr val="windowText" lastClr="000000"/>
              </a:solidFill>
              <a:latin typeface="Times New Roman" panose="02020603050405020304" pitchFamily="18" charset="0"/>
              <a:cs typeface="Times New Roman" panose="02020603050405020304" pitchFamily="18" charset="0"/>
            </a:rPr>
            <a:t>Внутренние </a:t>
          </a:r>
        </a:p>
        <a:p>
          <a:r>
            <a:rPr lang="ru-RU" sz="1400">
              <a:solidFill>
                <a:sysClr val="windowText" lastClr="000000"/>
              </a:solidFill>
              <a:latin typeface="Times New Roman" panose="02020603050405020304" pitchFamily="18" charset="0"/>
              <a:cs typeface="Times New Roman" panose="02020603050405020304" pitchFamily="18" charset="0"/>
            </a:rPr>
            <a:t>приоритеты</a:t>
          </a:r>
        </a:p>
      </dgm:t>
    </dgm:pt>
    <dgm:pt modelId="{207DCC4C-7C09-4582-89A8-22268AF641E4}" type="parTrans" cxnId="{B3013443-F5E3-4AC7-847E-294E308948AC}">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29EDCBE4-57B2-4C06-8626-F1FB4B39D98A}" type="sibTrans" cxnId="{B3013443-F5E3-4AC7-847E-294E308948AC}">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8B45E5BE-4890-4B64-AAA9-B7D95303C8A6}">
      <dgm:prSet phldrT="[Текст]" custT="1"/>
      <dgm:spPr>
        <a:solidFill>
          <a:schemeClr val="accent5">
            <a:lumMod val="20000"/>
            <a:lumOff val="80000"/>
          </a:schemeClr>
        </a:solidFill>
      </dgm:spPr>
      <dgm:t>
        <a:bodyPr/>
        <a:lstStyle/>
        <a:p>
          <a:r>
            <a:rPr lang="ru-RU" sz="1100">
              <a:solidFill>
                <a:sysClr val="windowText" lastClr="000000"/>
              </a:solidFill>
              <a:latin typeface="Times New Roman" panose="02020603050405020304" pitchFamily="18" charset="0"/>
              <a:cs typeface="Times New Roman" panose="02020603050405020304" pitchFamily="18" charset="0"/>
            </a:rPr>
            <a:t>І-</a:t>
          </a:r>
        </a:p>
        <a:p>
          <a:r>
            <a:rPr lang="ru-RU" sz="1100">
              <a:solidFill>
                <a:sysClr val="windowText" lastClr="000000"/>
              </a:solidFill>
              <a:latin typeface="Times New Roman" panose="02020603050405020304" pitchFamily="18" charset="0"/>
              <a:cs typeface="Times New Roman" panose="02020603050405020304" pitchFamily="18" charset="0"/>
            </a:rPr>
            <a:t>управлен-ческо-технологичес-кая усойчивость (</a:t>
          </a:r>
          <a:r>
            <a:rPr lang="en-US" sz="1100">
              <a:solidFill>
                <a:sysClr val="windowText" lastClr="000000"/>
              </a:solidFill>
              <a:latin typeface="Times New Roman" panose="02020603050405020304" pitchFamily="18" charset="0"/>
              <a:cs typeface="Times New Roman" panose="02020603050405020304" pitchFamily="18" charset="0"/>
            </a:rPr>
            <a:t>MR/TR/FR</a:t>
          </a:r>
          <a:r>
            <a:rPr lang="kk-KZ" sz="1100">
              <a:solidFill>
                <a:sysClr val="windowText" lastClr="000000"/>
              </a:solidFill>
              <a:latin typeface="Times New Roman" panose="02020603050405020304" pitchFamily="18" charset="0"/>
              <a:cs typeface="Times New Roman" panose="02020603050405020304" pitchFamily="18" charset="0"/>
            </a:rPr>
            <a:t>)</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DA570AB8-4E15-4171-95D4-F2F244D8A59D}" type="parTrans" cxnId="{4B25F265-923F-4D15-BAD8-CA15E34A6CC0}">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2932F7A2-A22D-435C-9017-F1C84FD12C31}" type="sibTrans" cxnId="{4B25F265-923F-4D15-BAD8-CA15E34A6CC0}">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9A2761C4-CFE1-40F1-A377-F3656DDC9706}">
      <dgm:prSet phldrT="[Текст]" custT="1"/>
      <dgm:spPr>
        <a:solidFill>
          <a:schemeClr val="accent5">
            <a:lumMod val="20000"/>
            <a:lumOff val="80000"/>
          </a:schemeClr>
        </a:solidFill>
      </dgm:spPr>
      <dgm:t>
        <a:bodyPr/>
        <a:lstStyle/>
        <a:p>
          <a:r>
            <a:rPr lang="kk-KZ" sz="1100">
              <a:solidFill>
                <a:sysClr val="windowText" lastClr="000000"/>
              </a:solidFill>
              <a:latin typeface="Times New Roman" panose="02020603050405020304" pitchFamily="18" charset="0"/>
              <a:cs typeface="Times New Roman" panose="02020603050405020304" pitchFamily="18" charset="0"/>
            </a:rPr>
            <a:t>ІІ-</a:t>
          </a:r>
        </a:p>
        <a:p>
          <a:r>
            <a:rPr lang="kk-KZ" sz="1100">
              <a:solidFill>
                <a:sysClr val="windowText" lastClr="000000"/>
              </a:solidFill>
              <a:latin typeface="Times New Roman" panose="02020603050405020304" pitchFamily="18" charset="0"/>
              <a:cs typeface="Times New Roman" panose="02020603050405020304" pitchFamily="18" charset="0"/>
            </a:rPr>
            <a:t>цифровая зрелость/адаптивность </a:t>
          </a:r>
        </a:p>
        <a:p>
          <a:r>
            <a:rPr lang="kk-KZ" sz="1100">
              <a:solidFill>
                <a:sysClr val="windowText" lastClr="000000"/>
              </a:solidFill>
              <a:latin typeface="Times New Roman" panose="02020603050405020304" pitchFamily="18" charset="0"/>
              <a:cs typeface="Times New Roman" panose="02020603050405020304" pitchFamily="18" charset="0"/>
            </a:rPr>
            <a:t>(</a:t>
          </a:r>
          <a:r>
            <a:rPr lang="en-US" sz="1100">
              <a:solidFill>
                <a:sysClr val="windowText" lastClr="000000"/>
              </a:solidFill>
              <a:latin typeface="Times New Roman" panose="02020603050405020304" pitchFamily="18" charset="0"/>
              <a:cs typeface="Times New Roman" panose="02020603050405020304" pitchFamily="18" charset="0"/>
            </a:rPr>
            <a:t>DS</a:t>
          </a:r>
          <a:r>
            <a:rPr lang="kk-KZ" sz="1100">
              <a:solidFill>
                <a:sysClr val="windowText" lastClr="000000"/>
              </a:solidFill>
              <a:latin typeface="Times New Roman" panose="02020603050405020304" pitchFamily="18" charset="0"/>
              <a:cs typeface="Times New Roman" panose="02020603050405020304" pitchFamily="18" charset="0"/>
            </a:rPr>
            <a:t>)</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8DECA505-2216-4F4C-8BDA-485B56A0AE32}" type="parTrans" cxnId="{0B9B787D-DF44-4142-9603-6E8BFE80E72B}">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C44D50BC-543D-4F65-8DCD-374CE6745BE9}" type="sibTrans" cxnId="{0B9B787D-DF44-4142-9603-6E8BFE80E72B}">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6F9C43E6-1377-49BB-9CD3-FBBB09FF0313}">
      <dgm:prSet phldrT="[Текст]" custT="1"/>
      <dgm:spPr>
        <a:solidFill>
          <a:schemeClr val="accent4">
            <a:lumMod val="40000"/>
            <a:lumOff val="60000"/>
          </a:schemeClr>
        </a:solidFill>
      </dgm:spPr>
      <dgm:t>
        <a:bodyPr/>
        <a:lstStyle/>
        <a:p>
          <a:r>
            <a:rPr lang="kk-KZ" sz="1400">
              <a:solidFill>
                <a:sysClr val="windowText" lastClr="000000"/>
              </a:solidFill>
              <a:latin typeface="Times New Roman" panose="02020603050405020304" pitchFamily="18" charset="0"/>
              <a:cs typeface="Times New Roman" panose="02020603050405020304" pitchFamily="18" charset="0"/>
            </a:rPr>
            <a:t>Институциональные приоритеты</a:t>
          </a:r>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18CF5971-3AD3-4E04-992E-63B6B78B15BB}" type="parTrans" cxnId="{739C3A6E-5888-4BC0-888B-C0FCF2504570}">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B975EB3F-806E-46CF-81FF-D58513D8E20A}" type="sibTrans" cxnId="{739C3A6E-5888-4BC0-888B-C0FCF2504570}">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9FA8BBC3-A1CF-4E03-B789-DC0C2EC6025F}">
      <dgm:prSet phldrT="[Текст]" custT="1"/>
      <dgm:spPr>
        <a:solidFill>
          <a:schemeClr val="accent4">
            <a:lumMod val="40000"/>
            <a:lumOff val="60000"/>
          </a:schemeClr>
        </a:solidFill>
      </dgm:spPr>
      <dgm:t>
        <a:bodyPr/>
        <a:lstStyle/>
        <a:p>
          <a:r>
            <a:rPr lang="kk-KZ" sz="1100">
              <a:solidFill>
                <a:sysClr val="windowText" lastClr="000000"/>
              </a:solidFill>
              <a:latin typeface="Times New Roman" panose="02020603050405020304" pitchFamily="18" charset="0"/>
              <a:cs typeface="Times New Roman" panose="02020603050405020304" pitchFamily="18" charset="0"/>
            </a:rPr>
            <a:t>І</a:t>
          </a:r>
          <a:r>
            <a:rPr lang="en-US" sz="1100">
              <a:solidFill>
                <a:sysClr val="windowText" lastClr="000000"/>
              </a:solidFill>
              <a:latin typeface="Times New Roman" panose="02020603050405020304" pitchFamily="18" charset="0"/>
              <a:cs typeface="Times New Roman" panose="02020603050405020304" pitchFamily="18" charset="0"/>
            </a:rPr>
            <a:t>V-</a:t>
          </a:r>
          <a:endParaRPr lang="kk-KZ" sz="1100">
            <a:solidFill>
              <a:sysClr val="windowText" lastClr="000000"/>
            </a:solidFill>
            <a:latin typeface="Times New Roman" panose="02020603050405020304" pitchFamily="18" charset="0"/>
            <a:cs typeface="Times New Roman" panose="02020603050405020304" pitchFamily="18" charset="0"/>
          </a:endParaRPr>
        </a:p>
        <a:p>
          <a:r>
            <a:rPr lang="kk-KZ" sz="1100">
              <a:solidFill>
                <a:sysClr val="windowText" lastClr="000000"/>
              </a:solidFill>
              <a:latin typeface="Times New Roman" panose="02020603050405020304" pitchFamily="18" charset="0"/>
              <a:cs typeface="Times New Roman" panose="02020603050405020304" pitchFamily="18" charset="0"/>
            </a:rPr>
            <a:t>снятие барьеров/инк-люзивность (</a:t>
          </a:r>
          <a:r>
            <a:rPr lang="en-US" sz="1100">
              <a:solidFill>
                <a:sysClr val="windowText" lastClr="000000"/>
              </a:solidFill>
              <a:latin typeface="Times New Roman" panose="02020603050405020304" pitchFamily="18" charset="0"/>
              <a:cs typeface="Times New Roman" panose="02020603050405020304" pitchFamily="18" charset="0"/>
            </a:rPr>
            <a:t>Inst</a:t>
          </a:r>
          <a:r>
            <a:rPr lang="kk-KZ" sz="1100">
              <a:solidFill>
                <a:sysClr val="windowText" lastClr="000000"/>
              </a:solidFill>
              <a:latin typeface="Times New Roman" panose="02020603050405020304" pitchFamily="18" charset="0"/>
              <a:cs typeface="Times New Roman" panose="02020603050405020304" pitchFamily="18" charset="0"/>
            </a:rPr>
            <a:t>)</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3E2CB9C8-A22D-49F8-8460-9A8ECA376D0C}" type="parTrans" cxnId="{29B33AEE-B1C0-4B10-855D-FB4595B4FC59}">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5B9B8B71-D519-4C1E-9774-DC3158020A94}" type="sibTrans" cxnId="{29B33AEE-B1C0-4B10-855D-FB4595B4FC59}">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42C97BED-59C6-42F5-A492-37344D6791E4}">
      <dgm:prSet phldrT="[Текст]" custT="1"/>
      <dgm:spPr>
        <a:solidFill>
          <a:schemeClr val="accent5">
            <a:lumMod val="20000"/>
            <a:lumOff val="80000"/>
          </a:schemeClr>
        </a:solidFill>
      </dgm:spPr>
      <dgm:t>
        <a:bodyPr/>
        <a:lstStyle/>
        <a:p>
          <a:r>
            <a:rPr lang="kk-KZ" sz="1100">
              <a:solidFill>
                <a:sysClr val="windowText" lastClr="000000"/>
              </a:solidFill>
              <a:latin typeface="Times New Roman" panose="02020603050405020304" pitchFamily="18" charset="0"/>
              <a:cs typeface="Times New Roman" panose="02020603050405020304" pitchFamily="18" charset="0"/>
            </a:rPr>
            <a:t>ІІІ-человеческий капитал/инно-вационная культура (</a:t>
          </a:r>
          <a:r>
            <a:rPr lang="en-US" sz="1100">
              <a:solidFill>
                <a:sysClr val="windowText" lastClr="000000"/>
              </a:solidFill>
              <a:latin typeface="Times New Roman" panose="02020603050405020304" pitchFamily="18" charset="0"/>
              <a:cs typeface="Times New Roman" panose="02020603050405020304" pitchFamily="18" charset="0"/>
            </a:rPr>
            <a:t>HC/IC</a:t>
          </a:r>
          <a:r>
            <a:rPr lang="kk-KZ" sz="1100">
              <a:solidFill>
                <a:sysClr val="windowText" lastClr="000000"/>
              </a:solidFill>
              <a:latin typeface="Times New Roman" panose="02020603050405020304" pitchFamily="18" charset="0"/>
              <a:cs typeface="Times New Roman" panose="02020603050405020304" pitchFamily="18" charset="0"/>
            </a:rPr>
            <a:t>)</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E99DA46E-6A8C-4083-82CE-A65279C48A08}" type="parTrans" cxnId="{C5F8C347-E779-403A-8757-CFE444DE85AB}">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DC022A86-F65A-4E8F-80CF-7F120B24FEB1}" type="sibTrans" cxnId="{C5F8C347-E779-403A-8757-CFE444DE85AB}">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388238C7-DD7C-4E02-B65E-9EEE3E341036}">
      <dgm:prSet phldrT="[Текст]" custT="1"/>
      <dgm:spPr>
        <a:solidFill>
          <a:schemeClr val="accent4">
            <a:lumMod val="40000"/>
            <a:lumOff val="60000"/>
          </a:schemeClr>
        </a:solidFill>
      </dgm:spPr>
      <dgm:t>
        <a:bodyPr/>
        <a:lstStyle/>
        <a:p>
          <a:r>
            <a:rPr lang="en-US" sz="1100">
              <a:solidFill>
                <a:sysClr val="windowText" lastClr="000000"/>
              </a:solidFill>
              <a:latin typeface="Times New Roman" panose="02020603050405020304" pitchFamily="18" charset="0"/>
              <a:cs typeface="Times New Roman" panose="02020603050405020304" pitchFamily="18" charset="0"/>
            </a:rPr>
            <a:t>V-</a:t>
          </a:r>
          <a:r>
            <a:rPr lang="kk-KZ" sz="1100">
              <a:solidFill>
                <a:sysClr val="windowText" lastClr="000000"/>
              </a:solidFill>
              <a:latin typeface="Times New Roman" panose="02020603050405020304" pitchFamily="18" charset="0"/>
              <a:cs typeface="Times New Roman" panose="02020603050405020304" pitchFamily="18" charset="0"/>
            </a:rPr>
            <a:t>экосистема/адресность/ре-гиональная устойчивость (</a:t>
          </a:r>
          <a:r>
            <a:rPr lang="en-US" sz="1100">
              <a:solidFill>
                <a:sysClr val="windowText" lastClr="000000"/>
              </a:solidFill>
              <a:latin typeface="Times New Roman" panose="02020603050405020304" pitchFamily="18" charset="0"/>
              <a:cs typeface="Times New Roman" panose="02020603050405020304" pitchFamily="18" charset="0"/>
            </a:rPr>
            <a:t>Inst+</a:t>
          </a:r>
          <a:r>
            <a:rPr lang="kk-KZ" sz="1100">
              <a:solidFill>
                <a:sysClr val="windowText" lastClr="000000"/>
              </a:solidFill>
              <a:latin typeface="Times New Roman" panose="02020603050405020304" pitchFamily="18" charset="0"/>
              <a:cs typeface="Times New Roman" panose="02020603050405020304" pitchFamily="18" charset="0"/>
            </a:rPr>
            <a:t>партнер-ства)</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9A91F21A-2D3A-4C3E-8123-51A58CCFBF1E}" type="parTrans" cxnId="{4E8B3CE4-76AE-4469-9427-1A068748740B}">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B07AC6B9-2166-45D0-BD48-98F53FBF5F22}" type="sibTrans" cxnId="{4E8B3CE4-76AE-4469-9427-1A068748740B}">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9B904056-25DB-4C7D-8E3D-7BDF650EC901}" type="pres">
      <dgm:prSet presAssocID="{C2B55015-7645-453D-8018-F818BF973DFA}" presName="Name0" presStyleCnt="0">
        <dgm:presLayoutVars>
          <dgm:chPref val="1"/>
          <dgm:dir/>
          <dgm:animOne val="branch"/>
          <dgm:animLvl val="lvl"/>
          <dgm:resizeHandles/>
        </dgm:presLayoutVars>
      </dgm:prSet>
      <dgm:spPr/>
      <dgm:t>
        <a:bodyPr/>
        <a:lstStyle/>
        <a:p>
          <a:endParaRPr lang="ru-RU"/>
        </a:p>
      </dgm:t>
    </dgm:pt>
    <dgm:pt modelId="{469A4893-933F-4032-B0F7-DA0B17CFB3C5}" type="pres">
      <dgm:prSet presAssocID="{AAC05DCA-159E-4DE4-B844-295CA6644CAB}" presName="vertOne" presStyleCnt="0"/>
      <dgm:spPr/>
    </dgm:pt>
    <dgm:pt modelId="{E0E49C7D-EEF8-46AB-8EFC-D88C9C56FC9E}" type="pres">
      <dgm:prSet presAssocID="{AAC05DCA-159E-4DE4-B844-295CA6644CAB}" presName="txOne" presStyleLbl="node0" presStyleIdx="0" presStyleCnt="1" custScaleY="28285">
        <dgm:presLayoutVars>
          <dgm:chPref val="3"/>
        </dgm:presLayoutVars>
      </dgm:prSet>
      <dgm:spPr/>
      <dgm:t>
        <a:bodyPr/>
        <a:lstStyle/>
        <a:p>
          <a:endParaRPr lang="ru-RU"/>
        </a:p>
      </dgm:t>
    </dgm:pt>
    <dgm:pt modelId="{99FF1A26-5302-4787-BC3C-2A0136D69FD4}" type="pres">
      <dgm:prSet presAssocID="{AAC05DCA-159E-4DE4-B844-295CA6644CAB}" presName="parTransOne" presStyleCnt="0"/>
      <dgm:spPr/>
    </dgm:pt>
    <dgm:pt modelId="{1FAC027D-9AA1-46F3-B29E-600CA611DC26}" type="pres">
      <dgm:prSet presAssocID="{AAC05DCA-159E-4DE4-B844-295CA6644CAB}" presName="horzOne" presStyleCnt="0"/>
      <dgm:spPr/>
    </dgm:pt>
    <dgm:pt modelId="{4A363837-7C79-4696-B76E-E62A428C693B}" type="pres">
      <dgm:prSet presAssocID="{3B738AC3-4478-4903-B6A9-7FD7E9207F6B}" presName="vertTwo" presStyleCnt="0"/>
      <dgm:spPr/>
    </dgm:pt>
    <dgm:pt modelId="{5C4ADD53-A422-478B-9383-FBB6C9956DFE}" type="pres">
      <dgm:prSet presAssocID="{3B738AC3-4478-4903-B6A9-7FD7E9207F6B}" presName="txTwo" presStyleLbl="node2" presStyleIdx="0" presStyleCnt="2" custScaleY="31977">
        <dgm:presLayoutVars>
          <dgm:chPref val="3"/>
        </dgm:presLayoutVars>
      </dgm:prSet>
      <dgm:spPr/>
      <dgm:t>
        <a:bodyPr/>
        <a:lstStyle/>
        <a:p>
          <a:endParaRPr lang="ru-RU"/>
        </a:p>
      </dgm:t>
    </dgm:pt>
    <dgm:pt modelId="{9221B8D4-376D-4CCC-A4A1-AF3C76A4E7E8}" type="pres">
      <dgm:prSet presAssocID="{3B738AC3-4478-4903-B6A9-7FD7E9207F6B}" presName="parTransTwo" presStyleCnt="0"/>
      <dgm:spPr/>
    </dgm:pt>
    <dgm:pt modelId="{8553FB0A-BEEA-48EF-896C-9EF4CBD5F6E6}" type="pres">
      <dgm:prSet presAssocID="{3B738AC3-4478-4903-B6A9-7FD7E9207F6B}" presName="horzTwo" presStyleCnt="0"/>
      <dgm:spPr/>
    </dgm:pt>
    <dgm:pt modelId="{2BC3136B-C7D0-4AE3-B37C-D515191ABB06}" type="pres">
      <dgm:prSet presAssocID="{8B45E5BE-4890-4B64-AAA9-B7D95303C8A6}" presName="vertThree" presStyleCnt="0"/>
      <dgm:spPr/>
    </dgm:pt>
    <dgm:pt modelId="{88207AD8-ADF5-430F-9EEE-611D26A95A90}" type="pres">
      <dgm:prSet presAssocID="{8B45E5BE-4890-4B64-AAA9-B7D95303C8A6}" presName="txThree" presStyleLbl="node3" presStyleIdx="0" presStyleCnt="5">
        <dgm:presLayoutVars>
          <dgm:chPref val="3"/>
        </dgm:presLayoutVars>
      </dgm:prSet>
      <dgm:spPr/>
      <dgm:t>
        <a:bodyPr/>
        <a:lstStyle/>
        <a:p>
          <a:endParaRPr lang="ru-RU"/>
        </a:p>
      </dgm:t>
    </dgm:pt>
    <dgm:pt modelId="{F7121943-E472-449D-84DA-5E0394A3FE1D}" type="pres">
      <dgm:prSet presAssocID="{8B45E5BE-4890-4B64-AAA9-B7D95303C8A6}" presName="horzThree" presStyleCnt="0"/>
      <dgm:spPr/>
    </dgm:pt>
    <dgm:pt modelId="{207940DF-0F32-44E5-80A4-84EA1DB81379}" type="pres">
      <dgm:prSet presAssocID="{2932F7A2-A22D-435C-9017-F1C84FD12C31}" presName="sibSpaceThree" presStyleCnt="0"/>
      <dgm:spPr/>
    </dgm:pt>
    <dgm:pt modelId="{AC187082-8D1C-4BB8-8AB0-104CE44580F9}" type="pres">
      <dgm:prSet presAssocID="{9A2761C4-CFE1-40F1-A377-F3656DDC9706}" presName="vertThree" presStyleCnt="0"/>
      <dgm:spPr/>
    </dgm:pt>
    <dgm:pt modelId="{6E798ACC-DE3D-4D74-8F00-AE8A2CEFA821}" type="pres">
      <dgm:prSet presAssocID="{9A2761C4-CFE1-40F1-A377-F3656DDC9706}" presName="txThree" presStyleLbl="node3" presStyleIdx="1" presStyleCnt="5">
        <dgm:presLayoutVars>
          <dgm:chPref val="3"/>
        </dgm:presLayoutVars>
      </dgm:prSet>
      <dgm:spPr/>
      <dgm:t>
        <a:bodyPr/>
        <a:lstStyle/>
        <a:p>
          <a:endParaRPr lang="ru-RU"/>
        </a:p>
      </dgm:t>
    </dgm:pt>
    <dgm:pt modelId="{37E3B164-3D03-4E18-998B-7825647BE6C6}" type="pres">
      <dgm:prSet presAssocID="{9A2761C4-CFE1-40F1-A377-F3656DDC9706}" presName="horzThree" presStyleCnt="0"/>
      <dgm:spPr/>
    </dgm:pt>
    <dgm:pt modelId="{874976E9-857E-4CB3-8AE8-C09E17915592}" type="pres">
      <dgm:prSet presAssocID="{C44D50BC-543D-4F65-8DCD-374CE6745BE9}" presName="sibSpaceThree" presStyleCnt="0"/>
      <dgm:spPr/>
    </dgm:pt>
    <dgm:pt modelId="{C9837F2A-A364-449D-908A-76ECA0FA365F}" type="pres">
      <dgm:prSet presAssocID="{42C97BED-59C6-42F5-A492-37344D6791E4}" presName="vertThree" presStyleCnt="0"/>
      <dgm:spPr/>
    </dgm:pt>
    <dgm:pt modelId="{636BA402-5661-41CC-89EA-3CFCCBB4777C}" type="pres">
      <dgm:prSet presAssocID="{42C97BED-59C6-42F5-A492-37344D6791E4}" presName="txThree" presStyleLbl="node3" presStyleIdx="2" presStyleCnt="5">
        <dgm:presLayoutVars>
          <dgm:chPref val="3"/>
        </dgm:presLayoutVars>
      </dgm:prSet>
      <dgm:spPr/>
      <dgm:t>
        <a:bodyPr/>
        <a:lstStyle/>
        <a:p>
          <a:endParaRPr lang="ru-RU"/>
        </a:p>
      </dgm:t>
    </dgm:pt>
    <dgm:pt modelId="{B3BA8EFA-9A54-436A-A221-6E6D99B9222C}" type="pres">
      <dgm:prSet presAssocID="{42C97BED-59C6-42F5-A492-37344D6791E4}" presName="horzThree" presStyleCnt="0"/>
      <dgm:spPr/>
    </dgm:pt>
    <dgm:pt modelId="{FA7403D8-5CF4-411F-B47A-7B6772EE8DD3}" type="pres">
      <dgm:prSet presAssocID="{29EDCBE4-57B2-4C06-8626-F1FB4B39D98A}" presName="sibSpaceTwo" presStyleCnt="0"/>
      <dgm:spPr/>
    </dgm:pt>
    <dgm:pt modelId="{0EB9AECD-818A-4D48-889C-30C7524CD1EC}" type="pres">
      <dgm:prSet presAssocID="{6F9C43E6-1377-49BB-9CD3-FBBB09FF0313}" presName="vertTwo" presStyleCnt="0"/>
      <dgm:spPr/>
    </dgm:pt>
    <dgm:pt modelId="{D8749ECC-2851-490B-841E-FDCCAE164DFF}" type="pres">
      <dgm:prSet presAssocID="{6F9C43E6-1377-49BB-9CD3-FBBB09FF0313}" presName="txTwo" presStyleLbl="node2" presStyleIdx="1" presStyleCnt="2" custScaleY="31977">
        <dgm:presLayoutVars>
          <dgm:chPref val="3"/>
        </dgm:presLayoutVars>
      </dgm:prSet>
      <dgm:spPr/>
      <dgm:t>
        <a:bodyPr/>
        <a:lstStyle/>
        <a:p>
          <a:endParaRPr lang="ru-RU"/>
        </a:p>
      </dgm:t>
    </dgm:pt>
    <dgm:pt modelId="{4797FEBB-5214-4296-AC43-686F7CA0CB21}" type="pres">
      <dgm:prSet presAssocID="{6F9C43E6-1377-49BB-9CD3-FBBB09FF0313}" presName="parTransTwo" presStyleCnt="0"/>
      <dgm:spPr/>
    </dgm:pt>
    <dgm:pt modelId="{8D23D77B-B218-406D-B9B3-63E544F8C3DB}" type="pres">
      <dgm:prSet presAssocID="{6F9C43E6-1377-49BB-9CD3-FBBB09FF0313}" presName="horzTwo" presStyleCnt="0"/>
      <dgm:spPr/>
    </dgm:pt>
    <dgm:pt modelId="{1A49A662-A8E5-4065-ACCE-5890FA823114}" type="pres">
      <dgm:prSet presAssocID="{9FA8BBC3-A1CF-4E03-B789-DC0C2EC6025F}" presName="vertThree" presStyleCnt="0"/>
      <dgm:spPr/>
    </dgm:pt>
    <dgm:pt modelId="{FE256D26-41A5-42FD-BF7C-367E5EDFB08C}" type="pres">
      <dgm:prSet presAssocID="{9FA8BBC3-A1CF-4E03-B789-DC0C2EC6025F}" presName="txThree" presStyleLbl="node3" presStyleIdx="3" presStyleCnt="5">
        <dgm:presLayoutVars>
          <dgm:chPref val="3"/>
        </dgm:presLayoutVars>
      </dgm:prSet>
      <dgm:spPr/>
      <dgm:t>
        <a:bodyPr/>
        <a:lstStyle/>
        <a:p>
          <a:endParaRPr lang="ru-RU"/>
        </a:p>
      </dgm:t>
    </dgm:pt>
    <dgm:pt modelId="{9816CBD7-8734-49F0-83BB-ED0E7FAC6EB5}" type="pres">
      <dgm:prSet presAssocID="{9FA8BBC3-A1CF-4E03-B789-DC0C2EC6025F}" presName="horzThree" presStyleCnt="0"/>
      <dgm:spPr/>
    </dgm:pt>
    <dgm:pt modelId="{49E6BE36-B181-4576-805F-1DB8077729A9}" type="pres">
      <dgm:prSet presAssocID="{5B9B8B71-D519-4C1E-9774-DC3158020A94}" presName="sibSpaceThree" presStyleCnt="0"/>
      <dgm:spPr/>
    </dgm:pt>
    <dgm:pt modelId="{3D371EA8-83A9-4954-B177-9A5FC8BE949C}" type="pres">
      <dgm:prSet presAssocID="{388238C7-DD7C-4E02-B65E-9EEE3E341036}" presName="vertThree" presStyleCnt="0"/>
      <dgm:spPr/>
    </dgm:pt>
    <dgm:pt modelId="{8F43A249-4541-448F-94D0-365BB4CD55F9}" type="pres">
      <dgm:prSet presAssocID="{388238C7-DD7C-4E02-B65E-9EEE3E341036}" presName="txThree" presStyleLbl="node3" presStyleIdx="4" presStyleCnt="5">
        <dgm:presLayoutVars>
          <dgm:chPref val="3"/>
        </dgm:presLayoutVars>
      </dgm:prSet>
      <dgm:spPr/>
      <dgm:t>
        <a:bodyPr/>
        <a:lstStyle/>
        <a:p>
          <a:endParaRPr lang="ru-RU"/>
        </a:p>
      </dgm:t>
    </dgm:pt>
    <dgm:pt modelId="{21272EE7-E270-4CF0-BCC7-CAC9D6948186}" type="pres">
      <dgm:prSet presAssocID="{388238C7-DD7C-4E02-B65E-9EEE3E341036}" presName="horzThree" presStyleCnt="0"/>
      <dgm:spPr/>
    </dgm:pt>
  </dgm:ptLst>
  <dgm:cxnLst>
    <dgm:cxn modelId="{C5F8C347-E779-403A-8757-CFE444DE85AB}" srcId="{3B738AC3-4478-4903-B6A9-7FD7E9207F6B}" destId="{42C97BED-59C6-42F5-A492-37344D6791E4}" srcOrd="2" destOrd="0" parTransId="{E99DA46E-6A8C-4083-82CE-A65279C48A08}" sibTransId="{DC022A86-F65A-4E8F-80CF-7F120B24FEB1}"/>
    <dgm:cxn modelId="{B3013443-F5E3-4AC7-847E-294E308948AC}" srcId="{AAC05DCA-159E-4DE4-B844-295CA6644CAB}" destId="{3B738AC3-4478-4903-B6A9-7FD7E9207F6B}" srcOrd="0" destOrd="0" parTransId="{207DCC4C-7C09-4582-89A8-22268AF641E4}" sibTransId="{29EDCBE4-57B2-4C06-8626-F1FB4B39D98A}"/>
    <dgm:cxn modelId="{4B25F265-923F-4D15-BAD8-CA15E34A6CC0}" srcId="{3B738AC3-4478-4903-B6A9-7FD7E9207F6B}" destId="{8B45E5BE-4890-4B64-AAA9-B7D95303C8A6}" srcOrd="0" destOrd="0" parTransId="{DA570AB8-4E15-4171-95D4-F2F244D8A59D}" sibTransId="{2932F7A2-A22D-435C-9017-F1C84FD12C31}"/>
    <dgm:cxn modelId="{A290EA39-3178-4BBB-B4DF-F522CCCBF10D}" type="presOf" srcId="{AAC05DCA-159E-4DE4-B844-295CA6644CAB}" destId="{E0E49C7D-EEF8-46AB-8EFC-D88C9C56FC9E}" srcOrd="0" destOrd="0" presId="urn:microsoft.com/office/officeart/2005/8/layout/hierarchy4"/>
    <dgm:cxn modelId="{8CAC9343-F1DE-42A5-B8A5-E980FC8D5E74}" type="presOf" srcId="{6F9C43E6-1377-49BB-9CD3-FBBB09FF0313}" destId="{D8749ECC-2851-490B-841E-FDCCAE164DFF}" srcOrd="0" destOrd="0" presId="urn:microsoft.com/office/officeart/2005/8/layout/hierarchy4"/>
    <dgm:cxn modelId="{C9113BF9-93DA-4C00-9B6A-5ADD7D6C5C0E}" type="presOf" srcId="{42C97BED-59C6-42F5-A492-37344D6791E4}" destId="{636BA402-5661-41CC-89EA-3CFCCBB4777C}" srcOrd="0" destOrd="0" presId="urn:microsoft.com/office/officeart/2005/8/layout/hierarchy4"/>
    <dgm:cxn modelId="{269ACF3A-7BD5-4770-BD9F-69983B1F3BCB}" type="presOf" srcId="{8B45E5BE-4890-4B64-AAA9-B7D95303C8A6}" destId="{88207AD8-ADF5-430F-9EEE-611D26A95A90}" srcOrd="0" destOrd="0" presId="urn:microsoft.com/office/officeart/2005/8/layout/hierarchy4"/>
    <dgm:cxn modelId="{190015E4-0F66-4B10-8E15-6AC623DB580C}" type="presOf" srcId="{388238C7-DD7C-4E02-B65E-9EEE3E341036}" destId="{8F43A249-4541-448F-94D0-365BB4CD55F9}" srcOrd="0" destOrd="0" presId="urn:microsoft.com/office/officeart/2005/8/layout/hierarchy4"/>
    <dgm:cxn modelId="{797E15F9-8B61-4B4E-9CBF-5BA4C8C73078}" type="presOf" srcId="{9FA8BBC3-A1CF-4E03-B789-DC0C2EC6025F}" destId="{FE256D26-41A5-42FD-BF7C-367E5EDFB08C}" srcOrd="0" destOrd="0" presId="urn:microsoft.com/office/officeart/2005/8/layout/hierarchy4"/>
    <dgm:cxn modelId="{D7A78B5B-3BDB-4873-BEF8-BAFD5FDB7238}" type="presOf" srcId="{9A2761C4-CFE1-40F1-A377-F3656DDC9706}" destId="{6E798ACC-DE3D-4D74-8F00-AE8A2CEFA821}" srcOrd="0" destOrd="0" presId="urn:microsoft.com/office/officeart/2005/8/layout/hierarchy4"/>
    <dgm:cxn modelId="{29B33AEE-B1C0-4B10-855D-FB4595B4FC59}" srcId="{6F9C43E6-1377-49BB-9CD3-FBBB09FF0313}" destId="{9FA8BBC3-A1CF-4E03-B789-DC0C2EC6025F}" srcOrd="0" destOrd="0" parTransId="{3E2CB9C8-A22D-49F8-8460-9A8ECA376D0C}" sibTransId="{5B9B8B71-D519-4C1E-9774-DC3158020A94}"/>
    <dgm:cxn modelId="{4E8B3CE4-76AE-4469-9427-1A068748740B}" srcId="{6F9C43E6-1377-49BB-9CD3-FBBB09FF0313}" destId="{388238C7-DD7C-4E02-B65E-9EEE3E341036}" srcOrd="1" destOrd="0" parTransId="{9A91F21A-2D3A-4C3E-8123-51A58CCFBF1E}" sibTransId="{B07AC6B9-2166-45D0-BD48-98F53FBF5F22}"/>
    <dgm:cxn modelId="{747E1CDC-5457-4896-8A3D-E11A2EFCF2A0}" type="presOf" srcId="{C2B55015-7645-453D-8018-F818BF973DFA}" destId="{9B904056-25DB-4C7D-8E3D-7BDF650EC901}" srcOrd="0" destOrd="0" presId="urn:microsoft.com/office/officeart/2005/8/layout/hierarchy4"/>
    <dgm:cxn modelId="{0B9B787D-DF44-4142-9603-6E8BFE80E72B}" srcId="{3B738AC3-4478-4903-B6A9-7FD7E9207F6B}" destId="{9A2761C4-CFE1-40F1-A377-F3656DDC9706}" srcOrd="1" destOrd="0" parTransId="{8DECA505-2216-4F4C-8BDA-485B56A0AE32}" sibTransId="{C44D50BC-543D-4F65-8DCD-374CE6745BE9}"/>
    <dgm:cxn modelId="{739C3A6E-5888-4BC0-888B-C0FCF2504570}" srcId="{AAC05DCA-159E-4DE4-B844-295CA6644CAB}" destId="{6F9C43E6-1377-49BB-9CD3-FBBB09FF0313}" srcOrd="1" destOrd="0" parTransId="{18CF5971-3AD3-4E04-992E-63B6B78B15BB}" sibTransId="{B975EB3F-806E-46CF-81FF-D58513D8E20A}"/>
    <dgm:cxn modelId="{16CB0728-135F-43C3-849D-E23CDDE78FAE}" type="presOf" srcId="{3B738AC3-4478-4903-B6A9-7FD7E9207F6B}" destId="{5C4ADD53-A422-478B-9383-FBB6C9956DFE}" srcOrd="0" destOrd="0" presId="urn:microsoft.com/office/officeart/2005/8/layout/hierarchy4"/>
    <dgm:cxn modelId="{B7C7C8EA-D010-4992-974C-E512D7983160}" srcId="{C2B55015-7645-453D-8018-F818BF973DFA}" destId="{AAC05DCA-159E-4DE4-B844-295CA6644CAB}" srcOrd="0" destOrd="0" parTransId="{0A5122FA-D1AD-46F0-BE4A-08AB52F6C720}" sibTransId="{292A216F-F07B-4FAB-A0FD-1B80A6A88001}"/>
    <dgm:cxn modelId="{A54940BD-D26E-434A-845B-7E5E2B6C69C6}" type="presParOf" srcId="{9B904056-25DB-4C7D-8E3D-7BDF650EC901}" destId="{469A4893-933F-4032-B0F7-DA0B17CFB3C5}" srcOrd="0" destOrd="0" presId="urn:microsoft.com/office/officeart/2005/8/layout/hierarchy4"/>
    <dgm:cxn modelId="{EF3D43AA-1DD7-4E61-91FB-F1416F6565A9}" type="presParOf" srcId="{469A4893-933F-4032-B0F7-DA0B17CFB3C5}" destId="{E0E49C7D-EEF8-46AB-8EFC-D88C9C56FC9E}" srcOrd="0" destOrd="0" presId="urn:microsoft.com/office/officeart/2005/8/layout/hierarchy4"/>
    <dgm:cxn modelId="{4A78CE15-134A-4EA8-AB8B-565AB18993BF}" type="presParOf" srcId="{469A4893-933F-4032-B0F7-DA0B17CFB3C5}" destId="{99FF1A26-5302-4787-BC3C-2A0136D69FD4}" srcOrd="1" destOrd="0" presId="urn:microsoft.com/office/officeart/2005/8/layout/hierarchy4"/>
    <dgm:cxn modelId="{A18D7380-49BA-441B-A1DD-A0BFE8BD8AF4}" type="presParOf" srcId="{469A4893-933F-4032-B0F7-DA0B17CFB3C5}" destId="{1FAC027D-9AA1-46F3-B29E-600CA611DC26}" srcOrd="2" destOrd="0" presId="urn:microsoft.com/office/officeart/2005/8/layout/hierarchy4"/>
    <dgm:cxn modelId="{114F1692-64D5-47AD-8B9A-AEA5C81CE0C2}" type="presParOf" srcId="{1FAC027D-9AA1-46F3-B29E-600CA611DC26}" destId="{4A363837-7C79-4696-B76E-E62A428C693B}" srcOrd="0" destOrd="0" presId="urn:microsoft.com/office/officeart/2005/8/layout/hierarchy4"/>
    <dgm:cxn modelId="{13DD7D43-44AE-4B09-A6D2-F53BC5D29A03}" type="presParOf" srcId="{4A363837-7C79-4696-B76E-E62A428C693B}" destId="{5C4ADD53-A422-478B-9383-FBB6C9956DFE}" srcOrd="0" destOrd="0" presId="urn:microsoft.com/office/officeart/2005/8/layout/hierarchy4"/>
    <dgm:cxn modelId="{3CC16D40-E07D-4D4F-945E-68C2BB23153B}" type="presParOf" srcId="{4A363837-7C79-4696-B76E-E62A428C693B}" destId="{9221B8D4-376D-4CCC-A4A1-AF3C76A4E7E8}" srcOrd="1" destOrd="0" presId="urn:microsoft.com/office/officeart/2005/8/layout/hierarchy4"/>
    <dgm:cxn modelId="{1FBAE712-3096-4986-B27A-7E70A4B39577}" type="presParOf" srcId="{4A363837-7C79-4696-B76E-E62A428C693B}" destId="{8553FB0A-BEEA-48EF-896C-9EF4CBD5F6E6}" srcOrd="2" destOrd="0" presId="urn:microsoft.com/office/officeart/2005/8/layout/hierarchy4"/>
    <dgm:cxn modelId="{DA51FE54-20DA-4507-877D-E7269C8971E7}" type="presParOf" srcId="{8553FB0A-BEEA-48EF-896C-9EF4CBD5F6E6}" destId="{2BC3136B-C7D0-4AE3-B37C-D515191ABB06}" srcOrd="0" destOrd="0" presId="urn:microsoft.com/office/officeart/2005/8/layout/hierarchy4"/>
    <dgm:cxn modelId="{FDF59303-1B32-467A-9457-8A9DEA27BF53}" type="presParOf" srcId="{2BC3136B-C7D0-4AE3-B37C-D515191ABB06}" destId="{88207AD8-ADF5-430F-9EEE-611D26A95A90}" srcOrd="0" destOrd="0" presId="urn:microsoft.com/office/officeart/2005/8/layout/hierarchy4"/>
    <dgm:cxn modelId="{BADD1EDE-463A-4CC9-88FC-726A11FD0C28}" type="presParOf" srcId="{2BC3136B-C7D0-4AE3-B37C-D515191ABB06}" destId="{F7121943-E472-449D-84DA-5E0394A3FE1D}" srcOrd="1" destOrd="0" presId="urn:microsoft.com/office/officeart/2005/8/layout/hierarchy4"/>
    <dgm:cxn modelId="{2B6C90ED-8D74-4852-9DAD-D9DE02F6172F}" type="presParOf" srcId="{8553FB0A-BEEA-48EF-896C-9EF4CBD5F6E6}" destId="{207940DF-0F32-44E5-80A4-84EA1DB81379}" srcOrd="1" destOrd="0" presId="urn:microsoft.com/office/officeart/2005/8/layout/hierarchy4"/>
    <dgm:cxn modelId="{26C4FEF6-9950-4535-A3AE-C9DE50E2819C}" type="presParOf" srcId="{8553FB0A-BEEA-48EF-896C-9EF4CBD5F6E6}" destId="{AC187082-8D1C-4BB8-8AB0-104CE44580F9}" srcOrd="2" destOrd="0" presId="urn:microsoft.com/office/officeart/2005/8/layout/hierarchy4"/>
    <dgm:cxn modelId="{0E8AA611-D2B0-4512-B644-62DDF7CBEC9F}" type="presParOf" srcId="{AC187082-8D1C-4BB8-8AB0-104CE44580F9}" destId="{6E798ACC-DE3D-4D74-8F00-AE8A2CEFA821}" srcOrd="0" destOrd="0" presId="urn:microsoft.com/office/officeart/2005/8/layout/hierarchy4"/>
    <dgm:cxn modelId="{3FCC407F-EECC-43C8-9921-E5E5ABCA3316}" type="presParOf" srcId="{AC187082-8D1C-4BB8-8AB0-104CE44580F9}" destId="{37E3B164-3D03-4E18-998B-7825647BE6C6}" srcOrd="1" destOrd="0" presId="urn:microsoft.com/office/officeart/2005/8/layout/hierarchy4"/>
    <dgm:cxn modelId="{96FFED1B-8F68-40F0-94E0-60B126B1D8F9}" type="presParOf" srcId="{8553FB0A-BEEA-48EF-896C-9EF4CBD5F6E6}" destId="{874976E9-857E-4CB3-8AE8-C09E17915592}" srcOrd="3" destOrd="0" presId="urn:microsoft.com/office/officeart/2005/8/layout/hierarchy4"/>
    <dgm:cxn modelId="{9AD30CBB-A8B0-448E-BBA3-1B79C5963FDA}" type="presParOf" srcId="{8553FB0A-BEEA-48EF-896C-9EF4CBD5F6E6}" destId="{C9837F2A-A364-449D-908A-76ECA0FA365F}" srcOrd="4" destOrd="0" presId="urn:microsoft.com/office/officeart/2005/8/layout/hierarchy4"/>
    <dgm:cxn modelId="{E164E875-0EEE-4114-858B-6549224435CD}" type="presParOf" srcId="{C9837F2A-A364-449D-908A-76ECA0FA365F}" destId="{636BA402-5661-41CC-89EA-3CFCCBB4777C}" srcOrd="0" destOrd="0" presId="urn:microsoft.com/office/officeart/2005/8/layout/hierarchy4"/>
    <dgm:cxn modelId="{D01E49EE-11E7-4A83-B3F0-E6C0E4E527D6}" type="presParOf" srcId="{C9837F2A-A364-449D-908A-76ECA0FA365F}" destId="{B3BA8EFA-9A54-436A-A221-6E6D99B9222C}" srcOrd="1" destOrd="0" presId="urn:microsoft.com/office/officeart/2005/8/layout/hierarchy4"/>
    <dgm:cxn modelId="{1FDF5C15-4BEA-4595-A9FE-7AB9CFA17153}" type="presParOf" srcId="{1FAC027D-9AA1-46F3-B29E-600CA611DC26}" destId="{FA7403D8-5CF4-411F-B47A-7B6772EE8DD3}" srcOrd="1" destOrd="0" presId="urn:microsoft.com/office/officeart/2005/8/layout/hierarchy4"/>
    <dgm:cxn modelId="{B2CF75F8-0747-464B-B757-AE69905E09AB}" type="presParOf" srcId="{1FAC027D-9AA1-46F3-B29E-600CA611DC26}" destId="{0EB9AECD-818A-4D48-889C-30C7524CD1EC}" srcOrd="2" destOrd="0" presId="urn:microsoft.com/office/officeart/2005/8/layout/hierarchy4"/>
    <dgm:cxn modelId="{3B97DCEE-72CF-43A3-9ABD-DE8DACF56C22}" type="presParOf" srcId="{0EB9AECD-818A-4D48-889C-30C7524CD1EC}" destId="{D8749ECC-2851-490B-841E-FDCCAE164DFF}" srcOrd="0" destOrd="0" presId="urn:microsoft.com/office/officeart/2005/8/layout/hierarchy4"/>
    <dgm:cxn modelId="{17283BCC-3519-4B76-94D9-C6FC9C06FF41}" type="presParOf" srcId="{0EB9AECD-818A-4D48-889C-30C7524CD1EC}" destId="{4797FEBB-5214-4296-AC43-686F7CA0CB21}" srcOrd="1" destOrd="0" presId="urn:microsoft.com/office/officeart/2005/8/layout/hierarchy4"/>
    <dgm:cxn modelId="{A3FD25DB-A9BE-4CBA-8565-A64455F10725}" type="presParOf" srcId="{0EB9AECD-818A-4D48-889C-30C7524CD1EC}" destId="{8D23D77B-B218-406D-B9B3-63E544F8C3DB}" srcOrd="2" destOrd="0" presId="urn:microsoft.com/office/officeart/2005/8/layout/hierarchy4"/>
    <dgm:cxn modelId="{92D003DA-2B8B-4137-9155-F94FE2698958}" type="presParOf" srcId="{8D23D77B-B218-406D-B9B3-63E544F8C3DB}" destId="{1A49A662-A8E5-4065-ACCE-5890FA823114}" srcOrd="0" destOrd="0" presId="urn:microsoft.com/office/officeart/2005/8/layout/hierarchy4"/>
    <dgm:cxn modelId="{075E18AC-C2CD-4488-BEA0-742E8EAED8FB}" type="presParOf" srcId="{1A49A662-A8E5-4065-ACCE-5890FA823114}" destId="{FE256D26-41A5-42FD-BF7C-367E5EDFB08C}" srcOrd="0" destOrd="0" presId="urn:microsoft.com/office/officeart/2005/8/layout/hierarchy4"/>
    <dgm:cxn modelId="{B398C093-06FE-4480-8194-3DCD6C15D60F}" type="presParOf" srcId="{1A49A662-A8E5-4065-ACCE-5890FA823114}" destId="{9816CBD7-8734-49F0-83BB-ED0E7FAC6EB5}" srcOrd="1" destOrd="0" presId="urn:microsoft.com/office/officeart/2005/8/layout/hierarchy4"/>
    <dgm:cxn modelId="{D2F12B78-414D-4D36-B608-5852BC648D52}" type="presParOf" srcId="{8D23D77B-B218-406D-B9B3-63E544F8C3DB}" destId="{49E6BE36-B181-4576-805F-1DB8077729A9}" srcOrd="1" destOrd="0" presId="urn:microsoft.com/office/officeart/2005/8/layout/hierarchy4"/>
    <dgm:cxn modelId="{94819DF6-0FFC-4539-B901-1CDACDC27591}" type="presParOf" srcId="{8D23D77B-B218-406D-B9B3-63E544F8C3DB}" destId="{3D371EA8-83A9-4954-B177-9A5FC8BE949C}" srcOrd="2" destOrd="0" presId="urn:microsoft.com/office/officeart/2005/8/layout/hierarchy4"/>
    <dgm:cxn modelId="{924291DA-259C-4E60-8288-3326A78B7084}" type="presParOf" srcId="{3D371EA8-83A9-4954-B177-9A5FC8BE949C}" destId="{8F43A249-4541-448F-94D0-365BB4CD55F9}" srcOrd="0" destOrd="0" presId="urn:microsoft.com/office/officeart/2005/8/layout/hierarchy4"/>
    <dgm:cxn modelId="{64E6514B-2F38-4AD6-A311-D9B08055CF78}" type="presParOf" srcId="{3D371EA8-83A9-4954-B177-9A5FC8BE949C}" destId="{21272EE7-E270-4CF0-BCC7-CAC9D6948186}" srcOrd="1" destOrd="0" presId="urn:microsoft.com/office/officeart/2005/8/layout/hierarchy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D0BF70F-3BD1-426F-BC75-9EBAFFDA25F3}" type="doc">
      <dgm:prSet loTypeId="urn:microsoft.com/office/officeart/2005/8/layout/target2" loCatId="relationship" qsTypeId="urn:microsoft.com/office/officeart/2005/8/quickstyle/simple1" qsCatId="simple" csTypeId="urn:microsoft.com/office/officeart/2005/8/colors/accent1_2" csCatId="accent1" phldr="1"/>
      <dgm:spPr/>
      <dgm:t>
        <a:bodyPr/>
        <a:lstStyle/>
        <a:p>
          <a:endParaRPr lang="ru-RU"/>
        </a:p>
      </dgm:t>
    </dgm:pt>
    <dgm:pt modelId="{0A6FFB14-6135-430B-8042-00E33DA8036B}">
      <dgm:prSet phldrT="[Текст]"/>
      <dgm:spPr/>
      <dgm:t>
        <a:bodyPr/>
        <a:lstStyle/>
        <a:p>
          <a:pPr algn="ctr"/>
          <a:r>
            <a:rPr lang="ru-RU">
              <a:latin typeface="Times New Roman" panose="02020603050405020304" pitchFamily="18" charset="0"/>
              <a:cs typeface="Times New Roman" panose="02020603050405020304" pitchFamily="18" charset="0"/>
            </a:rPr>
            <a:t>Стратегический</a:t>
          </a:r>
        </a:p>
      </dgm:t>
    </dgm:pt>
    <dgm:pt modelId="{100D7125-474B-4651-991A-5A42DEF8D891}" type="parTrans" cxnId="{B0EFB32A-55BE-4DA6-8CD8-79C52FFBF0D6}">
      <dgm:prSet/>
      <dgm:spPr/>
      <dgm:t>
        <a:bodyPr/>
        <a:lstStyle/>
        <a:p>
          <a:pPr algn="ctr"/>
          <a:endParaRPr lang="ru-RU">
            <a:latin typeface="Times New Roman" panose="02020603050405020304" pitchFamily="18" charset="0"/>
            <a:cs typeface="Times New Roman" panose="02020603050405020304" pitchFamily="18" charset="0"/>
          </a:endParaRPr>
        </a:p>
      </dgm:t>
    </dgm:pt>
    <dgm:pt modelId="{43A75AD9-FC9E-41D6-9A8B-DB671B077129}" type="sibTrans" cxnId="{B0EFB32A-55BE-4DA6-8CD8-79C52FFBF0D6}">
      <dgm:prSet/>
      <dgm:spPr/>
      <dgm:t>
        <a:bodyPr/>
        <a:lstStyle/>
        <a:p>
          <a:pPr algn="ctr"/>
          <a:endParaRPr lang="ru-RU">
            <a:latin typeface="Times New Roman" panose="02020603050405020304" pitchFamily="18" charset="0"/>
            <a:cs typeface="Times New Roman" panose="02020603050405020304" pitchFamily="18" charset="0"/>
          </a:endParaRPr>
        </a:p>
      </dgm:t>
    </dgm:pt>
    <dgm:pt modelId="{EC04AA7F-125A-4465-AC45-56EA51A69C18}">
      <dgm:prSet phldrT="[Текст]" custT="1"/>
      <dgm:spPr/>
      <dgm:t>
        <a:bodyPr/>
        <a:lstStyle/>
        <a:p>
          <a:pPr algn="ctr"/>
          <a:r>
            <a:rPr lang="ru-RU" sz="1000">
              <a:latin typeface="Times New Roman" panose="02020603050405020304" pitchFamily="18" charset="0"/>
              <a:cs typeface="Times New Roman" panose="02020603050405020304" pitchFamily="18" charset="0"/>
            </a:rPr>
            <a:t>Проектиро вание компетен ций</a:t>
          </a:r>
        </a:p>
      </dgm:t>
    </dgm:pt>
    <dgm:pt modelId="{C250D419-5D37-4A2E-89B5-54F58F44CB7A}" type="parTrans" cxnId="{62A822EC-5ED7-474C-9DB0-E0A05B56100B}">
      <dgm:prSet/>
      <dgm:spPr/>
      <dgm:t>
        <a:bodyPr/>
        <a:lstStyle/>
        <a:p>
          <a:pPr algn="ctr"/>
          <a:endParaRPr lang="ru-RU">
            <a:latin typeface="Times New Roman" panose="02020603050405020304" pitchFamily="18" charset="0"/>
            <a:cs typeface="Times New Roman" panose="02020603050405020304" pitchFamily="18" charset="0"/>
          </a:endParaRPr>
        </a:p>
      </dgm:t>
    </dgm:pt>
    <dgm:pt modelId="{3A25E244-8999-4408-AECA-98FBF3555D97}" type="sibTrans" cxnId="{62A822EC-5ED7-474C-9DB0-E0A05B56100B}">
      <dgm:prSet/>
      <dgm:spPr/>
      <dgm:t>
        <a:bodyPr/>
        <a:lstStyle/>
        <a:p>
          <a:pPr algn="ctr"/>
          <a:endParaRPr lang="ru-RU">
            <a:latin typeface="Times New Roman" panose="02020603050405020304" pitchFamily="18" charset="0"/>
            <a:cs typeface="Times New Roman" panose="02020603050405020304" pitchFamily="18" charset="0"/>
          </a:endParaRPr>
        </a:p>
      </dgm:t>
    </dgm:pt>
    <dgm:pt modelId="{A401DF8F-7AF7-4C02-8442-9D7BBC8F90FD}">
      <dgm:prSet phldrT="[Текст]"/>
      <dgm:spPr/>
      <dgm:t>
        <a:bodyPr/>
        <a:lstStyle/>
        <a:p>
          <a:pPr algn="ctr"/>
          <a:r>
            <a:rPr lang="ru-RU">
              <a:latin typeface="Times New Roman" panose="02020603050405020304" pitchFamily="18" charset="0"/>
              <a:cs typeface="Times New Roman" panose="02020603050405020304" pitchFamily="18" charset="0"/>
            </a:rPr>
            <a:t>Организационный</a:t>
          </a:r>
        </a:p>
      </dgm:t>
    </dgm:pt>
    <dgm:pt modelId="{7FB91037-9DB5-477A-8C2D-90D5257D9905}" type="parTrans" cxnId="{A3A84D7E-67BB-48D1-88BA-208B0FC986BC}">
      <dgm:prSet/>
      <dgm:spPr/>
      <dgm:t>
        <a:bodyPr/>
        <a:lstStyle/>
        <a:p>
          <a:pPr algn="ctr"/>
          <a:endParaRPr lang="ru-RU">
            <a:latin typeface="Times New Roman" panose="02020603050405020304" pitchFamily="18" charset="0"/>
            <a:cs typeface="Times New Roman" panose="02020603050405020304" pitchFamily="18" charset="0"/>
          </a:endParaRPr>
        </a:p>
      </dgm:t>
    </dgm:pt>
    <dgm:pt modelId="{32434B7D-0621-4C84-923D-936A676F1B23}" type="sibTrans" cxnId="{A3A84D7E-67BB-48D1-88BA-208B0FC986BC}">
      <dgm:prSet/>
      <dgm:spPr/>
      <dgm:t>
        <a:bodyPr/>
        <a:lstStyle/>
        <a:p>
          <a:pPr algn="ctr"/>
          <a:endParaRPr lang="ru-RU">
            <a:latin typeface="Times New Roman" panose="02020603050405020304" pitchFamily="18" charset="0"/>
            <a:cs typeface="Times New Roman" panose="02020603050405020304" pitchFamily="18" charset="0"/>
          </a:endParaRPr>
        </a:p>
      </dgm:t>
    </dgm:pt>
    <dgm:pt modelId="{4E717A5D-24F1-46FC-A79C-8BB24B1C61C2}">
      <dgm:prSet phldrT="[Текст]" custT="1"/>
      <dgm:spPr/>
      <dgm:t>
        <a:bodyPr/>
        <a:lstStyle/>
        <a:p>
          <a:pPr algn="ctr"/>
          <a:r>
            <a:rPr lang="en-US" sz="900">
              <a:latin typeface="Times New Roman" panose="02020603050405020304" pitchFamily="18" charset="0"/>
              <a:cs typeface="Times New Roman" panose="02020603050405020304" pitchFamily="18" charset="0"/>
            </a:rPr>
            <a:t>HR-</a:t>
          </a:r>
          <a:r>
            <a:rPr lang="kk-KZ" sz="900">
              <a:latin typeface="Times New Roman" panose="02020603050405020304" pitchFamily="18" charset="0"/>
              <a:cs typeface="Times New Roman" panose="02020603050405020304" pitchFamily="18" charset="0"/>
            </a:rPr>
            <a:t>практики нового типа: мотивация, эксперимент, обучение через проекты</a:t>
          </a:r>
          <a:endParaRPr lang="ru-RU" sz="900">
            <a:latin typeface="Times New Roman" panose="02020603050405020304" pitchFamily="18" charset="0"/>
            <a:cs typeface="Times New Roman" panose="02020603050405020304" pitchFamily="18" charset="0"/>
          </a:endParaRPr>
        </a:p>
      </dgm:t>
    </dgm:pt>
    <dgm:pt modelId="{1F5457D5-5050-4F68-8A13-EC26EB79CB36}" type="parTrans" cxnId="{1DC86DDF-9007-4B63-9B1E-D70A5C9B9E5E}">
      <dgm:prSet/>
      <dgm:spPr/>
      <dgm:t>
        <a:bodyPr/>
        <a:lstStyle/>
        <a:p>
          <a:pPr algn="ctr"/>
          <a:endParaRPr lang="ru-RU">
            <a:latin typeface="Times New Roman" panose="02020603050405020304" pitchFamily="18" charset="0"/>
            <a:cs typeface="Times New Roman" panose="02020603050405020304" pitchFamily="18" charset="0"/>
          </a:endParaRPr>
        </a:p>
      </dgm:t>
    </dgm:pt>
    <dgm:pt modelId="{46861E4D-EC41-407C-883A-89062E9A422D}" type="sibTrans" cxnId="{1DC86DDF-9007-4B63-9B1E-D70A5C9B9E5E}">
      <dgm:prSet/>
      <dgm:spPr/>
      <dgm:t>
        <a:bodyPr/>
        <a:lstStyle/>
        <a:p>
          <a:pPr algn="ctr"/>
          <a:endParaRPr lang="ru-RU">
            <a:latin typeface="Times New Roman" panose="02020603050405020304" pitchFamily="18" charset="0"/>
            <a:cs typeface="Times New Roman" panose="02020603050405020304" pitchFamily="18" charset="0"/>
          </a:endParaRPr>
        </a:p>
      </dgm:t>
    </dgm:pt>
    <dgm:pt modelId="{9702ABC2-A21F-49F7-8F49-E6E90A79F4BF}">
      <dgm:prSet phldrT="[Текст]"/>
      <dgm:spPr/>
      <dgm:t>
        <a:bodyPr/>
        <a:lstStyle/>
        <a:p>
          <a:pPr algn="ctr"/>
          <a:r>
            <a:rPr lang="kk-KZ">
              <a:latin typeface="Times New Roman" panose="02020603050405020304" pitchFamily="18" charset="0"/>
              <a:cs typeface="Times New Roman" panose="02020603050405020304" pitchFamily="18" charset="0"/>
            </a:rPr>
            <a:t>Индивидуальный</a:t>
          </a:r>
          <a:endParaRPr lang="ru-RU">
            <a:latin typeface="Times New Roman" panose="02020603050405020304" pitchFamily="18" charset="0"/>
            <a:cs typeface="Times New Roman" panose="02020603050405020304" pitchFamily="18" charset="0"/>
          </a:endParaRPr>
        </a:p>
      </dgm:t>
    </dgm:pt>
    <dgm:pt modelId="{B425F274-FC9A-48FB-B8C1-7991CCE80EBB}" type="parTrans" cxnId="{51CAFE15-497D-4606-A4A8-52CE75682770}">
      <dgm:prSet/>
      <dgm:spPr/>
      <dgm:t>
        <a:bodyPr/>
        <a:lstStyle/>
        <a:p>
          <a:pPr algn="ctr"/>
          <a:endParaRPr lang="ru-RU">
            <a:latin typeface="Times New Roman" panose="02020603050405020304" pitchFamily="18" charset="0"/>
            <a:cs typeface="Times New Roman" panose="02020603050405020304" pitchFamily="18" charset="0"/>
          </a:endParaRPr>
        </a:p>
      </dgm:t>
    </dgm:pt>
    <dgm:pt modelId="{A5DD05AF-2AAB-430C-AF7F-536F1FC72869}" type="sibTrans" cxnId="{51CAFE15-497D-4606-A4A8-52CE75682770}">
      <dgm:prSet/>
      <dgm:spPr/>
      <dgm:t>
        <a:bodyPr/>
        <a:lstStyle/>
        <a:p>
          <a:pPr algn="ctr"/>
          <a:endParaRPr lang="ru-RU">
            <a:latin typeface="Times New Roman" panose="02020603050405020304" pitchFamily="18" charset="0"/>
            <a:cs typeface="Times New Roman" panose="02020603050405020304" pitchFamily="18" charset="0"/>
          </a:endParaRPr>
        </a:p>
      </dgm:t>
    </dgm:pt>
    <dgm:pt modelId="{EF1EAB4F-6879-4BEB-87E7-03FF7F31A6DC}">
      <dgm:prSet phldrT="[Текст]" custT="1"/>
      <dgm:spPr/>
      <dgm:t>
        <a:bodyPr/>
        <a:lstStyle/>
        <a:p>
          <a:pPr algn="ctr"/>
          <a:r>
            <a:rPr lang="kk-KZ" sz="1000">
              <a:latin typeface="Times New Roman" panose="02020603050405020304" pitchFamily="18" charset="0"/>
              <a:cs typeface="Times New Roman" panose="02020603050405020304" pitchFamily="18" charset="0"/>
            </a:rPr>
            <a:t>Инициатива, командная креативность, риск-толерантность</a:t>
          </a:r>
          <a:endParaRPr lang="ru-RU" sz="1000">
            <a:latin typeface="Times New Roman" panose="02020603050405020304" pitchFamily="18" charset="0"/>
            <a:cs typeface="Times New Roman" panose="02020603050405020304" pitchFamily="18" charset="0"/>
          </a:endParaRPr>
        </a:p>
      </dgm:t>
    </dgm:pt>
    <dgm:pt modelId="{F5B0882C-4BAF-4D86-B463-76DCB865E3B4}" type="parTrans" cxnId="{CF9FE696-CB37-4091-99A3-F51E90E9949A}">
      <dgm:prSet/>
      <dgm:spPr/>
      <dgm:t>
        <a:bodyPr/>
        <a:lstStyle/>
        <a:p>
          <a:pPr algn="ctr"/>
          <a:endParaRPr lang="ru-RU">
            <a:latin typeface="Times New Roman" panose="02020603050405020304" pitchFamily="18" charset="0"/>
            <a:cs typeface="Times New Roman" panose="02020603050405020304" pitchFamily="18" charset="0"/>
          </a:endParaRPr>
        </a:p>
      </dgm:t>
    </dgm:pt>
    <dgm:pt modelId="{74FE0C4A-F6E2-4202-A267-200666AF64F5}" type="sibTrans" cxnId="{CF9FE696-CB37-4091-99A3-F51E90E9949A}">
      <dgm:prSet/>
      <dgm:spPr/>
      <dgm:t>
        <a:bodyPr/>
        <a:lstStyle/>
        <a:p>
          <a:pPr algn="ctr"/>
          <a:endParaRPr lang="ru-RU">
            <a:latin typeface="Times New Roman" panose="02020603050405020304" pitchFamily="18" charset="0"/>
            <a:cs typeface="Times New Roman" panose="02020603050405020304" pitchFamily="18" charset="0"/>
          </a:endParaRPr>
        </a:p>
      </dgm:t>
    </dgm:pt>
    <dgm:pt modelId="{479F944C-B81C-499C-940D-91A271245D32}">
      <dgm:prSet phldrT="[Текст]" phldr="1"/>
      <dgm:spPr/>
      <dgm:t>
        <a:bodyPr/>
        <a:lstStyle/>
        <a:p>
          <a:pPr algn="ctr"/>
          <a:endParaRPr lang="ru-RU">
            <a:latin typeface="Times New Roman" panose="02020603050405020304" pitchFamily="18" charset="0"/>
            <a:cs typeface="Times New Roman" panose="02020603050405020304" pitchFamily="18" charset="0"/>
          </a:endParaRPr>
        </a:p>
      </dgm:t>
    </dgm:pt>
    <dgm:pt modelId="{717A1E47-DFCA-4FB1-AA31-14FB3801CA09}" type="parTrans" cxnId="{A1C06CE7-4683-4491-8E3B-2F267CB05E79}">
      <dgm:prSet/>
      <dgm:spPr/>
      <dgm:t>
        <a:bodyPr/>
        <a:lstStyle/>
        <a:p>
          <a:pPr algn="ctr"/>
          <a:endParaRPr lang="ru-RU">
            <a:latin typeface="Times New Roman" panose="02020603050405020304" pitchFamily="18" charset="0"/>
            <a:cs typeface="Times New Roman" panose="02020603050405020304" pitchFamily="18" charset="0"/>
          </a:endParaRPr>
        </a:p>
      </dgm:t>
    </dgm:pt>
    <dgm:pt modelId="{0BC69869-A8F6-482D-B4F8-242B88588923}" type="sibTrans" cxnId="{A1C06CE7-4683-4491-8E3B-2F267CB05E79}">
      <dgm:prSet/>
      <dgm:spPr/>
      <dgm:t>
        <a:bodyPr/>
        <a:lstStyle/>
        <a:p>
          <a:pPr algn="ctr"/>
          <a:endParaRPr lang="ru-RU">
            <a:latin typeface="Times New Roman" panose="02020603050405020304" pitchFamily="18" charset="0"/>
            <a:cs typeface="Times New Roman" panose="02020603050405020304" pitchFamily="18" charset="0"/>
          </a:endParaRPr>
        </a:p>
      </dgm:t>
    </dgm:pt>
    <dgm:pt modelId="{4BD519CC-6C1A-41A4-87E0-D5A09A1C8C05}">
      <dgm:prSet phldrT="[Текст]" phldr="1"/>
      <dgm:spPr/>
      <dgm:t>
        <a:bodyPr/>
        <a:lstStyle/>
        <a:p>
          <a:pPr algn="ctr"/>
          <a:endParaRPr lang="ru-RU">
            <a:latin typeface="Times New Roman" panose="02020603050405020304" pitchFamily="18" charset="0"/>
            <a:cs typeface="Times New Roman" panose="02020603050405020304" pitchFamily="18" charset="0"/>
          </a:endParaRPr>
        </a:p>
      </dgm:t>
    </dgm:pt>
    <dgm:pt modelId="{BCF42CE2-98B4-4382-B27F-CAF106AA5C01}" type="parTrans" cxnId="{27339CD5-F88E-4AB7-8E39-373C3731C574}">
      <dgm:prSet/>
      <dgm:spPr/>
      <dgm:t>
        <a:bodyPr/>
        <a:lstStyle/>
        <a:p>
          <a:pPr algn="ctr"/>
          <a:endParaRPr lang="ru-RU">
            <a:latin typeface="Times New Roman" panose="02020603050405020304" pitchFamily="18" charset="0"/>
            <a:cs typeface="Times New Roman" panose="02020603050405020304" pitchFamily="18" charset="0"/>
          </a:endParaRPr>
        </a:p>
      </dgm:t>
    </dgm:pt>
    <dgm:pt modelId="{CE4D2A7A-85B9-45A4-A2F1-9C1CF53017C4}" type="sibTrans" cxnId="{27339CD5-F88E-4AB7-8E39-373C3731C574}">
      <dgm:prSet/>
      <dgm:spPr/>
      <dgm:t>
        <a:bodyPr/>
        <a:lstStyle/>
        <a:p>
          <a:pPr algn="ctr"/>
          <a:endParaRPr lang="ru-RU">
            <a:latin typeface="Times New Roman" panose="02020603050405020304" pitchFamily="18" charset="0"/>
            <a:cs typeface="Times New Roman" panose="02020603050405020304" pitchFamily="18" charset="0"/>
          </a:endParaRPr>
        </a:p>
      </dgm:t>
    </dgm:pt>
    <dgm:pt modelId="{CA064867-FCA7-42D8-9E07-CE73679E0CB0}" type="pres">
      <dgm:prSet presAssocID="{7D0BF70F-3BD1-426F-BC75-9EBAFFDA25F3}" presName="Name0" presStyleCnt="0">
        <dgm:presLayoutVars>
          <dgm:chMax val="3"/>
          <dgm:chPref val="1"/>
          <dgm:dir/>
          <dgm:animLvl val="lvl"/>
          <dgm:resizeHandles/>
        </dgm:presLayoutVars>
      </dgm:prSet>
      <dgm:spPr/>
      <dgm:t>
        <a:bodyPr/>
        <a:lstStyle/>
        <a:p>
          <a:endParaRPr lang="ru-RU"/>
        </a:p>
      </dgm:t>
    </dgm:pt>
    <dgm:pt modelId="{3BADC653-86A8-41FC-BF86-C2E3246D96B8}" type="pres">
      <dgm:prSet presAssocID="{7D0BF70F-3BD1-426F-BC75-9EBAFFDA25F3}" presName="outerBox" presStyleCnt="0"/>
      <dgm:spPr/>
      <dgm:t>
        <a:bodyPr/>
        <a:lstStyle/>
        <a:p>
          <a:endParaRPr lang="ru-RU"/>
        </a:p>
      </dgm:t>
    </dgm:pt>
    <dgm:pt modelId="{F9B7BAEC-401E-4827-BA67-DD2EC5030ECF}" type="pres">
      <dgm:prSet presAssocID="{7D0BF70F-3BD1-426F-BC75-9EBAFFDA25F3}" presName="outerBoxParent" presStyleLbl="node1" presStyleIdx="0" presStyleCnt="3" custLinFactNeighborX="-189"/>
      <dgm:spPr/>
      <dgm:t>
        <a:bodyPr/>
        <a:lstStyle/>
        <a:p>
          <a:endParaRPr lang="ru-RU"/>
        </a:p>
      </dgm:t>
    </dgm:pt>
    <dgm:pt modelId="{38027F38-C85C-4856-A66D-26C1A61BB1C0}" type="pres">
      <dgm:prSet presAssocID="{7D0BF70F-3BD1-426F-BC75-9EBAFFDA25F3}" presName="outerBoxChildren" presStyleCnt="0"/>
      <dgm:spPr/>
      <dgm:t>
        <a:bodyPr/>
        <a:lstStyle/>
        <a:p>
          <a:endParaRPr lang="ru-RU"/>
        </a:p>
      </dgm:t>
    </dgm:pt>
    <dgm:pt modelId="{3DAD0778-85B3-4DD5-8421-E0BACDA74CFD}" type="pres">
      <dgm:prSet presAssocID="{EC04AA7F-125A-4465-AC45-56EA51A69C18}" presName="oChild" presStyleLbl="fgAcc1" presStyleIdx="0" presStyleCnt="3">
        <dgm:presLayoutVars>
          <dgm:bulletEnabled val="1"/>
        </dgm:presLayoutVars>
      </dgm:prSet>
      <dgm:spPr/>
      <dgm:t>
        <a:bodyPr/>
        <a:lstStyle/>
        <a:p>
          <a:endParaRPr lang="ru-RU"/>
        </a:p>
      </dgm:t>
    </dgm:pt>
    <dgm:pt modelId="{335C2B1E-CB19-4234-BAEA-99AF0A69EA94}" type="pres">
      <dgm:prSet presAssocID="{7D0BF70F-3BD1-426F-BC75-9EBAFFDA25F3}" presName="middleBox" presStyleCnt="0"/>
      <dgm:spPr/>
      <dgm:t>
        <a:bodyPr/>
        <a:lstStyle/>
        <a:p>
          <a:endParaRPr lang="ru-RU"/>
        </a:p>
      </dgm:t>
    </dgm:pt>
    <dgm:pt modelId="{5EEC8D1B-BB7B-4381-8813-A5D66EF9D994}" type="pres">
      <dgm:prSet presAssocID="{7D0BF70F-3BD1-426F-BC75-9EBAFFDA25F3}" presName="middleBoxParent" presStyleLbl="node1" presStyleIdx="1" presStyleCnt="3"/>
      <dgm:spPr/>
      <dgm:t>
        <a:bodyPr/>
        <a:lstStyle/>
        <a:p>
          <a:endParaRPr lang="ru-RU"/>
        </a:p>
      </dgm:t>
    </dgm:pt>
    <dgm:pt modelId="{4DBD09FC-B766-4E79-862C-D8FD79E15FE2}" type="pres">
      <dgm:prSet presAssocID="{7D0BF70F-3BD1-426F-BC75-9EBAFFDA25F3}" presName="middleBoxChildren" presStyleCnt="0"/>
      <dgm:spPr/>
      <dgm:t>
        <a:bodyPr/>
        <a:lstStyle/>
        <a:p>
          <a:endParaRPr lang="ru-RU"/>
        </a:p>
      </dgm:t>
    </dgm:pt>
    <dgm:pt modelId="{7341B9ED-6C8C-446F-9671-9D6F30B7B064}" type="pres">
      <dgm:prSet presAssocID="{4E717A5D-24F1-46FC-A79C-8BB24B1C61C2}" presName="mChild" presStyleLbl="fgAcc1" presStyleIdx="1" presStyleCnt="3" custScaleY="132622">
        <dgm:presLayoutVars>
          <dgm:bulletEnabled val="1"/>
        </dgm:presLayoutVars>
      </dgm:prSet>
      <dgm:spPr/>
      <dgm:t>
        <a:bodyPr/>
        <a:lstStyle/>
        <a:p>
          <a:endParaRPr lang="ru-RU"/>
        </a:p>
      </dgm:t>
    </dgm:pt>
    <dgm:pt modelId="{0BA413C9-4513-4FCD-A01E-BB0EE1C5585F}" type="pres">
      <dgm:prSet presAssocID="{7D0BF70F-3BD1-426F-BC75-9EBAFFDA25F3}" presName="centerBox" presStyleCnt="0"/>
      <dgm:spPr/>
      <dgm:t>
        <a:bodyPr/>
        <a:lstStyle/>
        <a:p>
          <a:endParaRPr lang="ru-RU"/>
        </a:p>
      </dgm:t>
    </dgm:pt>
    <dgm:pt modelId="{7803CB73-1E94-41E9-B65C-EA3F4D8CA025}" type="pres">
      <dgm:prSet presAssocID="{7D0BF70F-3BD1-426F-BC75-9EBAFFDA25F3}" presName="centerBoxParent" presStyleLbl="node1" presStyleIdx="2" presStyleCnt="3"/>
      <dgm:spPr/>
      <dgm:t>
        <a:bodyPr/>
        <a:lstStyle/>
        <a:p>
          <a:endParaRPr lang="ru-RU"/>
        </a:p>
      </dgm:t>
    </dgm:pt>
    <dgm:pt modelId="{DE7F3809-E32C-4924-9463-67CD950B3F09}" type="pres">
      <dgm:prSet presAssocID="{7D0BF70F-3BD1-426F-BC75-9EBAFFDA25F3}" presName="centerBoxChildren" presStyleCnt="0"/>
      <dgm:spPr/>
      <dgm:t>
        <a:bodyPr/>
        <a:lstStyle/>
        <a:p>
          <a:endParaRPr lang="ru-RU"/>
        </a:p>
      </dgm:t>
    </dgm:pt>
    <dgm:pt modelId="{FAD28505-CAE2-4A12-94C5-AD848872B9B1}" type="pres">
      <dgm:prSet presAssocID="{EF1EAB4F-6879-4BEB-87E7-03FF7F31A6DC}" presName="cChild" presStyleLbl="fgAcc1" presStyleIdx="2" presStyleCnt="3">
        <dgm:presLayoutVars>
          <dgm:bulletEnabled val="1"/>
        </dgm:presLayoutVars>
      </dgm:prSet>
      <dgm:spPr/>
      <dgm:t>
        <a:bodyPr/>
        <a:lstStyle/>
        <a:p>
          <a:endParaRPr lang="ru-RU"/>
        </a:p>
      </dgm:t>
    </dgm:pt>
  </dgm:ptLst>
  <dgm:cxnLst>
    <dgm:cxn modelId="{CF9FE696-CB37-4091-99A3-F51E90E9949A}" srcId="{9702ABC2-A21F-49F7-8F49-E6E90A79F4BF}" destId="{EF1EAB4F-6879-4BEB-87E7-03FF7F31A6DC}" srcOrd="0" destOrd="0" parTransId="{F5B0882C-4BAF-4D86-B463-76DCB865E3B4}" sibTransId="{74FE0C4A-F6E2-4202-A267-200666AF64F5}"/>
    <dgm:cxn modelId="{8DF545A2-0F9B-4FEB-A7FC-8DCE1AB2F9C6}" type="presOf" srcId="{9702ABC2-A21F-49F7-8F49-E6E90A79F4BF}" destId="{7803CB73-1E94-41E9-B65C-EA3F4D8CA025}" srcOrd="0" destOrd="0" presId="urn:microsoft.com/office/officeart/2005/8/layout/target2"/>
    <dgm:cxn modelId="{A6BB5646-1CEC-4245-B197-7B0595CD2EC2}" type="presOf" srcId="{4E717A5D-24F1-46FC-A79C-8BB24B1C61C2}" destId="{7341B9ED-6C8C-446F-9671-9D6F30B7B064}" srcOrd="0" destOrd="0" presId="urn:microsoft.com/office/officeart/2005/8/layout/target2"/>
    <dgm:cxn modelId="{B0EFB32A-55BE-4DA6-8CD8-79C52FFBF0D6}" srcId="{7D0BF70F-3BD1-426F-BC75-9EBAFFDA25F3}" destId="{0A6FFB14-6135-430B-8042-00E33DA8036B}" srcOrd="0" destOrd="0" parTransId="{100D7125-474B-4651-991A-5A42DEF8D891}" sibTransId="{43A75AD9-FC9E-41D6-9A8B-DB671B077129}"/>
    <dgm:cxn modelId="{27339CD5-F88E-4AB7-8E39-373C3731C574}" srcId="{479F944C-B81C-499C-940D-91A271245D32}" destId="{4BD519CC-6C1A-41A4-87E0-D5A09A1C8C05}" srcOrd="0" destOrd="0" parTransId="{BCF42CE2-98B4-4382-B27F-CAF106AA5C01}" sibTransId="{CE4D2A7A-85B9-45A4-A2F1-9C1CF53017C4}"/>
    <dgm:cxn modelId="{192891D3-30AD-409A-BD19-E01CA19BB382}" type="presOf" srcId="{7D0BF70F-3BD1-426F-BC75-9EBAFFDA25F3}" destId="{CA064867-FCA7-42D8-9E07-CE73679E0CB0}" srcOrd="0" destOrd="0" presId="urn:microsoft.com/office/officeart/2005/8/layout/target2"/>
    <dgm:cxn modelId="{A1C06CE7-4683-4491-8E3B-2F267CB05E79}" srcId="{7D0BF70F-3BD1-426F-BC75-9EBAFFDA25F3}" destId="{479F944C-B81C-499C-940D-91A271245D32}" srcOrd="3" destOrd="0" parTransId="{717A1E47-DFCA-4FB1-AA31-14FB3801CA09}" sibTransId="{0BC69869-A8F6-482D-B4F8-242B88588923}"/>
    <dgm:cxn modelId="{62A822EC-5ED7-474C-9DB0-E0A05B56100B}" srcId="{0A6FFB14-6135-430B-8042-00E33DA8036B}" destId="{EC04AA7F-125A-4465-AC45-56EA51A69C18}" srcOrd="0" destOrd="0" parTransId="{C250D419-5D37-4A2E-89B5-54F58F44CB7A}" sibTransId="{3A25E244-8999-4408-AECA-98FBF3555D97}"/>
    <dgm:cxn modelId="{1DC86DDF-9007-4B63-9B1E-D70A5C9B9E5E}" srcId="{A401DF8F-7AF7-4C02-8442-9D7BBC8F90FD}" destId="{4E717A5D-24F1-46FC-A79C-8BB24B1C61C2}" srcOrd="0" destOrd="0" parTransId="{1F5457D5-5050-4F68-8A13-EC26EB79CB36}" sibTransId="{46861E4D-EC41-407C-883A-89062E9A422D}"/>
    <dgm:cxn modelId="{51CAFE15-497D-4606-A4A8-52CE75682770}" srcId="{7D0BF70F-3BD1-426F-BC75-9EBAFFDA25F3}" destId="{9702ABC2-A21F-49F7-8F49-E6E90A79F4BF}" srcOrd="2" destOrd="0" parTransId="{B425F274-FC9A-48FB-B8C1-7991CCE80EBB}" sibTransId="{A5DD05AF-2AAB-430C-AF7F-536F1FC72869}"/>
    <dgm:cxn modelId="{974824EF-58F3-454A-87D1-F9DD2FE46D8C}" type="presOf" srcId="{EF1EAB4F-6879-4BEB-87E7-03FF7F31A6DC}" destId="{FAD28505-CAE2-4A12-94C5-AD848872B9B1}" srcOrd="0" destOrd="0" presId="urn:microsoft.com/office/officeart/2005/8/layout/target2"/>
    <dgm:cxn modelId="{A3A84D7E-67BB-48D1-88BA-208B0FC986BC}" srcId="{7D0BF70F-3BD1-426F-BC75-9EBAFFDA25F3}" destId="{A401DF8F-7AF7-4C02-8442-9D7BBC8F90FD}" srcOrd="1" destOrd="0" parTransId="{7FB91037-9DB5-477A-8C2D-90D5257D9905}" sibTransId="{32434B7D-0621-4C84-923D-936A676F1B23}"/>
    <dgm:cxn modelId="{0DFB7D4C-E633-4705-A56D-CCE89AC82551}" type="presOf" srcId="{EC04AA7F-125A-4465-AC45-56EA51A69C18}" destId="{3DAD0778-85B3-4DD5-8421-E0BACDA74CFD}" srcOrd="0" destOrd="0" presId="urn:microsoft.com/office/officeart/2005/8/layout/target2"/>
    <dgm:cxn modelId="{9A1C445A-845F-4CE1-8EC0-2E001A9D6E84}" type="presOf" srcId="{0A6FFB14-6135-430B-8042-00E33DA8036B}" destId="{F9B7BAEC-401E-4827-BA67-DD2EC5030ECF}" srcOrd="0" destOrd="0" presId="urn:microsoft.com/office/officeart/2005/8/layout/target2"/>
    <dgm:cxn modelId="{FE1DBD61-D011-483F-9604-45BF0489367E}" type="presOf" srcId="{A401DF8F-7AF7-4C02-8442-9D7BBC8F90FD}" destId="{5EEC8D1B-BB7B-4381-8813-A5D66EF9D994}" srcOrd="0" destOrd="0" presId="urn:microsoft.com/office/officeart/2005/8/layout/target2"/>
    <dgm:cxn modelId="{D091295E-A11A-4C05-A8FB-506C186FDF50}" type="presParOf" srcId="{CA064867-FCA7-42D8-9E07-CE73679E0CB0}" destId="{3BADC653-86A8-41FC-BF86-C2E3246D96B8}" srcOrd="0" destOrd="0" presId="urn:microsoft.com/office/officeart/2005/8/layout/target2"/>
    <dgm:cxn modelId="{012DB07A-886C-4D88-9C3A-B8ED7FC16AAF}" type="presParOf" srcId="{3BADC653-86A8-41FC-BF86-C2E3246D96B8}" destId="{F9B7BAEC-401E-4827-BA67-DD2EC5030ECF}" srcOrd="0" destOrd="0" presId="urn:microsoft.com/office/officeart/2005/8/layout/target2"/>
    <dgm:cxn modelId="{996E51F4-2667-48A8-9664-6E713B56D867}" type="presParOf" srcId="{3BADC653-86A8-41FC-BF86-C2E3246D96B8}" destId="{38027F38-C85C-4856-A66D-26C1A61BB1C0}" srcOrd="1" destOrd="0" presId="urn:microsoft.com/office/officeart/2005/8/layout/target2"/>
    <dgm:cxn modelId="{1B763105-4EB3-430E-BD71-3301E02ED390}" type="presParOf" srcId="{38027F38-C85C-4856-A66D-26C1A61BB1C0}" destId="{3DAD0778-85B3-4DD5-8421-E0BACDA74CFD}" srcOrd="0" destOrd="0" presId="urn:microsoft.com/office/officeart/2005/8/layout/target2"/>
    <dgm:cxn modelId="{857FE975-908A-46F8-9102-1F1D167B669E}" type="presParOf" srcId="{CA064867-FCA7-42D8-9E07-CE73679E0CB0}" destId="{335C2B1E-CB19-4234-BAEA-99AF0A69EA94}" srcOrd="1" destOrd="0" presId="urn:microsoft.com/office/officeart/2005/8/layout/target2"/>
    <dgm:cxn modelId="{8D131319-7FC3-4716-BAEE-640978777ED8}" type="presParOf" srcId="{335C2B1E-CB19-4234-BAEA-99AF0A69EA94}" destId="{5EEC8D1B-BB7B-4381-8813-A5D66EF9D994}" srcOrd="0" destOrd="0" presId="urn:microsoft.com/office/officeart/2005/8/layout/target2"/>
    <dgm:cxn modelId="{E120248D-9A40-45A4-9A7E-8200935974AE}" type="presParOf" srcId="{335C2B1E-CB19-4234-BAEA-99AF0A69EA94}" destId="{4DBD09FC-B766-4E79-862C-D8FD79E15FE2}" srcOrd="1" destOrd="0" presId="urn:microsoft.com/office/officeart/2005/8/layout/target2"/>
    <dgm:cxn modelId="{AA77F5BA-0116-4B8A-8365-5009B6195A2A}" type="presParOf" srcId="{4DBD09FC-B766-4E79-862C-D8FD79E15FE2}" destId="{7341B9ED-6C8C-446F-9671-9D6F30B7B064}" srcOrd="0" destOrd="0" presId="urn:microsoft.com/office/officeart/2005/8/layout/target2"/>
    <dgm:cxn modelId="{0ACFBFE1-4768-4082-80EA-20124EA75A24}" type="presParOf" srcId="{CA064867-FCA7-42D8-9E07-CE73679E0CB0}" destId="{0BA413C9-4513-4FCD-A01E-BB0EE1C5585F}" srcOrd="2" destOrd="0" presId="urn:microsoft.com/office/officeart/2005/8/layout/target2"/>
    <dgm:cxn modelId="{9D742E6D-2684-4846-97BF-208B93076A55}" type="presParOf" srcId="{0BA413C9-4513-4FCD-A01E-BB0EE1C5585F}" destId="{7803CB73-1E94-41E9-B65C-EA3F4D8CA025}" srcOrd="0" destOrd="0" presId="urn:microsoft.com/office/officeart/2005/8/layout/target2"/>
    <dgm:cxn modelId="{220C3B2E-BB26-4D2C-9A98-8D0E5A421258}" type="presParOf" srcId="{0BA413C9-4513-4FCD-A01E-BB0EE1C5585F}" destId="{DE7F3809-E32C-4924-9463-67CD950B3F09}" srcOrd="1" destOrd="0" presId="urn:microsoft.com/office/officeart/2005/8/layout/target2"/>
    <dgm:cxn modelId="{741D36E7-A0E4-435F-A260-2707534B57AB}" type="presParOf" srcId="{DE7F3809-E32C-4924-9463-67CD950B3F09}" destId="{FAD28505-CAE2-4A12-94C5-AD848872B9B1}" srcOrd="0" destOrd="0" presId="urn:microsoft.com/office/officeart/2005/8/layout/target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30ED75D-C001-45E6-9EA5-7F9F57DB31FF}" type="doc">
      <dgm:prSet loTypeId="urn:microsoft.com/office/officeart/2005/8/layout/cycle4" loCatId="cycle" qsTypeId="urn:microsoft.com/office/officeart/2005/8/quickstyle/simple1" qsCatId="simple" csTypeId="urn:microsoft.com/office/officeart/2005/8/colors/colorful5" csCatId="colorful" phldr="1"/>
      <dgm:spPr/>
      <dgm:t>
        <a:bodyPr/>
        <a:lstStyle/>
        <a:p>
          <a:endParaRPr lang="ru-RU"/>
        </a:p>
      </dgm:t>
    </dgm:pt>
    <dgm:pt modelId="{40D6C031-16F9-483C-A864-0215D0810EC8}">
      <dgm:prSet phldrT="[Текст]" custT="1"/>
      <dgm:spPr/>
      <dgm:t>
        <a:bodyPr/>
        <a:lstStyle/>
        <a:p>
          <a:r>
            <a:rPr lang="ru-RU" sz="1100">
              <a:latin typeface="Times New Roman" panose="02020603050405020304" pitchFamily="18" charset="0"/>
              <a:cs typeface="Times New Roman" panose="02020603050405020304" pitchFamily="18" charset="0"/>
            </a:rPr>
            <a:t>Модуль диагностики</a:t>
          </a:r>
        </a:p>
      </dgm:t>
    </dgm:pt>
    <dgm:pt modelId="{90DC67F5-D26A-4E7A-9734-4D14B0F0C601}" type="parTrans" cxnId="{0B004E45-8C87-4339-B9BF-C0184C304317}">
      <dgm:prSet/>
      <dgm:spPr/>
      <dgm:t>
        <a:bodyPr/>
        <a:lstStyle/>
        <a:p>
          <a:endParaRPr lang="ru-RU" sz="1100">
            <a:latin typeface="Times New Roman" panose="02020603050405020304" pitchFamily="18" charset="0"/>
            <a:cs typeface="Times New Roman" panose="02020603050405020304" pitchFamily="18" charset="0"/>
          </a:endParaRPr>
        </a:p>
      </dgm:t>
    </dgm:pt>
    <dgm:pt modelId="{EF97E644-BE49-4CFF-AF66-428D7009A4D1}" type="sibTrans" cxnId="{0B004E45-8C87-4339-B9BF-C0184C304317}">
      <dgm:prSet/>
      <dgm:spPr/>
      <dgm:t>
        <a:bodyPr/>
        <a:lstStyle/>
        <a:p>
          <a:endParaRPr lang="ru-RU" sz="1100">
            <a:latin typeface="Times New Roman" panose="02020603050405020304" pitchFamily="18" charset="0"/>
            <a:cs typeface="Times New Roman" panose="02020603050405020304" pitchFamily="18" charset="0"/>
          </a:endParaRPr>
        </a:p>
      </dgm:t>
    </dgm:pt>
    <dgm:pt modelId="{C171144A-8B46-4C65-96B4-09F4D2F27CDA}">
      <dgm:prSet phldrT="[Текст]" custT="1"/>
      <dgm:spPr/>
      <dgm:t>
        <a:bodyPr/>
        <a:lstStyle/>
        <a:p>
          <a:r>
            <a:rPr lang="ru-RU" sz="1100">
              <a:latin typeface="Times New Roman" panose="02020603050405020304" pitchFamily="18" charset="0"/>
              <a:cs typeface="Times New Roman" panose="02020603050405020304" pitchFamily="18" charset="0"/>
            </a:rPr>
            <a:t>сбор анкетных данных, нормализация, расчет индекса ИП</a:t>
          </a:r>
        </a:p>
      </dgm:t>
    </dgm:pt>
    <dgm:pt modelId="{8612BE3E-4D63-42EE-8A01-A17AA79A261C}" type="parTrans" cxnId="{1B31AA85-71CB-4451-9D4D-F2816357B3F3}">
      <dgm:prSet/>
      <dgm:spPr/>
      <dgm:t>
        <a:bodyPr/>
        <a:lstStyle/>
        <a:p>
          <a:endParaRPr lang="ru-RU" sz="1100">
            <a:latin typeface="Times New Roman" panose="02020603050405020304" pitchFamily="18" charset="0"/>
            <a:cs typeface="Times New Roman" panose="02020603050405020304" pitchFamily="18" charset="0"/>
          </a:endParaRPr>
        </a:p>
      </dgm:t>
    </dgm:pt>
    <dgm:pt modelId="{9C3F712B-2607-4C43-B6FE-C1529EEB2340}" type="sibTrans" cxnId="{1B31AA85-71CB-4451-9D4D-F2816357B3F3}">
      <dgm:prSet/>
      <dgm:spPr/>
      <dgm:t>
        <a:bodyPr/>
        <a:lstStyle/>
        <a:p>
          <a:endParaRPr lang="ru-RU" sz="1100">
            <a:latin typeface="Times New Roman" panose="02020603050405020304" pitchFamily="18" charset="0"/>
            <a:cs typeface="Times New Roman" panose="02020603050405020304" pitchFamily="18" charset="0"/>
          </a:endParaRPr>
        </a:p>
      </dgm:t>
    </dgm:pt>
    <dgm:pt modelId="{7911E1BE-893E-450A-A620-5B0948F71488}">
      <dgm:prSet phldrT="[Текст]" custT="1"/>
      <dgm:spPr/>
      <dgm:t>
        <a:bodyPr/>
        <a:lstStyle/>
        <a:p>
          <a:r>
            <a:rPr lang="ru-RU" sz="1100">
              <a:latin typeface="Times New Roman" panose="02020603050405020304" pitchFamily="18" charset="0"/>
              <a:cs typeface="Times New Roman" panose="02020603050405020304" pitchFamily="18" charset="0"/>
            </a:rPr>
            <a:t>Модуль визуализации</a:t>
          </a:r>
        </a:p>
      </dgm:t>
    </dgm:pt>
    <dgm:pt modelId="{29F51801-05D8-48E9-B675-11F71CFF3BA4}" type="parTrans" cxnId="{61BD0965-8D52-4658-AF56-FFBA0CFFA1AA}">
      <dgm:prSet/>
      <dgm:spPr/>
      <dgm:t>
        <a:bodyPr/>
        <a:lstStyle/>
        <a:p>
          <a:endParaRPr lang="ru-RU" sz="1100">
            <a:latin typeface="Times New Roman" panose="02020603050405020304" pitchFamily="18" charset="0"/>
            <a:cs typeface="Times New Roman" panose="02020603050405020304" pitchFamily="18" charset="0"/>
          </a:endParaRPr>
        </a:p>
      </dgm:t>
    </dgm:pt>
    <dgm:pt modelId="{951E8800-5B0A-4706-9C9C-1A3FD7D33E77}" type="sibTrans" cxnId="{61BD0965-8D52-4658-AF56-FFBA0CFFA1AA}">
      <dgm:prSet/>
      <dgm:spPr/>
      <dgm:t>
        <a:bodyPr/>
        <a:lstStyle/>
        <a:p>
          <a:endParaRPr lang="ru-RU" sz="1100">
            <a:latin typeface="Times New Roman" panose="02020603050405020304" pitchFamily="18" charset="0"/>
            <a:cs typeface="Times New Roman" panose="02020603050405020304" pitchFamily="18" charset="0"/>
          </a:endParaRPr>
        </a:p>
      </dgm:t>
    </dgm:pt>
    <dgm:pt modelId="{BF11FB20-FC94-422B-8DDA-E1AEF8B7C3B7}">
      <dgm:prSet phldrT="[Текст]" custT="1"/>
      <dgm:spPr/>
      <dgm:t>
        <a:bodyPr/>
        <a:lstStyle/>
        <a:p>
          <a:r>
            <a:rPr lang="ru-RU" sz="1100">
              <a:latin typeface="Times New Roman" panose="02020603050405020304" pitchFamily="18" charset="0"/>
              <a:cs typeface="Times New Roman" panose="02020603050405020304" pitchFamily="18" charset="0"/>
            </a:rPr>
            <a:t>построение тепловых карт, ресурсного профиля предприятия и интегральной карты ИП</a:t>
          </a:r>
        </a:p>
      </dgm:t>
    </dgm:pt>
    <dgm:pt modelId="{4A93018C-5716-4637-8863-76A118E6006F}" type="parTrans" cxnId="{BDF9D7E4-369A-44BF-B51D-C61D6AA3BA07}">
      <dgm:prSet/>
      <dgm:spPr/>
      <dgm:t>
        <a:bodyPr/>
        <a:lstStyle/>
        <a:p>
          <a:endParaRPr lang="ru-RU" sz="1100">
            <a:latin typeface="Times New Roman" panose="02020603050405020304" pitchFamily="18" charset="0"/>
            <a:cs typeface="Times New Roman" panose="02020603050405020304" pitchFamily="18" charset="0"/>
          </a:endParaRPr>
        </a:p>
      </dgm:t>
    </dgm:pt>
    <dgm:pt modelId="{F17E6E57-7C6C-41D6-BE93-27558E08AAA7}" type="sibTrans" cxnId="{BDF9D7E4-369A-44BF-B51D-C61D6AA3BA07}">
      <dgm:prSet/>
      <dgm:spPr/>
      <dgm:t>
        <a:bodyPr/>
        <a:lstStyle/>
        <a:p>
          <a:endParaRPr lang="ru-RU" sz="1100">
            <a:latin typeface="Times New Roman" panose="02020603050405020304" pitchFamily="18" charset="0"/>
            <a:cs typeface="Times New Roman" panose="02020603050405020304" pitchFamily="18" charset="0"/>
          </a:endParaRPr>
        </a:p>
      </dgm:t>
    </dgm:pt>
    <dgm:pt modelId="{968AC224-0C9D-4656-8B41-FFBEB31C1786}">
      <dgm:prSet phldrT="[Текст]" custT="1"/>
      <dgm:spPr/>
      <dgm:t>
        <a:bodyPr/>
        <a:lstStyle/>
        <a:p>
          <a:r>
            <a:rPr lang="ru-RU" sz="1100">
              <a:latin typeface="Times New Roman" panose="02020603050405020304" pitchFamily="18" charset="0"/>
              <a:cs typeface="Times New Roman" panose="02020603050405020304" pitchFamily="18" charset="0"/>
            </a:rPr>
            <a:t>Модуль генерации рекоменда-ций</a:t>
          </a:r>
        </a:p>
      </dgm:t>
    </dgm:pt>
    <dgm:pt modelId="{2A85A4ED-379C-48CA-848B-20BD34C42DA8}" type="parTrans" cxnId="{9627AD35-84E9-4A23-A02B-069F993B5984}">
      <dgm:prSet/>
      <dgm:spPr/>
      <dgm:t>
        <a:bodyPr/>
        <a:lstStyle/>
        <a:p>
          <a:endParaRPr lang="ru-RU" sz="1100">
            <a:latin typeface="Times New Roman" panose="02020603050405020304" pitchFamily="18" charset="0"/>
            <a:cs typeface="Times New Roman" panose="02020603050405020304" pitchFamily="18" charset="0"/>
          </a:endParaRPr>
        </a:p>
      </dgm:t>
    </dgm:pt>
    <dgm:pt modelId="{DD550F91-B46F-45BE-9B17-131EEB8834B9}" type="sibTrans" cxnId="{9627AD35-84E9-4A23-A02B-069F993B5984}">
      <dgm:prSet/>
      <dgm:spPr/>
      <dgm:t>
        <a:bodyPr/>
        <a:lstStyle/>
        <a:p>
          <a:endParaRPr lang="ru-RU" sz="1100">
            <a:latin typeface="Times New Roman" panose="02020603050405020304" pitchFamily="18" charset="0"/>
            <a:cs typeface="Times New Roman" panose="02020603050405020304" pitchFamily="18" charset="0"/>
          </a:endParaRPr>
        </a:p>
      </dgm:t>
    </dgm:pt>
    <dgm:pt modelId="{7083CDEA-0BE8-4AFB-A8FE-D991A33CE542}">
      <dgm:prSet phldrT="[Текст]" custT="1"/>
      <dgm:spPr/>
      <dgm:t>
        <a:bodyPr/>
        <a:lstStyle/>
        <a:p>
          <a:r>
            <a:rPr lang="ru-RU" sz="1100">
              <a:latin typeface="Times New Roman" panose="02020603050405020304" pitchFamily="18" charset="0"/>
              <a:cs typeface="Times New Roman" panose="02020603050405020304" pitchFamily="18" charset="0"/>
            </a:rPr>
            <a:t>формирование адресных мер по ресурсным и процессным компонентам</a:t>
          </a:r>
        </a:p>
      </dgm:t>
    </dgm:pt>
    <dgm:pt modelId="{FA9ECFDD-29DD-4355-82BA-BBA43A1D6467}" type="parTrans" cxnId="{1C7E3333-221B-41E0-B26C-90B7555BC49E}">
      <dgm:prSet/>
      <dgm:spPr/>
      <dgm:t>
        <a:bodyPr/>
        <a:lstStyle/>
        <a:p>
          <a:endParaRPr lang="ru-RU" sz="1100">
            <a:latin typeface="Times New Roman" panose="02020603050405020304" pitchFamily="18" charset="0"/>
            <a:cs typeface="Times New Roman" panose="02020603050405020304" pitchFamily="18" charset="0"/>
          </a:endParaRPr>
        </a:p>
      </dgm:t>
    </dgm:pt>
    <dgm:pt modelId="{50E59F99-635A-4785-A79E-ECB6A53B7C36}" type="sibTrans" cxnId="{1C7E3333-221B-41E0-B26C-90B7555BC49E}">
      <dgm:prSet/>
      <dgm:spPr/>
      <dgm:t>
        <a:bodyPr/>
        <a:lstStyle/>
        <a:p>
          <a:endParaRPr lang="ru-RU" sz="1100">
            <a:latin typeface="Times New Roman" panose="02020603050405020304" pitchFamily="18" charset="0"/>
            <a:cs typeface="Times New Roman" panose="02020603050405020304" pitchFamily="18" charset="0"/>
          </a:endParaRPr>
        </a:p>
      </dgm:t>
    </dgm:pt>
    <dgm:pt modelId="{26AF1897-F40F-476E-8432-A0692DFEE88A}">
      <dgm:prSet phldrT="[Текст]" custT="1"/>
      <dgm:spPr/>
      <dgm:t>
        <a:bodyPr/>
        <a:lstStyle/>
        <a:p>
          <a:r>
            <a:rPr lang="ru-RU" sz="1100">
              <a:latin typeface="Times New Roman" panose="02020603050405020304" pitchFamily="18" charset="0"/>
              <a:cs typeface="Times New Roman" panose="02020603050405020304" pitchFamily="18" charset="0"/>
            </a:rPr>
            <a:t>Модуль мониторинга</a:t>
          </a:r>
        </a:p>
      </dgm:t>
    </dgm:pt>
    <dgm:pt modelId="{7893A8AF-44CC-4D2A-B710-CB60D887E09A}" type="parTrans" cxnId="{3371647D-1DF6-43D4-A032-B1D3CE7233E8}">
      <dgm:prSet/>
      <dgm:spPr/>
      <dgm:t>
        <a:bodyPr/>
        <a:lstStyle/>
        <a:p>
          <a:endParaRPr lang="ru-RU" sz="1100">
            <a:latin typeface="Times New Roman" panose="02020603050405020304" pitchFamily="18" charset="0"/>
            <a:cs typeface="Times New Roman" panose="02020603050405020304" pitchFamily="18" charset="0"/>
          </a:endParaRPr>
        </a:p>
      </dgm:t>
    </dgm:pt>
    <dgm:pt modelId="{A4E2E1B8-3E85-4D60-849C-55129C7046F8}" type="sibTrans" cxnId="{3371647D-1DF6-43D4-A032-B1D3CE7233E8}">
      <dgm:prSet/>
      <dgm:spPr/>
      <dgm:t>
        <a:bodyPr/>
        <a:lstStyle/>
        <a:p>
          <a:endParaRPr lang="ru-RU" sz="1100">
            <a:latin typeface="Times New Roman" panose="02020603050405020304" pitchFamily="18" charset="0"/>
            <a:cs typeface="Times New Roman" panose="02020603050405020304" pitchFamily="18" charset="0"/>
          </a:endParaRPr>
        </a:p>
      </dgm:t>
    </dgm:pt>
    <dgm:pt modelId="{82D40A71-C5EA-44DE-A69D-649371A3EFED}">
      <dgm:prSet phldrT="[Текст]" custT="1"/>
      <dgm:spPr/>
      <dgm:t>
        <a:bodyPr/>
        <a:lstStyle/>
        <a:p>
          <a:r>
            <a:rPr lang="ru-RU" sz="1100">
              <a:latin typeface="Times New Roman" panose="02020603050405020304" pitchFamily="18" charset="0"/>
              <a:cs typeface="Times New Roman" panose="02020603050405020304" pitchFamily="18" charset="0"/>
            </a:rPr>
            <a:t>отслеживание динамики индекса ИП во времени, сравнение по регионам и отраслям</a:t>
          </a:r>
        </a:p>
      </dgm:t>
    </dgm:pt>
    <dgm:pt modelId="{2B69FD8A-CF74-430A-9E91-89AE851DFA5B}" type="parTrans" cxnId="{5C36C2DC-E7D0-4CD1-85C7-83ECD2E85714}">
      <dgm:prSet/>
      <dgm:spPr/>
      <dgm:t>
        <a:bodyPr/>
        <a:lstStyle/>
        <a:p>
          <a:endParaRPr lang="ru-RU" sz="1100">
            <a:latin typeface="Times New Roman" panose="02020603050405020304" pitchFamily="18" charset="0"/>
            <a:cs typeface="Times New Roman" panose="02020603050405020304" pitchFamily="18" charset="0"/>
          </a:endParaRPr>
        </a:p>
      </dgm:t>
    </dgm:pt>
    <dgm:pt modelId="{282AD829-C575-48DC-A626-92AD882A7152}" type="sibTrans" cxnId="{5C36C2DC-E7D0-4CD1-85C7-83ECD2E85714}">
      <dgm:prSet/>
      <dgm:spPr/>
      <dgm:t>
        <a:bodyPr/>
        <a:lstStyle/>
        <a:p>
          <a:endParaRPr lang="ru-RU" sz="1100">
            <a:latin typeface="Times New Roman" panose="02020603050405020304" pitchFamily="18" charset="0"/>
            <a:cs typeface="Times New Roman" panose="02020603050405020304" pitchFamily="18" charset="0"/>
          </a:endParaRPr>
        </a:p>
      </dgm:t>
    </dgm:pt>
    <dgm:pt modelId="{669A6138-BB5B-4F05-AC73-410AB9A43EF5}" type="pres">
      <dgm:prSet presAssocID="{F30ED75D-C001-45E6-9EA5-7F9F57DB31FF}" presName="cycleMatrixDiagram" presStyleCnt="0">
        <dgm:presLayoutVars>
          <dgm:chMax val="1"/>
          <dgm:dir/>
          <dgm:animLvl val="lvl"/>
          <dgm:resizeHandles val="exact"/>
        </dgm:presLayoutVars>
      </dgm:prSet>
      <dgm:spPr/>
      <dgm:t>
        <a:bodyPr/>
        <a:lstStyle/>
        <a:p>
          <a:endParaRPr lang="ru-RU"/>
        </a:p>
      </dgm:t>
    </dgm:pt>
    <dgm:pt modelId="{AA71DECA-3DCB-4A86-9113-08BF68E57531}" type="pres">
      <dgm:prSet presAssocID="{F30ED75D-C001-45E6-9EA5-7F9F57DB31FF}" presName="children" presStyleCnt="0"/>
      <dgm:spPr/>
    </dgm:pt>
    <dgm:pt modelId="{267C42B9-1781-4A75-8E16-BA688F83202B}" type="pres">
      <dgm:prSet presAssocID="{F30ED75D-C001-45E6-9EA5-7F9F57DB31FF}" presName="child1group" presStyleCnt="0"/>
      <dgm:spPr/>
    </dgm:pt>
    <dgm:pt modelId="{9EAB7B7D-1ED9-40E0-9739-78C559A8A9A1}" type="pres">
      <dgm:prSet presAssocID="{F30ED75D-C001-45E6-9EA5-7F9F57DB31FF}" presName="child1" presStyleLbl="bgAcc1" presStyleIdx="0" presStyleCnt="4" custScaleX="168868" custLinFactNeighborX="-21957"/>
      <dgm:spPr/>
      <dgm:t>
        <a:bodyPr/>
        <a:lstStyle/>
        <a:p>
          <a:endParaRPr lang="ru-RU"/>
        </a:p>
      </dgm:t>
    </dgm:pt>
    <dgm:pt modelId="{8F0C279F-40FD-4ED1-9C40-382521F3BA4A}" type="pres">
      <dgm:prSet presAssocID="{F30ED75D-C001-45E6-9EA5-7F9F57DB31FF}" presName="child1Text" presStyleLbl="bgAcc1" presStyleIdx="0" presStyleCnt="4">
        <dgm:presLayoutVars>
          <dgm:bulletEnabled val="1"/>
        </dgm:presLayoutVars>
      </dgm:prSet>
      <dgm:spPr/>
      <dgm:t>
        <a:bodyPr/>
        <a:lstStyle/>
        <a:p>
          <a:endParaRPr lang="ru-RU"/>
        </a:p>
      </dgm:t>
    </dgm:pt>
    <dgm:pt modelId="{E91D39EC-AF7C-4222-8BBE-5706040BD15A}" type="pres">
      <dgm:prSet presAssocID="{F30ED75D-C001-45E6-9EA5-7F9F57DB31FF}" presName="child2group" presStyleCnt="0"/>
      <dgm:spPr/>
    </dgm:pt>
    <dgm:pt modelId="{6827801B-E98E-4B21-B8EB-DAC53E44A2F5}" type="pres">
      <dgm:prSet presAssocID="{F30ED75D-C001-45E6-9EA5-7F9F57DB31FF}" presName="child2" presStyleLbl="bgAcc1" presStyleIdx="1" presStyleCnt="4" custScaleX="168868" custLinFactNeighborX="21957"/>
      <dgm:spPr/>
      <dgm:t>
        <a:bodyPr/>
        <a:lstStyle/>
        <a:p>
          <a:endParaRPr lang="ru-RU"/>
        </a:p>
      </dgm:t>
    </dgm:pt>
    <dgm:pt modelId="{E54DF96E-1676-47C8-A451-6C645DBFFA15}" type="pres">
      <dgm:prSet presAssocID="{F30ED75D-C001-45E6-9EA5-7F9F57DB31FF}" presName="child2Text" presStyleLbl="bgAcc1" presStyleIdx="1" presStyleCnt="4">
        <dgm:presLayoutVars>
          <dgm:bulletEnabled val="1"/>
        </dgm:presLayoutVars>
      </dgm:prSet>
      <dgm:spPr/>
      <dgm:t>
        <a:bodyPr/>
        <a:lstStyle/>
        <a:p>
          <a:endParaRPr lang="ru-RU"/>
        </a:p>
      </dgm:t>
    </dgm:pt>
    <dgm:pt modelId="{2CB3412F-5946-4007-BB1A-792AA64B7A29}" type="pres">
      <dgm:prSet presAssocID="{F30ED75D-C001-45E6-9EA5-7F9F57DB31FF}" presName="child3group" presStyleCnt="0"/>
      <dgm:spPr/>
    </dgm:pt>
    <dgm:pt modelId="{83DEE5A7-B601-43FB-AA3D-D148C18A00C9}" type="pres">
      <dgm:prSet presAssocID="{F30ED75D-C001-45E6-9EA5-7F9F57DB31FF}" presName="child3" presStyleLbl="bgAcc1" presStyleIdx="2" presStyleCnt="4" custScaleX="168868" custLinFactNeighborX="21957"/>
      <dgm:spPr/>
      <dgm:t>
        <a:bodyPr/>
        <a:lstStyle/>
        <a:p>
          <a:endParaRPr lang="ru-RU"/>
        </a:p>
      </dgm:t>
    </dgm:pt>
    <dgm:pt modelId="{8521E483-EB4C-4DAE-9078-3D17F7F3FC1C}" type="pres">
      <dgm:prSet presAssocID="{F30ED75D-C001-45E6-9EA5-7F9F57DB31FF}" presName="child3Text" presStyleLbl="bgAcc1" presStyleIdx="2" presStyleCnt="4">
        <dgm:presLayoutVars>
          <dgm:bulletEnabled val="1"/>
        </dgm:presLayoutVars>
      </dgm:prSet>
      <dgm:spPr/>
      <dgm:t>
        <a:bodyPr/>
        <a:lstStyle/>
        <a:p>
          <a:endParaRPr lang="ru-RU"/>
        </a:p>
      </dgm:t>
    </dgm:pt>
    <dgm:pt modelId="{70D742CF-E9C9-4D7E-9FB2-6F7AE4F709AE}" type="pres">
      <dgm:prSet presAssocID="{F30ED75D-C001-45E6-9EA5-7F9F57DB31FF}" presName="child4group" presStyleCnt="0"/>
      <dgm:spPr/>
    </dgm:pt>
    <dgm:pt modelId="{2DE800F1-A9DB-4604-909F-55CA5BFD8F0D}" type="pres">
      <dgm:prSet presAssocID="{F30ED75D-C001-45E6-9EA5-7F9F57DB31FF}" presName="child4" presStyleLbl="bgAcc1" presStyleIdx="3" presStyleCnt="4" custScaleX="168868" custLinFactNeighborX="-21957"/>
      <dgm:spPr/>
      <dgm:t>
        <a:bodyPr/>
        <a:lstStyle/>
        <a:p>
          <a:endParaRPr lang="ru-RU"/>
        </a:p>
      </dgm:t>
    </dgm:pt>
    <dgm:pt modelId="{06F679E8-022E-41AD-A152-53E352960536}" type="pres">
      <dgm:prSet presAssocID="{F30ED75D-C001-45E6-9EA5-7F9F57DB31FF}" presName="child4Text" presStyleLbl="bgAcc1" presStyleIdx="3" presStyleCnt="4">
        <dgm:presLayoutVars>
          <dgm:bulletEnabled val="1"/>
        </dgm:presLayoutVars>
      </dgm:prSet>
      <dgm:spPr/>
      <dgm:t>
        <a:bodyPr/>
        <a:lstStyle/>
        <a:p>
          <a:endParaRPr lang="ru-RU"/>
        </a:p>
      </dgm:t>
    </dgm:pt>
    <dgm:pt modelId="{4D54E579-7659-410E-B7DC-A390FA4ADC2A}" type="pres">
      <dgm:prSet presAssocID="{F30ED75D-C001-45E6-9EA5-7F9F57DB31FF}" presName="childPlaceholder" presStyleCnt="0"/>
      <dgm:spPr/>
    </dgm:pt>
    <dgm:pt modelId="{2C941574-38C3-4407-951D-F1E77CF61318}" type="pres">
      <dgm:prSet presAssocID="{F30ED75D-C001-45E6-9EA5-7F9F57DB31FF}" presName="circle" presStyleCnt="0"/>
      <dgm:spPr/>
    </dgm:pt>
    <dgm:pt modelId="{13CFAD60-3079-4119-A020-B6A56CAD544E}" type="pres">
      <dgm:prSet presAssocID="{F30ED75D-C001-45E6-9EA5-7F9F57DB31FF}" presName="quadrant1" presStyleLbl="node1" presStyleIdx="0" presStyleCnt="4">
        <dgm:presLayoutVars>
          <dgm:chMax val="1"/>
          <dgm:bulletEnabled val="1"/>
        </dgm:presLayoutVars>
      </dgm:prSet>
      <dgm:spPr/>
      <dgm:t>
        <a:bodyPr/>
        <a:lstStyle/>
        <a:p>
          <a:endParaRPr lang="ru-RU"/>
        </a:p>
      </dgm:t>
    </dgm:pt>
    <dgm:pt modelId="{3FA22BB1-2AF9-48A4-A75B-1CB754C3DC87}" type="pres">
      <dgm:prSet presAssocID="{F30ED75D-C001-45E6-9EA5-7F9F57DB31FF}" presName="quadrant2" presStyleLbl="node1" presStyleIdx="1" presStyleCnt="4">
        <dgm:presLayoutVars>
          <dgm:chMax val="1"/>
          <dgm:bulletEnabled val="1"/>
        </dgm:presLayoutVars>
      </dgm:prSet>
      <dgm:spPr/>
      <dgm:t>
        <a:bodyPr/>
        <a:lstStyle/>
        <a:p>
          <a:endParaRPr lang="ru-RU"/>
        </a:p>
      </dgm:t>
    </dgm:pt>
    <dgm:pt modelId="{A4831E96-F700-4BE8-A3E4-DF3BA99D90EB}" type="pres">
      <dgm:prSet presAssocID="{F30ED75D-C001-45E6-9EA5-7F9F57DB31FF}" presName="quadrant3" presStyleLbl="node1" presStyleIdx="2" presStyleCnt="4">
        <dgm:presLayoutVars>
          <dgm:chMax val="1"/>
          <dgm:bulletEnabled val="1"/>
        </dgm:presLayoutVars>
      </dgm:prSet>
      <dgm:spPr/>
      <dgm:t>
        <a:bodyPr/>
        <a:lstStyle/>
        <a:p>
          <a:endParaRPr lang="ru-RU"/>
        </a:p>
      </dgm:t>
    </dgm:pt>
    <dgm:pt modelId="{58F625F9-CAEA-47E6-900A-A11FAA637155}" type="pres">
      <dgm:prSet presAssocID="{F30ED75D-C001-45E6-9EA5-7F9F57DB31FF}" presName="quadrant4" presStyleLbl="node1" presStyleIdx="3" presStyleCnt="4">
        <dgm:presLayoutVars>
          <dgm:chMax val="1"/>
          <dgm:bulletEnabled val="1"/>
        </dgm:presLayoutVars>
      </dgm:prSet>
      <dgm:spPr/>
      <dgm:t>
        <a:bodyPr/>
        <a:lstStyle/>
        <a:p>
          <a:endParaRPr lang="ru-RU"/>
        </a:p>
      </dgm:t>
    </dgm:pt>
    <dgm:pt modelId="{30ABDAF4-1134-492B-8EC4-57D2F98A1845}" type="pres">
      <dgm:prSet presAssocID="{F30ED75D-C001-45E6-9EA5-7F9F57DB31FF}" presName="quadrantPlaceholder" presStyleCnt="0"/>
      <dgm:spPr/>
    </dgm:pt>
    <dgm:pt modelId="{BB42C874-3632-42F7-8758-72DADD210B07}" type="pres">
      <dgm:prSet presAssocID="{F30ED75D-C001-45E6-9EA5-7F9F57DB31FF}" presName="center1" presStyleLbl="fgShp" presStyleIdx="0" presStyleCnt="2"/>
      <dgm:spPr>
        <a:solidFill>
          <a:srgbClr val="FF0000"/>
        </a:solidFill>
      </dgm:spPr>
    </dgm:pt>
    <dgm:pt modelId="{C972450A-D3FB-47B9-86B6-1C58A1F84EFE}" type="pres">
      <dgm:prSet presAssocID="{F30ED75D-C001-45E6-9EA5-7F9F57DB31FF}" presName="center2" presStyleLbl="fgShp" presStyleIdx="1" presStyleCnt="2"/>
      <dgm:spPr>
        <a:solidFill>
          <a:srgbClr val="FF0000"/>
        </a:solidFill>
      </dgm:spPr>
    </dgm:pt>
  </dgm:ptLst>
  <dgm:cxnLst>
    <dgm:cxn modelId="{5C36C2DC-E7D0-4CD1-85C7-83ECD2E85714}" srcId="{26AF1897-F40F-476E-8432-A0692DFEE88A}" destId="{82D40A71-C5EA-44DE-A69D-649371A3EFED}" srcOrd="0" destOrd="0" parTransId="{2B69FD8A-CF74-430A-9E91-89AE851DFA5B}" sibTransId="{282AD829-C575-48DC-A626-92AD882A7152}"/>
    <dgm:cxn modelId="{B17218EE-97BD-4CF5-A4B0-0C8FAF708F00}" type="presOf" srcId="{C171144A-8B46-4C65-96B4-09F4D2F27CDA}" destId="{9EAB7B7D-1ED9-40E0-9739-78C559A8A9A1}" srcOrd="0" destOrd="0" presId="urn:microsoft.com/office/officeart/2005/8/layout/cycle4"/>
    <dgm:cxn modelId="{AF1F0556-4717-4314-A87F-AB9EAC372EDC}" type="presOf" srcId="{BF11FB20-FC94-422B-8DDA-E1AEF8B7C3B7}" destId="{6827801B-E98E-4B21-B8EB-DAC53E44A2F5}" srcOrd="0" destOrd="0" presId="urn:microsoft.com/office/officeart/2005/8/layout/cycle4"/>
    <dgm:cxn modelId="{B7E23114-B1B5-474F-B6E5-99B91FB18430}" type="presOf" srcId="{7911E1BE-893E-450A-A620-5B0948F71488}" destId="{3FA22BB1-2AF9-48A4-A75B-1CB754C3DC87}" srcOrd="0" destOrd="0" presId="urn:microsoft.com/office/officeart/2005/8/layout/cycle4"/>
    <dgm:cxn modelId="{626CB64F-BF19-498E-AC78-8D20168420F0}" type="presOf" srcId="{BF11FB20-FC94-422B-8DDA-E1AEF8B7C3B7}" destId="{E54DF96E-1676-47C8-A451-6C645DBFFA15}" srcOrd="1" destOrd="0" presId="urn:microsoft.com/office/officeart/2005/8/layout/cycle4"/>
    <dgm:cxn modelId="{3371647D-1DF6-43D4-A032-B1D3CE7233E8}" srcId="{F30ED75D-C001-45E6-9EA5-7F9F57DB31FF}" destId="{26AF1897-F40F-476E-8432-A0692DFEE88A}" srcOrd="3" destOrd="0" parTransId="{7893A8AF-44CC-4D2A-B710-CB60D887E09A}" sibTransId="{A4E2E1B8-3E85-4D60-849C-55129C7046F8}"/>
    <dgm:cxn modelId="{BDF9D7E4-369A-44BF-B51D-C61D6AA3BA07}" srcId="{7911E1BE-893E-450A-A620-5B0948F71488}" destId="{BF11FB20-FC94-422B-8DDA-E1AEF8B7C3B7}" srcOrd="0" destOrd="0" parTransId="{4A93018C-5716-4637-8863-76A118E6006F}" sibTransId="{F17E6E57-7C6C-41D6-BE93-27558E08AAA7}"/>
    <dgm:cxn modelId="{1C7E3333-221B-41E0-B26C-90B7555BC49E}" srcId="{968AC224-0C9D-4656-8B41-FFBEB31C1786}" destId="{7083CDEA-0BE8-4AFB-A8FE-D991A33CE542}" srcOrd="0" destOrd="0" parTransId="{FA9ECFDD-29DD-4355-82BA-BBA43A1D6467}" sibTransId="{50E59F99-635A-4785-A79E-ECB6A53B7C36}"/>
    <dgm:cxn modelId="{2A125718-6E1C-4F2C-90A5-3F4BD15E7086}" type="presOf" srcId="{7083CDEA-0BE8-4AFB-A8FE-D991A33CE542}" destId="{83DEE5A7-B601-43FB-AA3D-D148C18A00C9}" srcOrd="0" destOrd="0" presId="urn:microsoft.com/office/officeart/2005/8/layout/cycle4"/>
    <dgm:cxn modelId="{83A807ED-4568-4D3C-8481-385720F8CEDE}" type="presOf" srcId="{F30ED75D-C001-45E6-9EA5-7F9F57DB31FF}" destId="{669A6138-BB5B-4F05-AC73-410AB9A43EF5}" srcOrd="0" destOrd="0" presId="urn:microsoft.com/office/officeart/2005/8/layout/cycle4"/>
    <dgm:cxn modelId="{61BD0965-8D52-4658-AF56-FFBA0CFFA1AA}" srcId="{F30ED75D-C001-45E6-9EA5-7F9F57DB31FF}" destId="{7911E1BE-893E-450A-A620-5B0948F71488}" srcOrd="1" destOrd="0" parTransId="{29F51801-05D8-48E9-B675-11F71CFF3BA4}" sibTransId="{951E8800-5B0A-4706-9C9C-1A3FD7D33E77}"/>
    <dgm:cxn modelId="{F8C7BE29-7732-43BF-8275-CAB166D4C075}" type="presOf" srcId="{26AF1897-F40F-476E-8432-A0692DFEE88A}" destId="{58F625F9-CAEA-47E6-900A-A11FAA637155}" srcOrd="0" destOrd="0" presId="urn:microsoft.com/office/officeart/2005/8/layout/cycle4"/>
    <dgm:cxn modelId="{B4BC6533-4C06-4ADC-AB9F-735045A4E751}" type="presOf" srcId="{82D40A71-C5EA-44DE-A69D-649371A3EFED}" destId="{2DE800F1-A9DB-4604-909F-55CA5BFD8F0D}" srcOrd="0" destOrd="0" presId="urn:microsoft.com/office/officeart/2005/8/layout/cycle4"/>
    <dgm:cxn modelId="{E33D84E2-721C-4CC4-A5C1-1930B04B425D}" type="presOf" srcId="{968AC224-0C9D-4656-8B41-FFBEB31C1786}" destId="{A4831E96-F700-4BE8-A3E4-DF3BA99D90EB}" srcOrd="0" destOrd="0" presId="urn:microsoft.com/office/officeart/2005/8/layout/cycle4"/>
    <dgm:cxn modelId="{FE125050-C591-448E-BF1B-6259A639EB6C}" type="presOf" srcId="{C171144A-8B46-4C65-96B4-09F4D2F27CDA}" destId="{8F0C279F-40FD-4ED1-9C40-382521F3BA4A}" srcOrd="1" destOrd="0" presId="urn:microsoft.com/office/officeart/2005/8/layout/cycle4"/>
    <dgm:cxn modelId="{BCC920E9-01A8-423E-BB3E-A0FBC551112C}" type="presOf" srcId="{40D6C031-16F9-483C-A864-0215D0810EC8}" destId="{13CFAD60-3079-4119-A020-B6A56CAD544E}" srcOrd="0" destOrd="0" presId="urn:microsoft.com/office/officeart/2005/8/layout/cycle4"/>
    <dgm:cxn modelId="{1B31AA85-71CB-4451-9D4D-F2816357B3F3}" srcId="{40D6C031-16F9-483C-A864-0215D0810EC8}" destId="{C171144A-8B46-4C65-96B4-09F4D2F27CDA}" srcOrd="0" destOrd="0" parTransId="{8612BE3E-4D63-42EE-8A01-A17AA79A261C}" sibTransId="{9C3F712B-2607-4C43-B6FE-C1529EEB2340}"/>
    <dgm:cxn modelId="{BE6A4266-CE61-4ECA-A706-4484701BC913}" type="presOf" srcId="{7083CDEA-0BE8-4AFB-A8FE-D991A33CE542}" destId="{8521E483-EB4C-4DAE-9078-3D17F7F3FC1C}" srcOrd="1" destOrd="0" presId="urn:microsoft.com/office/officeart/2005/8/layout/cycle4"/>
    <dgm:cxn modelId="{9627AD35-84E9-4A23-A02B-069F993B5984}" srcId="{F30ED75D-C001-45E6-9EA5-7F9F57DB31FF}" destId="{968AC224-0C9D-4656-8B41-FFBEB31C1786}" srcOrd="2" destOrd="0" parTransId="{2A85A4ED-379C-48CA-848B-20BD34C42DA8}" sibTransId="{DD550F91-B46F-45BE-9B17-131EEB8834B9}"/>
    <dgm:cxn modelId="{0B004E45-8C87-4339-B9BF-C0184C304317}" srcId="{F30ED75D-C001-45E6-9EA5-7F9F57DB31FF}" destId="{40D6C031-16F9-483C-A864-0215D0810EC8}" srcOrd="0" destOrd="0" parTransId="{90DC67F5-D26A-4E7A-9734-4D14B0F0C601}" sibTransId="{EF97E644-BE49-4CFF-AF66-428D7009A4D1}"/>
    <dgm:cxn modelId="{4942D7BC-5C04-41B0-8178-356EE3BB2D6E}" type="presOf" srcId="{82D40A71-C5EA-44DE-A69D-649371A3EFED}" destId="{06F679E8-022E-41AD-A152-53E352960536}" srcOrd="1" destOrd="0" presId="urn:microsoft.com/office/officeart/2005/8/layout/cycle4"/>
    <dgm:cxn modelId="{0E091D61-42D0-4C42-BC73-6B185D0DBAD4}" type="presParOf" srcId="{669A6138-BB5B-4F05-AC73-410AB9A43EF5}" destId="{AA71DECA-3DCB-4A86-9113-08BF68E57531}" srcOrd="0" destOrd="0" presId="urn:microsoft.com/office/officeart/2005/8/layout/cycle4"/>
    <dgm:cxn modelId="{E1DA8673-86C8-4CF8-A791-FF744BAACEF2}" type="presParOf" srcId="{AA71DECA-3DCB-4A86-9113-08BF68E57531}" destId="{267C42B9-1781-4A75-8E16-BA688F83202B}" srcOrd="0" destOrd="0" presId="urn:microsoft.com/office/officeart/2005/8/layout/cycle4"/>
    <dgm:cxn modelId="{3370E89E-E0FF-48A3-B647-F7BC47D2622A}" type="presParOf" srcId="{267C42B9-1781-4A75-8E16-BA688F83202B}" destId="{9EAB7B7D-1ED9-40E0-9739-78C559A8A9A1}" srcOrd="0" destOrd="0" presId="urn:microsoft.com/office/officeart/2005/8/layout/cycle4"/>
    <dgm:cxn modelId="{B658DAE1-60C7-47C7-901A-42BE50836702}" type="presParOf" srcId="{267C42B9-1781-4A75-8E16-BA688F83202B}" destId="{8F0C279F-40FD-4ED1-9C40-382521F3BA4A}" srcOrd="1" destOrd="0" presId="urn:microsoft.com/office/officeart/2005/8/layout/cycle4"/>
    <dgm:cxn modelId="{56200248-AA6F-4649-B67D-4871FBC49FD3}" type="presParOf" srcId="{AA71DECA-3DCB-4A86-9113-08BF68E57531}" destId="{E91D39EC-AF7C-4222-8BBE-5706040BD15A}" srcOrd="1" destOrd="0" presId="urn:microsoft.com/office/officeart/2005/8/layout/cycle4"/>
    <dgm:cxn modelId="{C56EF99F-20B8-47AD-A244-2AD0CFF63818}" type="presParOf" srcId="{E91D39EC-AF7C-4222-8BBE-5706040BD15A}" destId="{6827801B-E98E-4B21-B8EB-DAC53E44A2F5}" srcOrd="0" destOrd="0" presId="urn:microsoft.com/office/officeart/2005/8/layout/cycle4"/>
    <dgm:cxn modelId="{B582D94B-75B2-4119-BEED-F917701A40DC}" type="presParOf" srcId="{E91D39EC-AF7C-4222-8BBE-5706040BD15A}" destId="{E54DF96E-1676-47C8-A451-6C645DBFFA15}" srcOrd="1" destOrd="0" presId="urn:microsoft.com/office/officeart/2005/8/layout/cycle4"/>
    <dgm:cxn modelId="{999701E7-9636-42B8-BDE8-961D1CEB6112}" type="presParOf" srcId="{AA71DECA-3DCB-4A86-9113-08BF68E57531}" destId="{2CB3412F-5946-4007-BB1A-792AA64B7A29}" srcOrd="2" destOrd="0" presId="urn:microsoft.com/office/officeart/2005/8/layout/cycle4"/>
    <dgm:cxn modelId="{93698666-130B-4D00-9945-90DA593A23C1}" type="presParOf" srcId="{2CB3412F-5946-4007-BB1A-792AA64B7A29}" destId="{83DEE5A7-B601-43FB-AA3D-D148C18A00C9}" srcOrd="0" destOrd="0" presId="urn:microsoft.com/office/officeart/2005/8/layout/cycle4"/>
    <dgm:cxn modelId="{4865D6CB-A145-44DF-9BD1-4B4F0F992CF1}" type="presParOf" srcId="{2CB3412F-5946-4007-BB1A-792AA64B7A29}" destId="{8521E483-EB4C-4DAE-9078-3D17F7F3FC1C}" srcOrd="1" destOrd="0" presId="urn:microsoft.com/office/officeart/2005/8/layout/cycle4"/>
    <dgm:cxn modelId="{50304A5E-0974-4892-82D4-35DECE843EAF}" type="presParOf" srcId="{AA71DECA-3DCB-4A86-9113-08BF68E57531}" destId="{70D742CF-E9C9-4D7E-9FB2-6F7AE4F709AE}" srcOrd="3" destOrd="0" presId="urn:microsoft.com/office/officeart/2005/8/layout/cycle4"/>
    <dgm:cxn modelId="{8D870ADC-FCCB-4C1C-86AE-72B76F60465C}" type="presParOf" srcId="{70D742CF-E9C9-4D7E-9FB2-6F7AE4F709AE}" destId="{2DE800F1-A9DB-4604-909F-55CA5BFD8F0D}" srcOrd="0" destOrd="0" presId="urn:microsoft.com/office/officeart/2005/8/layout/cycle4"/>
    <dgm:cxn modelId="{9C59CD17-4C08-442C-A442-067FC9F5C5D6}" type="presParOf" srcId="{70D742CF-E9C9-4D7E-9FB2-6F7AE4F709AE}" destId="{06F679E8-022E-41AD-A152-53E352960536}" srcOrd="1" destOrd="0" presId="urn:microsoft.com/office/officeart/2005/8/layout/cycle4"/>
    <dgm:cxn modelId="{D58D8073-9215-4F40-8DD9-3CF566979C39}" type="presParOf" srcId="{AA71DECA-3DCB-4A86-9113-08BF68E57531}" destId="{4D54E579-7659-410E-B7DC-A390FA4ADC2A}" srcOrd="4" destOrd="0" presId="urn:microsoft.com/office/officeart/2005/8/layout/cycle4"/>
    <dgm:cxn modelId="{23881A14-04F9-4200-975B-EA3CE02AA631}" type="presParOf" srcId="{669A6138-BB5B-4F05-AC73-410AB9A43EF5}" destId="{2C941574-38C3-4407-951D-F1E77CF61318}" srcOrd="1" destOrd="0" presId="urn:microsoft.com/office/officeart/2005/8/layout/cycle4"/>
    <dgm:cxn modelId="{B0E8E641-CEEE-4059-B490-CC9798F5AB99}" type="presParOf" srcId="{2C941574-38C3-4407-951D-F1E77CF61318}" destId="{13CFAD60-3079-4119-A020-B6A56CAD544E}" srcOrd="0" destOrd="0" presId="urn:microsoft.com/office/officeart/2005/8/layout/cycle4"/>
    <dgm:cxn modelId="{74D100C1-509A-439E-9A6D-E565C8FF4098}" type="presParOf" srcId="{2C941574-38C3-4407-951D-F1E77CF61318}" destId="{3FA22BB1-2AF9-48A4-A75B-1CB754C3DC87}" srcOrd="1" destOrd="0" presId="urn:microsoft.com/office/officeart/2005/8/layout/cycle4"/>
    <dgm:cxn modelId="{031B616D-0B37-4E32-B776-64B3F929C89F}" type="presParOf" srcId="{2C941574-38C3-4407-951D-F1E77CF61318}" destId="{A4831E96-F700-4BE8-A3E4-DF3BA99D90EB}" srcOrd="2" destOrd="0" presId="urn:microsoft.com/office/officeart/2005/8/layout/cycle4"/>
    <dgm:cxn modelId="{13FDA7DE-E747-4183-A069-5B162DFDF1F1}" type="presParOf" srcId="{2C941574-38C3-4407-951D-F1E77CF61318}" destId="{58F625F9-CAEA-47E6-900A-A11FAA637155}" srcOrd="3" destOrd="0" presId="urn:microsoft.com/office/officeart/2005/8/layout/cycle4"/>
    <dgm:cxn modelId="{2CCA4AEC-F24C-4181-A91E-3E1F16F035A8}" type="presParOf" srcId="{2C941574-38C3-4407-951D-F1E77CF61318}" destId="{30ABDAF4-1134-492B-8EC4-57D2F98A1845}" srcOrd="4" destOrd="0" presId="urn:microsoft.com/office/officeart/2005/8/layout/cycle4"/>
    <dgm:cxn modelId="{2C0FA077-889A-413B-82EF-587EE1913212}" type="presParOf" srcId="{669A6138-BB5B-4F05-AC73-410AB9A43EF5}" destId="{BB42C874-3632-42F7-8758-72DADD210B07}" srcOrd="2" destOrd="0" presId="urn:microsoft.com/office/officeart/2005/8/layout/cycle4"/>
    <dgm:cxn modelId="{EA2517A1-1050-439A-857B-409F28D0FDBE}" type="presParOf" srcId="{669A6138-BB5B-4F05-AC73-410AB9A43EF5}" destId="{C972450A-D3FB-47B9-86B6-1C58A1F84EFE}" srcOrd="3" destOrd="0" presId="urn:microsoft.com/office/officeart/2005/8/layout/cycle4"/>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C365B5-A2AE-4133-B178-FD7B358EF47B}">
      <dsp:nvSpPr>
        <dsp:cNvPr id="0" name=""/>
        <dsp:cNvSpPr/>
      </dsp:nvSpPr>
      <dsp:spPr>
        <a:xfrm rot="16200000">
          <a:off x="571500" y="-571500"/>
          <a:ext cx="1600200" cy="2743200"/>
        </a:xfrm>
        <a:prstGeom prst="round1Rect">
          <a:avLst/>
        </a:prstGeom>
        <a:solidFill>
          <a:schemeClr val="accent1">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endParaRPr lang="ru-RU" sz="1100" b="1" kern="1200">
            <a:solidFill>
              <a:sysClr val="windowText" lastClr="000000"/>
            </a:solidFill>
            <a:latin typeface="Times New Roman" panose="02020603050405020304" pitchFamily="18" charset="0"/>
            <a:cs typeface="Times New Roman" panose="02020603050405020304" pitchFamily="18" charset="0"/>
          </a:endParaRPr>
        </a:p>
        <a:p>
          <a:pPr lvl="0" algn="ctr" defTabSz="488950">
            <a:lnSpc>
              <a:spcPct val="90000"/>
            </a:lnSpc>
            <a:spcBef>
              <a:spcPct val="0"/>
            </a:spcBef>
            <a:spcAft>
              <a:spcPct val="35000"/>
            </a:spcAft>
          </a:pPr>
          <a:r>
            <a:rPr lang="ru-RU" sz="1100" b="1" kern="1200">
              <a:solidFill>
                <a:sysClr val="windowText" lastClr="000000"/>
              </a:solidFill>
              <a:latin typeface="Times New Roman" panose="02020603050405020304" pitchFamily="18" charset="0"/>
              <a:cs typeface="Times New Roman" panose="02020603050405020304" pitchFamily="18" charset="0"/>
            </a:rPr>
            <a:t>Ресурсный подход</a:t>
          </a:r>
          <a:r>
            <a:rPr lang="ru-RU" sz="1100" kern="1200">
              <a:solidFill>
                <a:sysClr val="windowText" lastClr="000000"/>
              </a:solidFill>
              <a:latin typeface="Times New Roman" panose="02020603050405020304" pitchFamily="18" charset="0"/>
              <a:cs typeface="Times New Roman" panose="02020603050405020304" pitchFamily="18" charset="0"/>
            </a:rPr>
            <a:t>:</a:t>
          </a:r>
        </a:p>
        <a:p>
          <a:pPr lvl="0" algn="ctr" defTabSz="488950">
            <a:lnSpc>
              <a:spcPct val="90000"/>
            </a:lnSpc>
            <a:spcBef>
              <a:spcPct val="0"/>
            </a:spcBef>
            <a:spcAft>
              <a:spcPct val="35000"/>
            </a:spcAft>
          </a:pPr>
          <a:r>
            <a:rPr lang="ru-RU" sz="1100" kern="1200">
              <a:solidFill>
                <a:sysClr val="windowText" lastClr="000000"/>
              </a:solidFill>
              <a:latin typeface="Times New Roman" panose="02020603050405020304" pitchFamily="18" charset="0"/>
              <a:cs typeface="Times New Roman" panose="02020603050405020304" pitchFamily="18" charset="0"/>
            </a:rPr>
            <a:t>– кадровые, финансовые, технологические ресурсы;
– цифровые инструменты управления ресурсами.</a:t>
          </a:r>
        </a:p>
      </dsp:txBody>
      <dsp:txXfrm rot="5400000">
        <a:off x="-1" y="1"/>
        <a:ext cx="2743200" cy="1200150"/>
      </dsp:txXfrm>
    </dsp:sp>
    <dsp:sp modelId="{572A8015-2B54-472C-98CB-C4D6A2BD21BA}">
      <dsp:nvSpPr>
        <dsp:cNvPr id="0" name=""/>
        <dsp:cNvSpPr/>
      </dsp:nvSpPr>
      <dsp:spPr>
        <a:xfrm>
          <a:off x="2743200" y="0"/>
          <a:ext cx="2743200" cy="1600200"/>
        </a:xfrm>
        <a:prstGeom prst="round1Rect">
          <a:avLst/>
        </a:prstGeom>
        <a:solidFill>
          <a:schemeClr val="accent1">
            <a:shade val="80000"/>
            <a:hueOff val="90421"/>
            <a:satOff val="1725"/>
            <a:lumOff val="761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endParaRPr lang="ru-RU" sz="1100" b="1" kern="1200">
            <a:solidFill>
              <a:sysClr val="windowText" lastClr="000000"/>
            </a:solidFill>
            <a:latin typeface="Times New Roman" panose="02020603050405020304" pitchFamily="18" charset="0"/>
            <a:cs typeface="Times New Roman" panose="02020603050405020304" pitchFamily="18" charset="0"/>
          </a:endParaRPr>
        </a:p>
        <a:p>
          <a:pPr lvl="0" algn="ctr" defTabSz="488950">
            <a:lnSpc>
              <a:spcPct val="90000"/>
            </a:lnSpc>
            <a:spcBef>
              <a:spcPct val="0"/>
            </a:spcBef>
            <a:spcAft>
              <a:spcPct val="35000"/>
            </a:spcAft>
          </a:pPr>
          <a:r>
            <a:rPr lang="ru-RU" sz="1100" b="1" kern="1200">
              <a:solidFill>
                <a:sysClr val="windowText" lastClr="000000"/>
              </a:solidFill>
              <a:latin typeface="Times New Roman" panose="02020603050405020304" pitchFamily="18" charset="0"/>
              <a:cs typeface="Times New Roman" panose="02020603050405020304" pitchFamily="18" charset="0"/>
            </a:rPr>
            <a:t>Процессный подход</a:t>
          </a:r>
          <a:r>
            <a:rPr lang="ru-RU" sz="1100" kern="1200">
              <a:solidFill>
                <a:sysClr val="windowText" lastClr="000000"/>
              </a:solidFill>
              <a:latin typeface="Times New Roman" panose="02020603050405020304" pitchFamily="18" charset="0"/>
              <a:cs typeface="Times New Roman" panose="02020603050405020304" pitchFamily="18" charset="0"/>
            </a:rPr>
            <a:t>:</a:t>
          </a:r>
        </a:p>
        <a:p>
          <a:pPr lvl="0" algn="ctr" defTabSz="488950">
            <a:lnSpc>
              <a:spcPct val="90000"/>
            </a:lnSpc>
            <a:spcBef>
              <a:spcPct val="0"/>
            </a:spcBef>
            <a:spcAft>
              <a:spcPct val="35000"/>
            </a:spcAft>
          </a:pPr>
          <a:r>
            <a:rPr lang="ru-RU" sz="1100" kern="1200">
              <a:solidFill>
                <a:sysClr val="windowText" lastClr="000000"/>
              </a:solidFill>
              <a:latin typeface="Times New Roman" panose="02020603050405020304" pitchFamily="18" charset="0"/>
              <a:cs typeface="Times New Roman" panose="02020603050405020304" pitchFamily="18" charset="0"/>
            </a:rPr>
            <a:t>– организация, планирование, реализация, контроль;
– непрерывное воспроизводство потенциала.</a:t>
          </a:r>
        </a:p>
      </dsp:txBody>
      <dsp:txXfrm>
        <a:off x="2743200" y="0"/>
        <a:ext cx="2743200" cy="1200150"/>
      </dsp:txXfrm>
    </dsp:sp>
    <dsp:sp modelId="{75CDE5CD-85C3-40EE-8045-A195EBB26F65}">
      <dsp:nvSpPr>
        <dsp:cNvPr id="0" name=""/>
        <dsp:cNvSpPr/>
      </dsp:nvSpPr>
      <dsp:spPr>
        <a:xfrm rot="10800000">
          <a:off x="0" y="1600200"/>
          <a:ext cx="2743200" cy="1600200"/>
        </a:xfrm>
        <a:prstGeom prst="round1Rect">
          <a:avLst/>
        </a:prstGeom>
        <a:solidFill>
          <a:schemeClr val="accent1">
            <a:shade val="80000"/>
            <a:hueOff val="180842"/>
            <a:satOff val="3450"/>
            <a:lumOff val="1523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b="1" kern="1200">
              <a:solidFill>
                <a:sysClr val="windowText" lastClr="000000"/>
              </a:solidFill>
              <a:latin typeface="Times New Roman" panose="02020603050405020304" pitchFamily="18" charset="0"/>
              <a:cs typeface="Times New Roman" panose="02020603050405020304" pitchFamily="18" charset="0"/>
            </a:rPr>
            <a:t>Институциональный подход</a:t>
          </a:r>
          <a:r>
            <a:rPr lang="ru-RU" sz="1100" kern="1200">
              <a:solidFill>
                <a:sysClr val="windowText" lastClr="000000"/>
              </a:solidFill>
              <a:latin typeface="Times New Roman" panose="02020603050405020304" pitchFamily="18" charset="0"/>
              <a:cs typeface="Times New Roman" panose="02020603050405020304" pitchFamily="18" charset="0"/>
            </a:rPr>
            <a:t>:</a:t>
          </a:r>
        </a:p>
        <a:p>
          <a:pPr lvl="0" algn="ctr" defTabSz="488950">
            <a:lnSpc>
              <a:spcPct val="90000"/>
            </a:lnSpc>
            <a:spcBef>
              <a:spcPct val="0"/>
            </a:spcBef>
            <a:spcAft>
              <a:spcPct val="35000"/>
            </a:spcAft>
          </a:pPr>
          <a:r>
            <a:rPr lang="ru-RU" sz="1100" kern="1200">
              <a:solidFill>
                <a:sysClr val="windowText" lastClr="000000"/>
              </a:solidFill>
              <a:latin typeface="Times New Roman" panose="02020603050405020304" pitchFamily="18" charset="0"/>
              <a:cs typeface="Times New Roman" panose="02020603050405020304" pitchFamily="18" charset="0"/>
            </a:rPr>
            <a:t>– нормативная среда;
– государственная поддержка;
– цифровые экосистемы.</a:t>
          </a:r>
        </a:p>
        <a:p>
          <a:pPr lvl="0" algn="ctr" defTabSz="488950">
            <a:lnSpc>
              <a:spcPct val="90000"/>
            </a:lnSpc>
            <a:spcBef>
              <a:spcPct val="0"/>
            </a:spcBef>
            <a:spcAft>
              <a:spcPct val="35000"/>
            </a:spcAft>
          </a:pP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0" y="2000250"/>
        <a:ext cx="2743200" cy="1200150"/>
      </dsp:txXfrm>
    </dsp:sp>
    <dsp:sp modelId="{4417B25A-5058-4CC7-8AB1-BE292A17548F}">
      <dsp:nvSpPr>
        <dsp:cNvPr id="0" name=""/>
        <dsp:cNvSpPr/>
      </dsp:nvSpPr>
      <dsp:spPr>
        <a:xfrm rot="5400000">
          <a:off x="3314700" y="1028700"/>
          <a:ext cx="1600200" cy="2743200"/>
        </a:xfrm>
        <a:prstGeom prst="round1Rect">
          <a:avLst/>
        </a:prstGeom>
        <a:solidFill>
          <a:schemeClr val="accent1">
            <a:shade val="80000"/>
            <a:hueOff val="271263"/>
            <a:satOff val="5175"/>
            <a:lumOff val="2285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b="1" kern="1200">
              <a:solidFill>
                <a:sysClr val="windowText" lastClr="000000"/>
              </a:solidFill>
              <a:latin typeface="Times New Roman" panose="02020603050405020304" pitchFamily="18" charset="0"/>
              <a:cs typeface="Times New Roman" panose="02020603050405020304" pitchFamily="18" charset="0"/>
            </a:rPr>
            <a:t>Системно-управленческий подход</a:t>
          </a:r>
          <a:r>
            <a:rPr lang="ru-RU" sz="1100" kern="1200">
              <a:solidFill>
                <a:sysClr val="windowText" lastClr="000000"/>
              </a:solidFill>
              <a:latin typeface="Times New Roman" panose="02020603050405020304" pitchFamily="18" charset="0"/>
              <a:cs typeface="Times New Roman" panose="02020603050405020304" pitchFamily="18" charset="0"/>
            </a:rPr>
            <a:t>:</a:t>
          </a:r>
        </a:p>
        <a:p>
          <a:pPr lvl="0" algn="ctr" defTabSz="488950">
            <a:lnSpc>
              <a:spcPct val="90000"/>
            </a:lnSpc>
            <a:spcBef>
              <a:spcPct val="0"/>
            </a:spcBef>
            <a:spcAft>
              <a:spcPct val="35000"/>
            </a:spcAft>
          </a:pPr>
          <a:r>
            <a:rPr lang="ru-RU" sz="1100" kern="1200">
              <a:solidFill>
                <a:sysClr val="windowText" lastClr="000000"/>
              </a:solidFill>
              <a:latin typeface="Times New Roman" panose="02020603050405020304" pitchFamily="18" charset="0"/>
              <a:cs typeface="Times New Roman" panose="02020603050405020304" pitchFamily="18" charset="0"/>
            </a:rPr>
            <a:t>– интеграция ресурсов и процессов;
– взаимодействие с внешней средой;
– адаптация и саморазвитие.</a:t>
          </a:r>
        </a:p>
        <a:p>
          <a:pPr lvl="0" algn="ctr" defTabSz="488950">
            <a:lnSpc>
              <a:spcPct val="90000"/>
            </a:lnSpc>
            <a:spcBef>
              <a:spcPct val="0"/>
            </a:spcBef>
            <a:spcAft>
              <a:spcPct val="35000"/>
            </a:spcAft>
          </a:pP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2743200" y="2000250"/>
        <a:ext cx="2743200" cy="1200150"/>
      </dsp:txXfrm>
    </dsp:sp>
    <dsp:sp modelId="{B52BFB00-720A-47B1-9A64-E7F84B8DB786}">
      <dsp:nvSpPr>
        <dsp:cNvPr id="0" name=""/>
        <dsp:cNvSpPr/>
      </dsp:nvSpPr>
      <dsp:spPr>
        <a:xfrm>
          <a:off x="1920240" y="1200150"/>
          <a:ext cx="1645920" cy="800100"/>
        </a:xfrm>
        <a:prstGeom prst="roundRect">
          <a:avLst/>
        </a:prstGeom>
        <a:solidFill>
          <a:schemeClr val="accent1">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latin typeface="Times New Roman" panose="02020603050405020304" pitchFamily="18" charset="0"/>
              <a:cs typeface="Times New Roman" panose="02020603050405020304" pitchFamily="18" charset="0"/>
            </a:rPr>
            <a:t>Проектирование инновационного потенциала</a:t>
          </a:r>
        </a:p>
      </dsp:txBody>
      <dsp:txXfrm>
        <a:off x="1959298" y="1239208"/>
        <a:ext cx="1567804" cy="72198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48CBAA-D0A7-4C06-BBC3-ADB81048ABB6}">
      <dsp:nvSpPr>
        <dsp:cNvPr id="0" name=""/>
        <dsp:cNvSpPr/>
      </dsp:nvSpPr>
      <dsp:spPr>
        <a:xfrm>
          <a:off x="2364377" y="1093"/>
          <a:ext cx="3546565" cy="592261"/>
        </a:xfrm>
        <a:prstGeom prst="rightArrow">
          <a:avLst>
            <a:gd name="adj1" fmla="val 75000"/>
            <a:gd name="adj2" fmla="val 50000"/>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статическое измерение ресурсов</a:t>
          </a:r>
        </a:p>
        <a:p>
          <a:pPr marL="114300" lvl="1" indent="-114300" algn="l" defTabSz="533400">
            <a:lnSpc>
              <a:spcPct val="90000"/>
            </a:lnSpc>
            <a:spcBef>
              <a:spcPct val="0"/>
            </a:spcBef>
            <a:spcAft>
              <a:spcPct val="15000"/>
            </a:spcAft>
            <a:buChar char="••"/>
          </a:pPr>
          <a:endParaRPr lang="ru-RU"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endParaRPr lang="ru-RU" sz="1200" kern="1200">
            <a:latin typeface="Times New Roman" panose="02020603050405020304" pitchFamily="18" charset="0"/>
            <a:cs typeface="Times New Roman" panose="02020603050405020304" pitchFamily="18" charset="0"/>
          </a:endParaRPr>
        </a:p>
      </dsp:txBody>
      <dsp:txXfrm>
        <a:off x="2364377" y="75126"/>
        <a:ext cx="3324467" cy="444195"/>
      </dsp:txXfrm>
    </dsp:sp>
    <dsp:sp modelId="{C0A952D8-07BB-48C5-A904-611D4C892BD1}">
      <dsp:nvSpPr>
        <dsp:cNvPr id="0" name=""/>
        <dsp:cNvSpPr/>
      </dsp:nvSpPr>
      <dsp:spPr>
        <a:xfrm>
          <a:off x="0" y="1093"/>
          <a:ext cx="2364377" cy="592261"/>
        </a:xfrm>
        <a:prstGeom prst="roundRect">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b="0" kern="1200">
              <a:latin typeface="Times New Roman" panose="02020603050405020304" pitchFamily="18" charset="0"/>
              <a:cs typeface="Times New Roman" panose="02020603050405020304" pitchFamily="18" charset="0"/>
            </a:rPr>
            <a:t>Индикативный</a:t>
          </a:r>
        </a:p>
      </dsp:txBody>
      <dsp:txXfrm>
        <a:off x="28912" y="30005"/>
        <a:ext cx="2306553" cy="534437"/>
      </dsp:txXfrm>
    </dsp:sp>
    <dsp:sp modelId="{045CC8FE-FB29-4DF7-B262-2253292C48C7}">
      <dsp:nvSpPr>
        <dsp:cNvPr id="0" name=""/>
        <dsp:cNvSpPr/>
      </dsp:nvSpPr>
      <dsp:spPr>
        <a:xfrm>
          <a:off x="2364377" y="652581"/>
          <a:ext cx="3546565" cy="592261"/>
        </a:xfrm>
        <a:prstGeom prst="rightArrow">
          <a:avLst>
            <a:gd name="adj1" fmla="val 75000"/>
            <a:gd name="adj2" fmla="val 50000"/>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агрегирование показателей и формирование сводных индексов</a:t>
          </a:r>
        </a:p>
      </dsp:txBody>
      <dsp:txXfrm>
        <a:off x="2364377" y="726614"/>
        <a:ext cx="3324467" cy="444195"/>
      </dsp:txXfrm>
    </dsp:sp>
    <dsp:sp modelId="{C0489304-A9AC-4D31-9308-69302E0B9330}">
      <dsp:nvSpPr>
        <dsp:cNvPr id="0" name=""/>
        <dsp:cNvSpPr/>
      </dsp:nvSpPr>
      <dsp:spPr>
        <a:xfrm>
          <a:off x="0" y="652581"/>
          <a:ext cx="2364377" cy="592261"/>
        </a:xfrm>
        <a:prstGeom prst="roundRect">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Индексный и интегральный</a:t>
          </a:r>
        </a:p>
      </dsp:txBody>
      <dsp:txXfrm>
        <a:off x="28912" y="681493"/>
        <a:ext cx="2306553" cy="534437"/>
      </dsp:txXfrm>
    </dsp:sp>
    <dsp:sp modelId="{1EE439B7-401A-4DE6-9D0F-5811E8E18794}">
      <dsp:nvSpPr>
        <dsp:cNvPr id="0" name=""/>
        <dsp:cNvSpPr/>
      </dsp:nvSpPr>
      <dsp:spPr>
        <a:xfrm>
          <a:off x="2364377" y="1304069"/>
          <a:ext cx="3546565" cy="592261"/>
        </a:xfrm>
        <a:prstGeom prst="rightArrow">
          <a:avLst>
            <a:gd name="adj1" fmla="val 75000"/>
            <a:gd name="adj2" fmla="val 50000"/>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ориентация на связь между инновациями и стратегическими целями</a:t>
          </a:r>
        </a:p>
      </dsp:txBody>
      <dsp:txXfrm>
        <a:off x="2364377" y="1378102"/>
        <a:ext cx="3324467" cy="444195"/>
      </dsp:txXfrm>
    </dsp:sp>
    <dsp:sp modelId="{914C4FF6-089D-40F0-B92C-6CADD6BFD7F6}">
      <dsp:nvSpPr>
        <dsp:cNvPr id="0" name=""/>
        <dsp:cNvSpPr/>
      </dsp:nvSpPr>
      <dsp:spPr>
        <a:xfrm>
          <a:off x="0" y="1304069"/>
          <a:ext cx="2364377" cy="592261"/>
        </a:xfrm>
        <a:prstGeom prst="roundRect">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Ключевые показатели результативности</a:t>
          </a:r>
        </a:p>
      </dsp:txBody>
      <dsp:txXfrm>
        <a:off x="28912" y="1332981"/>
        <a:ext cx="2306553" cy="534437"/>
      </dsp:txXfrm>
    </dsp:sp>
    <dsp:sp modelId="{72AD06E3-489E-45D4-8A4E-72A590A0B513}">
      <dsp:nvSpPr>
        <dsp:cNvPr id="0" name=""/>
        <dsp:cNvSpPr/>
      </dsp:nvSpPr>
      <dsp:spPr>
        <a:xfrm>
          <a:off x="2364377" y="1955556"/>
          <a:ext cx="3546565" cy="592261"/>
        </a:xfrm>
        <a:prstGeom prst="rightArrow">
          <a:avLst>
            <a:gd name="adj1" fmla="val 75000"/>
            <a:gd name="adj2" fmla="val 50000"/>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использование цифровых данных и аналитических систем</a:t>
          </a:r>
        </a:p>
      </dsp:txBody>
      <dsp:txXfrm>
        <a:off x="2364377" y="2029589"/>
        <a:ext cx="3324467" cy="444195"/>
      </dsp:txXfrm>
    </dsp:sp>
    <dsp:sp modelId="{84D784B6-8038-4675-8995-67B9E8F01012}">
      <dsp:nvSpPr>
        <dsp:cNvPr id="0" name=""/>
        <dsp:cNvSpPr/>
      </dsp:nvSpPr>
      <dsp:spPr>
        <a:xfrm>
          <a:off x="0" y="1955556"/>
          <a:ext cx="2364377" cy="592261"/>
        </a:xfrm>
        <a:prstGeom prst="roundRect">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Цифровые и интеллектуальные</a:t>
          </a:r>
        </a:p>
      </dsp:txBody>
      <dsp:txXfrm>
        <a:off x="28912" y="1984468"/>
        <a:ext cx="2306553" cy="534437"/>
      </dsp:txXfrm>
    </dsp:sp>
    <dsp:sp modelId="{F46E5D78-1736-4F55-964A-A8A6BB2EF57E}">
      <dsp:nvSpPr>
        <dsp:cNvPr id="0" name=""/>
        <dsp:cNvSpPr/>
      </dsp:nvSpPr>
      <dsp:spPr>
        <a:xfrm>
          <a:off x="2364377" y="2607044"/>
          <a:ext cx="3546565" cy="592261"/>
        </a:xfrm>
        <a:prstGeom prst="rightArrow">
          <a:avLst>
            <a:gd name="adj1" fmla="val 75000"/>
            <a:gd name="adj2" fmla="val 50000"/>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динамическое взаимодействие ресурсов, процессов и цифровой среды</a:t>
          </a:r>
        </a:p>
      </dsp:txBody>
      <dsp:txXfrm>
        <a:off x="2364377" y="2681077"/>
        <a:ext cx="3324467" cy="444195"/>
      </dsp:txXfrm>
    </dsp:sp>
    <dsp:sp modelId="{6BEFAF6C-A029-4548-A292-CED759ED1A1C}">
      <dsp:nvSpPr>
        <dsp:cNvPr id="0" name=""/>
        <dsp:cNvSpPr/>
      </dsp:nvSpPr>
      <dsp:spPr>
        <a:xfrm>
          <a:off x="0" y="2607044"/>
          <a:ext cx="2364377" cy="592261"/>
        </a:xfrm>
        <a:prstGeom prst="roundRect">
          <a:avLst/>
        </a:prstGeom>
        <a:solidFill>
          <a:schemeClr val="lt1">
            <a:hueOff val="0"/>
            <a:satOff val="0"/>
            <a:lumOff val="0"/>
            <a:alphaOff val="0"/>
          </a:schemeClr>
        </a:solidFill>
        <a:ln w="19050" cap="flat" cmpd="sng" algn="ctr">
          <a:solidFill>
            <a:schemeClr val="accen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Ресурсно-процессный</a:t>
          </a:r>
        </a:p>
      </dsp:txBody>
      <dsp:txXfrm>
        <a:off x="28912" y="2635956"/>
        <a:ext cx="2306553" cy="53443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E49C7D-EEF8-46AB-8EFC-D88C9C56FC9E}">
      <dsp:nvSpPr>
        <dsp:cNvPr id="0" name=""/>
        <dsp:cNvSpPr/>
      </dsp:nvSpPr>
      <dsp:spPr>
        <a:xfrm>
          <a:off x="629" y="1666"/>
          <a:ext cx="5485140" cy="503889"/>
        </a:xfrm>
        <a:prstGeom prst="roundRect">
          <a:avLst>
            <a:gd name="adj" fmla="val 10000"/>
          </a:avLst>
        </a:prstGeom>
        <a:solidFill>
          <a:schemeClr val="bg2">
            <a:lumMod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cs typeface="Times New Roman" panose="02020603050405020304" pitchFamily="18" charset="0"/>
            </a:rPr>
            <a:t>Модель проектирования инновационного потенциала</a:t>
          </a:r>
        </a:p>
      </dsp:txBody>
      <dsp:txXfrm>
        <a:off x="15387" y="16424"/>
        <a:ext cx="5455624" cy="474373"/>
      </dsp:txXfrm>
    </dsp:sp>
    <dsp:sp modelId="{5C4ADD53-A422-478B-9383-FBB6C9956DFE}">
      <dsp:nvSpPr>
        <dsp:cNvPr id="0" name=""/>
        <dsp:cNvSpPr/>
      </dsp:nvSpPr>
      <dsp:spPr>
        <a:xfrm>
          <a:off x="5983" y="676577"/>
          <a:ext cx="3240528" cy="569661"/>
        </a:xfrm>
        <a:prstGeom prst="roundRect">
          <a:avLst>
            <a:gd name="adj" fmla="val 10000"/>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cs typeface="Times New Roman" panose="02020603050405020304" pitchFamily="18" charset="0"/>
            </a:rPr>
            <a:t>Внутренние </a:t>
          </a:r>
        </a:p>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cs typeface="Times New Roman" panose="02020603050405020304" pitchFamily="18" charset="0"/>
            </a:rPr>
            <a:t>приоритеты</a:t>
          </a:r>
        </a:p>
      </dsp:txBody>
      <dsp:txXfrm>
        <a:off x="22668" y="693262"/>
        <a:ext cx="3207158" cy="536291"/>
      </dsp:txXfrm>
    </dsp:sp>
    <dsp:sp modelId="{88207AD8-ADF5-430F-9EEE-611D26A95A90}">
      <dsp:nvSpPr>
        <dsp:cNvPr id="0" name=""/>
        <dsp:cNvSpPr/>
      </dsp:nvSpPr>
      <dsp:spPr>
        <a:xfrm>
          <a:off x="5983" y="1417260"/>
          <a:ext cx="1050754" cy="1781472"/>
        </a:xfrm>
        <a:prstGeom prst="roundRect">
          <a:avLst>
            <a:gd name="adj" fmla="val 10000"/>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latin typeface="Times New Roman" panose="02020603050405020304" pitchFamily="18" charset="0"/>
              <a:cs typeface="Times New Roman" panose="02020603050405020304" pitchFamily="18" charset="0"/>
            </a:rPr>
            <a:t>І-</a:t>
          </a:r>
        </a:p>
        <a:p>
          <a:pPr lvl="0" algn="ctr" defTabSz="488950">
            <a:lnSpc>
              <a:spcPct val="90000"/>
            </a:lnSpc>
            <a:spcBef>
              <a:spcPct val="0"/>
            </a:spcBef>
            <a:spcAft>
              <a:spcPct val="35000"/>
            </a:spcAft>
          </a:pPr>
          <a:r>
            <a:rPr lang="ru-RU" sz="1100" kern="1200">
              <a:solidFill>
                <a:sysClr val="windowText" lastClr="000000"/>
              </a:solidFill>
              <a:latin typeface="Times New Roman" panose="02020603050405020304" pitchFamily="18" charset="0"/>
              <a:cs typeface="Times New Roman" panose="02020603050405020304" pitchFamily="18" charset="0"/>
            </a:rPr>
            <a:t>управлен-ческо-технологичес-кая усойчивость (</a:t>
          </a:r>
          <a:r>
            <a:rPr lang="en-US" sz="1100" kern="1200">
              <a:solidFill>
                <a:sysClr val="windowText" lastClr="000000"/>
              </a:solidFill>
              <a:latin typeface="Times New Roman" panose="02020603050405020304" pitchFamily="18" charset="0"/>
              <a:cs typeface="Times New Roman" panose="02020603050405020304" pitchFamily="18" charset="0"/>
            </a:rPr>
            <a:t>MR/TR/FR</a:t>
          </a:r>
          <a:r>
            <a:rPr lang="kk-KZ" sz="1100" kern="1200">
              <a:solidFill>
                <a:sysClr val="windowText" lastClr="000000"/>
              </a:solidFill>
              <a:latin typeface="Times New Roman" panose="02020603050405020304" pitchFamily="18" charset="0"/>
              <a:cs typeface="Times New Roman" panose="02020603050405020304" pitchFamily="18" charset="0"/>
            </a:rPr>
            <a:t>)</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36759" y="1448036"/>
        <a:ext cx="989202" cy="1719920"/>
      </dsp:txXfrm>
    </dsp:sp>
    <dsp:sp modelId="{6E798ACC-DE3D-4D74-8F00-AE8A2CEFA821}">
      <dsp:nvSpPr>
        <dsp:cNvPr id="0" name=""/>
        <dsp:cNvSpPr/>
      </dsp:nvSpPr>
      <dsp:spPr>
        <a:xfrm>
          <a:off x="1100870" y="1417260"/>
          <a:ext cx="1050754" cy="1781472"/>
        </a:xfrm>
        <a:prstGeom prst="roundRect">
          <a:avLst>
            <a:gd name="adj" fmla="val 10000"/>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ІІ-</a:t>
          </a:r>
        </a:p>
        <a:p>
          <a:pPr lvl="0" algn="ctr"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цифровая зрелость/адаптивность </a:t>
          </a:r>
        </a:p>
        <a:p>
          <a:pPr lvl="0" algn="ctr"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a:t>
          </a:r>
          <a:r>
            <a:rPr lang="en-US" sz="1100" kern="1200">
              <a:solidFill>
                <a:sysClr val="windowText" lastClr="000000"/>
              </a:solidFill>
              <a:latin typeface="Times New Roman" panose="02020603050405020304" pitchFamily="18" charset="0"/>
              <a:cs typeface="Times New Roman" panose="02020603050405020304" pitchFamily="18" charset="0"/>
            </a:rPr>
            <a:t>DS</a:t>
          </a:r>
          <a:r>
            <a:rPr lang="kk-KZ" sz="1100" kern="1200">
              <a:solidFill>
                <a:sysClr val="windowText" lastClr="000000"/>
              </a:solidFill>
              <a:latin typeface="Times New Roman" panose="02020603050405020304" pitchFamily="18" charset="0"/>
              <a:cs typeface="Times New Roman" panose="02020603050405020304" pitchFamily="18" charset="0"/>
            </a:rPr>
            <a:t>)</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1131646" y="1448036"/>
        <a:ext cx="989202" cy="1719920"/>
      </dsp:txXfrm>
    </dsp:sp>
    <dsp:sp modelId="{636BA402-5661-41CC-89EA-3CFCCBB4777C}">
      <dsp:nvSpPr>
        <dsp:cNvPr id="0" name=""/>
        <dsp:cNvSpPr/>
      </dsp:nvSpPr>
      <dsp:spPr>
        <a:xfrm>
          <a:off x="2195756" y="1417260"/>
          <a:ext cx="1050754" cy="1781472"/>
        </a:xfrm>
        <a:prstGeom prst="roundRect">
          <a:avLst>
            <a:gd name="adj" fmla="val 10000"/>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ІІІ-человеческий капитал/инно-вационная культура (</a:t>
          </a:r>
          <a:r>
            <a:rPr lang="en-US" sz="1100" kern="1200">
              <a:solidFill>
                <a:sysClr val="windowText" lastClr="000000"/>
              </a:solidFill>
              <a:latin typeface="Times New Roman" panose="02020603050405020304" pitchFamily="18" charset="0"/>
              <a:cs typeface="Times New Roman" panose="02020603050405020304" pitchFamily="18" charset="0"/>
            </a:rPr>
            <a:t>HC/IC</a:t>
          </a:r>
          <a:r>
            <a:rPr lang="kk-KZ" sz="1100" kern="1200">
              <a:solidFill>
                <a:sysClr val="windowText" lastClr="000000"/>
              </a:solidFill>
              <a:latin typeface="Times New Roman" panose="02020603050405020304" pitchFamily="18" charset="0"/>
              <a:cs typeface="Times New Roman" panose="02020603050405020304" pitchFamily="18" charset="0"/>
            </a:rPr>
            <a:t>)</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2226532" y="1448036"/>
        <a:ext cx="989202" cy="1719920"/>
      </dsp:txXfrm>
    </dsp:sp>
    <dsp:sp modelId="{D8749ECC-2851-490B-841E-FDCCAE164DFF}">
      <dsp:nvSpPr>
        <dsp:cNvPr id="0" name=""/>
        <dsp:cNvSpPr/>
      </dsp:nvSpPr>
      <dsp:spPr>
        <a:xfrm>
          <a:off x="3334775" y="676577"/>
          <a:ext cx="2145641" cy="569661"/>
        </a:xfrm>
        <a:prstGeom prst="roundRect">
          <a:avLst>
            <a:gd name="adj" fmla="val 10000"/>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kk-KZ" sz="1400" kern="1200">
              <a:solidFill>
                <a:sysClr val="windowText" lastClr="000000"/>
              </a:solidFill>
              <a:latin typeface="Times New Roman" panose="02020603050405020304" pitchFamily="18" charset="0"/>
              <a:cs typeface="Times New Roman" panose="02020603050405020304" pitchFamily="18" charset="0"/>
            </a:rPr>
            <a:t>Институциональные приоритеты</a:t>
          </a:r>
          <a:endParaRPr lang="ru-RU" sz="1400" kern="1200">
            <a:solidFill>
              <a:sysClr val="windowText" lastClr="000000"/>
            </a:solidFill>
            <a:latin typeface="Times New Roman" panose="02020603050405020304" pitchFamily="18" charset="0"/>
            <a:cs typeface="Times New Roman" panose="02020603050405020304" pitchFamily="18" charset="0"/>
          </a:endParaRPr>
        </a:p>
      </dsp:txBody>
      <dsp:txXfrm>
        <a:off x="3351460" y="693262"/>
        <a:ext cx="2112271" cy="536291"/>
      </dsp:txXfrm>
    </dsp:sp>
    <dsp:sp modelId="{FE256D26-41A5-42FD-BF7C-367E5EDFB08C}">
      <dsp:nvSpPr>
        <dsp:cNvPr id="0" name=""/>
        <dsp:cNvSpPr/>
      </dsp:nvSpPr>
      <dsp:spPr>
        <a:xfrm>
          <a:off x="3334775" y="1417260"/>
          <a:ext cx="1050754" cy="1781472"/>
        </a:xfrm>
        <a:prstGeom prst="roundRect">
          <a:avLst>
            <a:gd name="adj" fmla="val 10000"/>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І</a:t>
          </a:r>
          <a:r>
            <a:rPr lang="en-US" sz="1100" kern="1200">
              <a:solidFill>
                <a:sysClr val="windowText" lastClr="000000"/>
              </a:solidFill>
              <a:latin typeface="Times New Roman" panose="02020603050405020304" pitchFamily="18" charset="0"/>
              <a:cs typeface="Times New Roman" panose="02020603050405020304" pitchFamily="18" charset="0"/>
            </a:rPr>
            <a:t>V-</a:t>
          </a:r>
          <a:endParaRPr lang="kk-KZ" sz="1100" kern="1200">
            <a:solidFill>
              <a:sysClr val="windowText" lastClr="000000"/>
            </a:solidFill>
            <a:latin typeface="Times New Roman" panose="02020603050405020304" pitchFamily="18" charset="0"/>
            <a:cs typeface="Times New Roman" panose="02020603050405020304" pitchFamily="18" charset="0"/>
          </a:endParaRPr>
        </a:p>
        <a:p>
          <a:pPr lvl="0" algn="ctr" defTabSz="488950">
            <a:lnSpc>
              <a:spcPct val="90000"/>
            </a:lnSpc>
            <a:spcBef>
              <a:spcPct val="0"/>
            </a:spcBef>
            <a:spcAft>
              <a:spcPct val="35000"/>
            </a:spcAft>
          </a:pPr>
          <a:r>
            <a:rPr lang="kk-KZ" sz="1100" kern="1200">
              <a:solidFill>
                <a:sysClr val="windowText" lastClr="000000"/>
              </a:solidFill>
              <a:latin typeface="Times New Roman" panose="02020603050405020304" pitchFamily="18" charset="0"/>
              <a:cs typeface="Times New Roman" panose="02020603050405020304" pitchFamily="18" charset="0"/>
            </a:rPr>
            <a:t>снятие барьеров/инк-люзивность (</a:t>
          </a:r>
          <a:r>
            <a:rPr lang="en-US" sz="1100" kern="1200">
              <a:solidFill>
                <a:sysClr val="windowText" lastClr="000000"/>
              </a:solidFill>
              <a:latin typeface="Times New Roman" panose="02020603050405020304" pitchFamily="18" charset="0"/>
              <a:cs typeface="Times New Roman" panose="02020603050405020304" pitchFamily="18" charset="0"/>
            </a:rPr>
            <a:t>Inst</a:t>
          </a:r>
          <a:r>
            <a:rPr lang="kk-KZ" sz="1100" kern="1200">
              <a:solidFill>
                <a:sysClr val="windowText" lastClr="000000"/>
              </a:solidFill>
              <a:latin typeface="Times New Roman" panose="02020603050405020304" pitchFamily="18" charset="0"/>
              <a:cs typeface="Times New Roman" panose="02020603050405020304" pitchFamily="18" charset="0"/>
            </a:rPr>
            <a:t>)</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3365551" y="1448036"/>
        <a:ext cx="989202" cy="1719920"/>
      </dsp:txXfrm>
    </dsp:sp>
    <dsp:sp modelId="{8F43A249-4541-448F-94D0-365BB4CD55F9}">
      <dsp:nvSpPr>
        <dsp:cNvPr id="0" name=""/>
        <dsp:cNvSpPr/>
      </dsp:nvSpPr>
      <dsp:spPr>
        <a:xfrm>
          <a:off x="4429661" y="1417260"/>
          <a:ext cx="1050754" cy="1781472"/>
        </a:xfrm>
        <a:prstGeom prst="roundRect">
          <a:avLst>
            <a:gd name="adj" fmla="val 10000"/>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latin typeface="Times New Roman" panose="02020603050405020304" pitchFamily="18" charset="0"/>
              <a:cs typeface="Times New Roman" panose="02020603050405020304" pitchFamily="18" charset="0"/>
            </a:rPr>
            <a:t>V-</a:t>
          </a:r>
          <a:r>
            <a:rPr lang="kk-KZ" sz="1100" kern="1200">
              <a:solidFill>
                <a:sysClr val="windowText" lastClr="000000"/>
              </a:solidFill>
              <a:latin typeface="Times New Roman" panose="02020603050405020304" pitchFamily="18" charset="0"/>
              <a:cs typeface="Times New Roman" panose="02020603050405020304" pitchFamily="18" charset="0"/>
            </a:rPr>
            <a:t>экосистема/адресность/ре-гиональная устойчивость (</a:t>
          </a:r>
          <a:r>
            <a:rPr lang="en-US" sz="1100" kern="1200">
              <a:solidFill>
                <a:sysClr val="windowText" lastClr="000000"/>
              </a:solidFill>
              <a:latin typeface="Times New Roman" panose="02020603050405020304" pitchFamily="18" charset="0"/>
              <a:cs typeface="Times New Roman" panose="02020603050405020304" pitchFamily="18" charset="0"/>
            </a:rPr>
            <a:t>Inst+</a:t>
          </a:r>
          <a:r>
            <a:rPr lang="kk-KZ" sz="1100" kern="1200">
              <a:solidFill>
                <a:sysClr val="windowText" lastClr="000000"/>
              </a:solidFill>
              <a:latin typeface="Times New Roman" panose="02020603050405020304" pitchFamily="18" charset="0"/>
              <a:cs typeface="Times New Roman" panose="02020603050405020304" pitchFamily="18" charset="0"/>
            </a:rPr>
            <a:t>партнер-ства)</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4460437" y="1448036"/>
        <a:ext cx="989202" cy="171992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B7BAEC-401E-4827-BA67-DD2EC5030ECF}">
      <dsp:nvSpPr>
        <dsp:cNvPr id="0" name=""/>
        <dsp:cNvSpPr/>
      </dsp:nvSpPr>
      <dsp:spPr>
        <a:xfrm>
          <a:off x="0" y="0"/>
          <a:ext cx="4478867" cy="3200400"/>
        </a:xfrm>
        <a:prstGeom prst="roundRect">
          <a:avLst>
            <a:gd name="adj" fmla="val 8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2483866" numCol="1" spcCol="1270" anchor="t" anchorCtr="0">
          <a:noAutofit/>
        </a:bodyPr>
        <a:lstStyle/>
        <a:p>
          <a:pPr lvl="0" algn="ctr" defTabSz="1022350">
            <a:lnSpc>
              <a:spcPct val="90000"/>
            </a:lnSpc>
            <a:spcBef>
              <a:spcPct val="0"/>
            </a:spcBef>
            <a:spcAft>
              <a:spcPct val="35000"/>
            </a:spcAft>
          </a:pPr>
          <a:r>
            <a:rPr lang="ru-RU" sz="2300" kern="1200">
              <a:latin typeface="Times New Roman" panose="02020603050405020304" pitchFamily="18" charset="0"/>
              <a:cs typeface="Times New Roman" panose="02020603050405020304" pitchFamily="18" charset="0"/>
            </a:rPr>
            <a:t>Стратегический</a:t>
          </a:r>
        </a:p>
      </dsp:txBody>
      <dsp:txXfrm>
        <a:off x="79676" y="79676"/>
        <a:ext cx="4319515" cy="3041048"/>
      </dsp:txXfrm>
    </dsp:sp>
    <dsp:sp modelId="{3DAD0778-85B3-4DD5-8421-E0BACDA74CFD}">
      <dsp:nvSpPr>
        <dsp:cNvPr id="0" name=""/>
        <dsp:cNvSpPr/>
      </dsp:nvSpPr>
      <dsp:spPr>
        <a:xfrm>
          <a:off x="111971" y="800100"/>
          <a:ext cx="671830" cy="2240280"/>
        </a:xfrm>
        <a:prstGeom prst="roundRect">
          <a:avLst>
            <a:gd name="adj" fmla="val 105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Проектиро вание компетен ций</a:t>
          </a:r>
        </a:p>
      </dsp:txBody>
      <dsp:txXfrm>
        <a:off x="132632" y="820761"/>
        <a:ext cx="630508" cy="2198958"/>
      </dsp:txXfrm>
    </dsp:sp>
    <dsp:sp modelId="{5EEC8D1B-BB7B-4381-8813-A5D66EF9D994}">
      <dsp:nvSpPr>
        <dsp:cNvPr id="0" name=""/>
        <dsp:cNvSpPr/>
      </dsp:nvSpPr>
      <dsp:spPr>
        <a:xfrm>
          <a:off x="895773" y="800100"/>
          <a:ext cx="3471121" cy="2240280"/>
        </a:xfrm>
        <a:prstGeom prst="roundRect">
          <a:avLst>
            <a:gd name="adj" fmla="val 10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1422578" numCol="1" spcCol="1270" anchor="t" anchorCtr="0">
          <a:noAutofit/>
        </a:bodyPr>
        <a:lstStyle/>
        <a:p>
          <a:pPr lvl="0" algn="ctr" defTabSz="1022350">
            <a:lnSpc>
              <a:spcPct val="90000"/>
            </a:lnSpc>
            <a:spcBef>
              <a:spcPct val="0"/>
            </a:spcBef>
            <a:spcAft>
              <a:spcPct val="35000"/>
            </a:spcAft>
          </a:pPr>
          <a:r>
            <a:rPr lang="ru-RU" sz="2300" kern="1200">
              <a:latin typeface="Times New Roman" panose="02020603050405020304" pitchFamily="18" charset="0"/>
              <a:cs typeface="Times New Roman" panose="02020603050405020304" pitchFamily="18" charset="0"/>
            </a:rPr>
            <a:t>Организационный</a:t>
          </a:r>
        </a:p>
      </dsp:txBody>
      <dsp:txXfrm>
        <a:off x="964669" y="868996"/>
        <a:ext cx="3333329" cy="2102488"/>
      </dsp:txXfrm>
    </dsp:sp>
    <dsp:sp modelId="{7341B9ED-6C8C-446F-9671-9D6F30B7B064}">
      <dsp:nvSpPr>
        <dsp:cNvPr id="0" name=""/>
        <dsp:cNvSpPr/>
      </dsp:nvSpPr>
      <dsp:spPr>
        <a:xfrm>
          <a:off x="982551" y="1584198"/>
          <a:ext cx="694224" cy="1287962"/>
        </a:xfrm>
        <a:prstGeom prst="roundRect">
          <a:avLst>
            <a:gd name="adj" fmla="val 105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HR-</a:t>
          </a:r>
          <a:r>
            <a:rPr lang="kk-KZ" sz="900" kern="1200">
              <a:latin typeface="Times New Roman" panose="02020603050405020304" pitchFamily="18" charset="0"/>
              <a:cs typeface="Times New Roman" panose="02020603050405020304" pitchFamily="18" charset="0"/>
            </a:rPr>
            <a:t>практики нового типа: мотивация, эксперимент, обучение через проекты</a:t>
          </a:r>
          <a:endParaRPr lang="ru-RU" sz="900" kern="1200">
            <a:latin typeface="Times New Roman" panose="02020603050405020304" pitchFamily="18" charset="0"/>
            <a:cs typeface="Times New Roman" panose="02020603050405020304" pitchFamily="18" charset="0"/>
          </a:endParaRPr>
        </a:p>
      </dsp:txBody>
      <dsp:txXfrm>
        <a:off x="1003901" y="1605548"/>
        <a:ext cx="651524" cy="1245262"/>
      </dsp:txXfrm>
    </dsp:sp>
    <dsp:sp modelId="{7803CB73-1E94-41E9-B65C-EA3F4D8CA025}">
      <dsp:nvSpPr>
        <dsp:cNvPr id="0" name=""/>
        <dsp:cNvSpPr/>
      </dsp:nvSpPr>
      <dsp:spPr>
        <a:xfrm>
          <a:off x="1769152" y="1600200"/>
          <a:ext cx="2485771" cy="1280160"/>
        </a:xfrm>
        <a:prstGeom prst="roundRect">
          <a:avLst>
            <a:gd name="adj" fmla="val 10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722579" numCol="1" spcCol="1270" anchor="t" anchorCtr="0">
          <a:noAutofit/>
        </a:bodyPr>
        <a:lstStyle/>
        <a:p>
          <a:pPr lvl="0" algn="ctr" defTabSz="1022350">
            <a:lnSpc>
              <a:spcPct val="90000"/>
            </a:lnSpc>
            <a:spcBef>
              <a:spcPct val="0"/>
            </a:spcBef>
            <a:spcAft>
              <a:spcPct val="35000"/>
            </a:spcAft>
          </a:pPr>
          <a:r>
            <a:rPr lang="kk-KZ" sz="2300" kern="1200">
              <a:latin typeface="Times New Roman" panose="02020603050405020304" pitchFamily="18" charset="0"/>
              <a:cs typeface="Times New Roman" panose="02020603050405020304" pitchFamily="18" charset="0"/>
            </a:rPr>
            <a:t>Индивидуальный</a:t>
          </a:r>
          <a:endParaRPr lang="ru-RU" sz="2300" kern="1200">
            <a:latin typeface="Times New Roman" panose="02020603050405020304" pitchFamily="18" charset="0"/>
            <a:cs typeface="Times New Roman" panose="02020603050405020304" pitchFamily="18" charset="0"/>
          </a:endParaRPr>
        </a:p>
      </dsp:txBody>
      <dsp:txXfrm>
        <a:off x="1808521" y="1639569"/>
        <a:ext cx="2407033" cy="1201422"/>
      </dsp:txXfrm>
    </dsp:sp>
    <dsp:sp modelId="{FAD28505-CAE2-4A12-94C5-AD848872B9B1}">
      <dsp:nvSpPr>
        <dsp:cNvPr id="0" name=""/>
        <dsp:cNvSpPr/>
      </dsp:nvSpPr>
      <dsp:spPr>
        <a:xfrm>
          <a:off x="1831296" y="2176272"/>
          <a:ext cx="2361482" cy="576072"/>
        </a:xfrm>
        <a:prstGeom prst="roundRect">
          <a:avLst>
            <a:gd name="adj" fmla="val 105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kern="1200">
              <a:latin typeface="Times New Roman" panose="02020603050405020304" pitchFamily="18" charset="0"/>
              <a:cs typeface="Times New Roman" panose="02020603050405020304" pitchFamily="18" charset="0"/>
            </a:rPr>
            <a:t>Инициатива, командная креативность, риск-толерантность</a:t>
          </a:r>
          <a:endParaRPr lang="ru-RU" sz="1000" kern="1200">
            <a:latin typeface="Times New Roman" panose="02020603050405020304" pitchFamily="18" charset="0"/>
            <a:cs typeface="Times New Roman" panose="02020603050405020304" pitchFamily="18" charset="0"/>
          </a:endParaRPr>
        </a:p>
      </dsp:txBody>
      <dsp:txXfrm>
        <a:off x="1849012" y="2193988"/>
        <a:ext cx="2326050" cy="54064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DEE5A7-B601-43FB-AA3D-D148C18A00C9}">
      <dsp:nvSpPr>
        <dsp:cNvPr id="0" name=""/>
        <dsp:cNvSpPr/>
      </dsp:nvSpPr>
      <dsp:spPr>
        <a:xfrm>
          <a:off x="3273800" y="2176272"/>
          <a:ext cx="2669799" cy="1024128"/>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4902230"/>
              <a:satOff val="-6819"/>
              <a:lumOff val="-261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формирование адресных мер по ресурсным и процессным компонентам</a:t>
          </a:r>
        </a:p>
      </dsp:txBody>
      <dsp:txXfrm>
        <a:off x="4097237" y="2454800"/>
        <a:ext cx="1823865" cy="723102"/>
      </dsp:txXfrm>
    </dsp:sp>
    <dsp:sp modelId="{2DE800F1-A9DB-4604-909F-55CA5BFD8F0D}">
      <dsp:nvSpPr>
        <dsp:cNvPr id="0" name=""/>
        <dsp:cNvSpPr/>
      </dsp:nvSpPr>
      <dsp:spPr>
        <a:xfrm>
          <a:off x="0" y="2176272"/>
          <a:ext cx="2669799" cy="1024128"/>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отслеживание динамики индекса ИП во времени, сравнение по регионам и отраслям</a:t>
          </a:r>
        </a:p>
      </dsp:txBody>
      <dsp:txXfrm>
        <a:off x="22497" y="2454800"/>
        <a:ext cx="1823865" cy="723102"/>
      </dsp:txXfrm>
    </dsp:sp>
    <dsp:sp modelId="{6827801B-E98E-4B21-B8EB-DAC53E44A2F5}">
      <dsp:nvSpPr>
        <dsp:cNvPr id="0" name=""/>
        <dsp:cNvSpPr/>
      </dsp:nvSpPr>
      <dsp:spPr>
        <a:xfrm>
          <a:off x="3273800" y="0"/>
          <a:ext cx="2669799" cy="1024128"/>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построение тепловых карт, ресурсного профиля предприятия и интегральной карты ИП</a:t>
          </a:r>
        </a:p>
      </dsp:txBody>
      <dsp:txXfrm>
        <a:off x="4097237" y="22497"/>
        <a:ext cx="1823865" cy="723102"/>
      </dsp:txXfrm>
    </dsp:sp>
    <dsp:sp modelId="{9EAB7B7D-1ED9-40E0-9739-78C559A8A9A1}">
      <dsp:nvSpPr>
        <dsp:cNvPr id="0" name=""/>
        <dsp:cNvSpPr/>
      </dsp:nvSpPr>
      <dsp:spPr>
        <a:xfrm>
          <a:off x="0" y="0"/>
          <a:ext cx="2669799" cy="1024128"/>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сбор анкетных данных, нормализация, расчет индекса ИП</a:t>
          </a:r>
        </a:p>
      </dsp:txBody>
      <dsp:txXfrm>
        <a:off x="22497" y="22497"/>
        <a:ext cx="1823865" cy="723102"/>
      </dsp:txXfrm>
    </dsp:sp>
    <dsp:sp modelId="{13CFAD60-3079-4119-A020-B6A56CAD544E}">
      <dsp:nvSpPr>
        <dsp:cNvPr id="0" name=""/>
        <dsp:cNvSpPr/>
      </dsp:nvSpPr>
      <dsp:spPr>
        <a:xfrm>
          <a:off x="1554022" y="182422"/>
          <a:ext cx="1385773" cy="1385773"/>
        </a:xfrm>
        <a:prstGeom prst="pieWedg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Модуль диагностики</a:t>
          </a:r>
        </a:p>
      </dsp:txBody>
      <dsp:txXfrm>
        <a:off x="1959906" y="588306"/>
        <a:ext cx="979889" cy="979889"/>
      </dsp:txXfrm>
    </dsp:sp>
    <dsp:sp modelId="{3FA22BB1-2AF9-48A4-A75B-1CB754C3DC87}">
      <dsp:nvSpPr>
        <dsp:cNvPr id="0" name=""/>
        <dsp:cNvSpPr/>
      </dsp:nvSpPr>
      <dsp:spPr>
        <a:xfrm rot="5400000">
          <a:off x="3003803" y="182422"/>
          <a:ext cx="1385773" cy="1385773"/>
        </a:xfrm>
        <a:prstGeom prst="pieWedge">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Модуль визуализации</a:t>
          </a:r>
        </a:p>
      </dsp:txBody>
      <dsp:txXfrm rot="-5400000">
        <a:off x="3003803" y="588306"/>
        <a:ext cx="979889" cy="979889"/>
      </dsp:txXfrm>
    </dsp:sp>
    <dsp:sp modelId="{A4831E96-F700-4BE8-A3E4-DF3BA99D90EB}">
      <dsp:nvSpPr>
        <dsp:cNvPr id="0" name=""/>
        <dsp:cNvSpPr/>
      </dsp:nvSpPr>
      <dsp:spPr>
        <a:xfrm rot="10800000">
          <a:off x="3003803" y="1632204"/>
          <a:ext cx="1385773" cy="1385773"/>
        </a:xfrm>
        <a:prstGeom prst="pieWedge">
          <a:avLst/>
        </a:prstGeom>
        <a:solidFill>
          <a:schemeClr val="accent5">
            <a:hueOff val="-4902230"/>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Модуль генерации рекоменда-ций</a:t>
          </a:r>
        </a:p>
      </dsp:txBody>
      <dsp:txXfrm rot="10800000">
        <a:off x="3003803" y="1632204"/>
        <a:ext cx="979889" cy="979889"/>
      </dsp:txXfrm>
    </dsp:sp>
    <dsp:sp modelId="{58F625F9-CAEA-47E6-900A-A11FAA637155}">
      <dsp:nvSpPr>
        <dsp:cNvPr id="0" name=""/>
        <dsp:cNvSpPr/>
      </dsp:nvSpPr>
      <dsp:spPr>
        <a:xfrm rot="16200000">
          <a:off x="1554022" y="1632204"/>
          <a:ext cx="1385773" cy="1385773"/>
        </a:xfrm>
        <a:prstGeom prst="pieWedge">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Модуль мониторинга</a:t>
          </a:r>
        </a:p>
      </dsp:txBody>
      <dsp:txXfrm rot="5400000">
        <a:off x="1959906" y="1632204"/>
        <a:ext cx="979889" cy="979889"/>
      </dsp:txXfrm>
    </dsp:sp>
    <dsp:sp modelId="{BB42C874-3632-42F7-8758-72DADD210B07}">
      <dsp:nvSpPr>
        <dsp:cNvPr id="0" name=""/>
        <dsp:cNvSpPr/>
      </dsp:nvSpPr>
      <dsp:spPr>
        <a:xfrm>
          <a:off x="2732570" y="1312164"/>
          <a:ext cx="478459" cy="416052"/>
        </a:xfrm>
        <a:prstGeom prst="circularArrow">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972450A-D3FB-47B9-86B6-1C58A1F84EFE}">
      <dsp:nvSpPr>
        <dsp:cNvPr id="0" name=""/>
        <dsp:cNvSpPr/>
      </dsp:nvSpPr>
      <dsp:spPr>
        <a:xfrm rot="10800000">
          <a:off x="2732570" y="1472184"/>
          <a:ext cx="478459" cy="416052"/>
        </a:xfrm>
        <a:prstGeom prst="circularArrow">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target2">
  <dgm:title val=""/>
  <dgm:desc val=""/>
  <dgm:catLst>
    <dgm:cat type="relationship"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chMax val="3"/>
      <dgm:chPref val="1"/>
      <dgm:dir/>
      <dgm:animLvl val="lvl"/>
      <dgm:resizeHandles/>
    </dgm:varLst>
    <dgm:alg type="composite">
      <dgm:param type="horzAlign" val="none"/>
      <dgm:param type="vertAlign" val="none"/>
    </dgm:alg>
    <dgm:shape xmlns:r="http://schemas.openxmlformats.org/officeDocument/2006/relationships" r:blip="">
      <dgm:adjLst/>
    </dgm:shape>
    <dgm:presOf/>
    <dgm:choose name="Name1">
      <dgm:if name="Name2" func="var" arg="dir" op="equ" val="norm">
        <dgm:choose name="Name3">
          <dgm:if name="Name4" axis="ch ch" ptType="node node" st="1 1" cnt="1 0" func="cnt" op="gt" val="0">
            <dgm:choose name="Name5">
              <dgm:if name="Name6" axis="ch ch" ptType="node node" st="2 1" cnt="1 0" func="cnt" op="gt" val="0">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2"/>
                  <dgm:constr type="t" for="ch" forName="middleBox" refType="h" fact="0.25"/>
                  <dgm:constr type="w" for="ch" forName="middleBox" refType="w" fact="0.775"/>
                  <dgm:constr type="h" for="ch" forName="middleBox" refType="h" fact="0.7"/>
                  <dgm:constr type="l" for="ch" forName="centerBox" refType="w" fact="0.395"/>
                  <dgm:constr type="t" for="ch" forName="centerBox" refType="h" fact="0.5"/>
                  <dgm:constr type="w" for="ch" forName="centerBox" refType="w" fact="0.555"/>
                  <dgm:constr type="h" for="ch" forName="centerBox" refType="h" fact="0.4"/>
                  <dgm:constr type="userA" for="des" forName="outerSibTrans" refType="w"/>
                  <dgm:constr type="userA" for="des" forName="middleSibTrans" refType="w"/>
                  <dgm:constr type="userA" for="des" forName="centerSibTrans" refType="w"/>
                </dgm:constrLst>
              </dgm:if>
              <dgm:else name="Name7">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2"/>
                  <dgm:constr type="t" for="ch" forName="middleBox" refType="h" fact="0.25"/>
                  <dgm:constr type="w" for="ch" forName="middleBox" refType="w" fact="0.775"/>
                  <dgm:constr type="h" for="ch" forName="middleBox" refType="h" fact="0.7"/>
                  <dgm:constr type="l" for="ch" forName="centerBox" refType="w" fact="0.225"/>
                  <dgm:constr type="t" for="ch" forName="centerBox" refType="h" fact="0.5"/>
                  <dgm:constr type="w" for="ch" forName="centerBox" refType="w" fact="0.725"/>
                  <dgm:constr type="h" for="ch" forName="centerBox" refType="h" fact="0.4"/>
                  <dgm:constr type="userA" for="des" forName="outerSibTrans" refType="w"/>
                  <dgm:constr type="userA" for="des" forName="middleSibTrans" refType="w"/>
                  <dgm:constr type="userA" for="des" forName="centerSibTrans" refType="w"/>
                </dgm:constrLst>
              </dgm:else>
            </dgm:choose>
          </dgm:if>
          <dgm:else name="Name8">
            <dgm:choose name="Name9">
              <dgm:if name="Name10" axis="ch ch" ptType="node node" st="2 1" cnt="1 0" func="cnt" op="gt" val="0">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95"/>
                  <dgm:constr type="h" for="ch" forName="middleBox" refType="h" fact="0.7"/>
                  <dgm:constr type="l" for="ch" forName="centerBox" refType="w" fact="0.26"/>
                  <dgm:constr type="t" for="ch" forName="centerBox" refType="h" fact="0.5"/>
                  <dgm:constr type="w" for="ch" forName="centerBox" refType="w" fact="0.69"/>
                  <dgm:constr type="h" for="ch" forName="centerBox" refType="h" fact="0.4"/>
                  <dgm:constr type="userA" for="des" forName="outerSibTrans" refType="w"/>
                  <dgm:constr type="userA" for="des" forName="middleSibTrans" refType="w"/>
                  <dgm:constr type="userA" for="des" forName="centerSibTrans" refType="w"/>
                </dgm:constrLst>
              </dgm:if>
              <dgm:else name="Name11">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95"/>
                  <dgm:constr type="h" for="ch" forName="middleBox" refType="h" fact="0.7"/>
                  <dgm:constr type="l" for="ch" forName="centerBox" refType="w" fact="0.05"/>
                  <dgm:constr type="t" for="ch" forName="centerBox" refType="h" fact="0.5"/>
                  <dgm:constr type="w" for="ch" forName="centerBox" refType="w" fact="0.9"/>
                  <dgm:constr type="h" for="ch" forName="centerBox" refType="h" fact="0.4"/>
                  <dgm:constr type="userA" for="des" forName="outerSibTrans" refType="w"/>
                  <dgm:constr type="userA" for="des" forName="middleSibTrans" refType="w"/>
                  <dgm:constr type="userA" for="des" forName="centerSibTrans" refType="w"/>
                </dgm:constrLst>
              </dgm:else>
            </dgm:choose>
          </dgm:else>
        </dgm:choose>
      </dgm:if>
      <dgm:else name="Name12">
        <dgm:choose name="Name13">
          <dgm:if name="Name14" axis="ch ch" ptType="node node" st="1 1" cnt="1 0" func="cnt" op="gt" val="0">
            <dgm:choose name="Name15">
              <dgm:if name="Name16" axis="ch ch" ptType="node node" st="2 1" cnt="1 0" func="cnt" op="gt" val="0">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775"/>
                  <dgm:constr type="h" for="ch" forName="middleBox" refType="h" fact="0.7"/>
                  <dgm:constr type="l" for="ch" forName="centerBox" refType="w" fact="0.05"/>
                  <dgm:constr type="t" for="ch" forName="centerBox" refType="h" fact="0.5"/>
                  <dgm:constr type="w" for="ch" forName="centerBox" refType="w" fact="0.55"/>
                  <dgm:constr type="h" for="ch" forName="centerBox" refType="h" fact="0.4"/>
                  <dgm:constr type="userA" for="des" forName="outerSibTrans" refType="w"/>
                  <dgm:constr type="userA" for="des" forName="middleSibTrans" refType="w"/>
                  <dgm:constr type="userA" for="des" forName="centerSibTrans" refType="w"/>
                </dgm:constrLst>
              </dgm:if>
              <dgm:else name="Name17">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775"/>
                  <dgm:constr type="h" for="ch" forName="middleBox" refType="h" fact="0.7"/>
                  <dgm:constr type="l" for="ch" forName="centerBox" refType="w" fact="0.05"/>
                  <dgm:constr type="t" for="ch" forName="centerBox" refType="h" fact="0.5"/>
                  <dgm:constr type="w" for="ch" forName="centerBox" refType="w" fact="0.725"/>
                  <dgm:constr type="h" for="ch" forName="centerBox" refType="h" fact="0.4"/>
                  <dgm:constr type="userA" for="des" forName="outerSibTrans" refType="w"/>
                  <dgm:constr type="userA" for="des" forName="middleSibTrans" refType="w"/>
                  <dgm:constr type="userA" for="des" forName="centerSibTrans" refType="w"/>
                </dgm:constrLst>
              </dgm:else>
            </dgm:choose>
          </dgm:if>
          <dgm:else name="Name18">
            <dgm:choose name="Name19">
              <dgm:if name="Name20" axis="ch ch" ptType="node node" st="2 1" cnt="1 0" func="cnt" op="gt" val="0">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95"/>
                  <dgm:constr type="h" for="ch" forName="middleBox" refType="h" fact="0.7"/>
                  <dgm:constr type="l" for="ch" forName="centerBox" refType="w" fact="0.05"/>
                  <dgm:constr type="t" for="ch" forName="centerBox" refType="h" fact="0.5"/>
                  <dgm:constr type="w" for="ch" forName="centerBox" refType="w" fact="0.69"/>
                  <dgm:constr type="h" for="ch" forName="centerBox" refType="h" fact="0.4"/>
                  <dgm:constr type="userA" for="des" forName="outerSibTrans" refType="w"/>
                  <dgm:constr type="userA" for="des" forName="middleSibTrans" refType="w"/>
                  <dgm:constr type="userA" for="des" forName="centerSibTrans" refType="w"/>
                </dgm:constrLst>
              </dgm:if>
              <dgm:else name="Name21">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95"/>
                  <dgm:constr type="h" for="ch" forName="middleBox" refType="h" fact="0.7"/>
                  <dgm:constr type="l" for="ch" forName="centerBox" refType="w" fact="0.05"/>
                  <dgm:constr type="t" for="ch" forName="centerBox" refType="h" fact="0.5"/>
                  <dgm:constr type="w" for="ch" forName="centerBox" refType="w" fact="0.9"/>
                  <dgm:constr type="h" for="ch" forName="centerBox" refType="h" fact="0.4"/>
                  <dgm:constr type="userA" for="des" forName="outerSibTrans" refType="w"/>
                  <dgm:constr type="userA" for="des" forName="middleSibTrans" refType="w"/>
                  <dgm:constr type="userA" for="des" forName="centerSibTrans" refType="w"/>
                </dgm:constrLst>
              </dgm:else>
            </dgm:choose>
          </dgm:else>
        </dgm:choose>
      </dgm:else>
    </dgm:choose>
    <dgm:ruleLst/>
    <dgm:choose name="Name22">
      <dgm:if name="Name23" axis="root ch" ptType="all node" st="1 1" cnt="0 0" func="cnt" op="gte" val="1">
        <dgm:layoutNode name="outerBox" styleLbl="node1">
          <dgm:alg type="composite">
            <dgm:param type="horzAlign" val="none"/>
            <dgm:param type="vertAlign" val="none"/>
          </dgm:alg>
          <dgm:shape xmlns:r="http://schemas.openxmlformats.org/officeDocument/2006/relationships" r:blip="">
            <dgm:adjLst/>
          </dgm:shape>
          <dgm:presOf/>
          <dgm:choose name="Name24">
            <dgm:if name="Name25" axis="root ch" ptType="all node" st="1 1" cnt="0 0" func="cnt" op="gt" val="1">
              <dgm:choose name="Name26">
                <dgm:if name="Name27" func="var" arg="dir" op="equ" val="norm">
                  <dgm:constrLst>
                    <dgm:constr type="l" for="ch" forName="outerBoxParent"/>
                    <dgm:constr type="t" for="ch" forName="outerBoxParent"/>
                    <dgm:constr type="w" for="ch" forName="outerBoxParent" refType="w"/>
                    <dgm:constr type="h" for="ch" forName="outerBoxParent" refType="h"/>
                    <dgm:constr type="bMarg" for="ch" forName="outerBoxParent" refType="h" fact="2.2"/>
                    <dgm:constr type="l" for="ch" forName="outerBoxChildren" refType="w" fact="0.025"/>
                    <dgm:constr type="t" for="ch" forName="outerBoxChildren" refType="h" fact="0.25"/>
                    <dgm:constr type="w" for="ch" forName="outerBoxChildren" refType="w" fact="0.15"/>
                    <dgm:constr type="h" for="ch" forName="outerBoxChildren" refType="h" fact="0.7"/>
                  </dgm:constrLst>
                </dgm:if>
                <dgm:else name="Name28">
                  <dgm:constrLst>
                    <dgm:constr type="l" for="ch" forName="outerBoxParent"/>
                    <dgm:constr type="t" for="ch" forName="outerBoxParent"/>
                    <dgm:constr type="w" for="ch" forName="outerBoxParent" refType="w"/>
                    <dgm:constr type="h" for="ch" forName="outerBoxParent" refType="h"/>
                    <dgm:constr type="bMarg" for="ch" forName="outerBoxParent" refType="h" fact="2.2"/>
                    <dgm:constr type="l" for="ch" forName="outerBoxChildren" refType="w" fact="0.825"/>
                    <dgm:constr type="t" for="ch" forName="outerBoxChildren" refType="h" fact="0.25"/>
                    <dgm:constr type="w" for="ch" forName="outerBoxChildren" refType="w" fact="0.15"/>
                    <dgm:constr type="h" for="ch" forName="outerBoxChildren" refType="h" fact="0.7"/>
                  </dgm:constrLst>
                </dgm:else>
              </dgm:choose>
            </dgm:if>
            <dgm:else name="Name29">
              <dgm:constrLst>
                <dgm:constr type="l" for="ch" forName="outerBoxParent"/>
                <dgm:constr type="t" for="ch" forName="outerBoxParent"/>
                <dgm:constr type="w" for="ch" forName="outerBoxParent" refType="w"/>
                <dgm:constr type="h" for="ch" forName="outerBoxParent" refType="h"/>
                <dgm:constr type="bMarg" for="ch" forName="outerBoxParent" refType="h" fact="1.75"/>
                <dgm:constr type="l" for="ch" forName="outerBoxChildren" refType="w" fact="0.025"/>
                <dgm:constr type="t" for="ch" forName="outerBoxChildren" refType="h" fact="0.45"/>
                <dgm:constr type="w" for="ch" forName="outerBoxChildren" refType="w" fact="0.95"/>
                <dgm:constr type="h" for="ch" forName="outerBoxChildren" refType="h" fact="0.45"/>
              </dgm:constrLst>
            </dgm:else>
          </dgm:choose>
          <dgm:ruleLst/>
          <dgm:layoutNode name="outerBoxParent" styleLbl="node1">
            <dgm:alg type="tx">
              <dgm:param type="txAnchorVert" val="t"/>
              <dgm:param type="parTxLTRAlign" val="l"/>
              <dgm:param type="parTxRTLAlign" val="r"/>
            </dgm:alg>
            <dgm:shape xmlns:r="http://schemas.openxmlformats.org/officeDocument/2006/relationships" type="roundRect" r:blip="">
              <dgm:adjLst>
                <dgm:adj idx="1" val="0.085"/>
              </dgm:adjLst>
            </dgm:shape>
            <dgm:presOf axis="ch" ptType="node" cnt="1"/>
            <dgm:constrLst>
              <dgm:constr type="tMarg" refType="primFontSz" fact="0.3"/>
              <dgm:constr type="lMarg" refType="primFontSz" fact="0.3"/>
              <dgm:constr type="rMarg" refType="primFontSz" fact="0.3"/>
            </dgm:constrLst>
            <dgm:ruleLst>
              <dgm:rule type="primFontSz" val="5" fact="NaN" max="NaN"/>
            </dgm:ruleLst>
          </dgm:layoutNode>
          <dgm:layoutNode name="outerBoxChildren">
            <dgm:choose name="Name30">
              <dgm:if name="Name31" axis="root ch" ptType="all node" st="1 1" cnt="0 0" func="cnt" op="gt" val="1">
                <dgm:alg type="lin">
                  <dgm:param type="linDir" val="fromT"/>
                  <dgm:param type="vertAlign" val="t"/>
                </dgm:alg>
              </dgm:if>
              <dgm:else name="Name32">
                <dgm:choose name="Name33">
                  <dgm:if name="Name34" func="var" arg="dir" op="equ" val="norm">
                    <dgm:alg type="lin">
                      <dgm:param type="horzAlign" val="l"/>
                    </dgm:alg>
                  </dgm:if>
                  <dgm:else name="Name35">
                    <dgm:alg type="lin">
                      <dgm:param type="linDir" val="fromR"/>
                      <dgm:param type="horzAlign" val="r"/>
                    </dgm:alg>
                  </dgm:else>
                </dgm:choose>
              </dgm:else>
            </dgm:choose>
            <dgm:shape xmlns:r="http://schemas.openxmlformats.org/officeDocument/2006/relationships" r:blip="">
              <dgm:adjLst/>
            </dgm:shape>
            <dgm:presOf/>
            <dgm:constrLst>
              <dgm:constr type="w" for="ch" forName="oChild" refType="w"/>
              <dgm:constr type="h" for="ch" forName="oChild" refType="h"/>
            </dgm:constrLst>
            <dgm:ruleLst/>
            <dgm:forEach name="Name36" axis="ch ch" ptType="node node" st="1 1" cnt="1 0">
              <dgm:layoutNode name="oChild" styleLbl="fgAcc1">
                <dgm:varLst>
                  <dgm:bulletEnabled val="1"/>
                </dgm:varLst>
                <dgm:alg type="tx"/>
                <dgm:shape xmlns:r="http://schemas.openxmlformats.org/officeDocument/2006/relationships" type="roundRect" r:blip="">
                  <dgm:adjLst>
                    <dgm:adj idx="1" val="0.105"/>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Name37" axis="followSib" ptType="sibTrans" cnt="1">
                <dgm:layoutNode name="outerSibTrans">
                  <dgm:alg type="sp"/>
                  <dgm:shape xmlns:r="http://schemas.openxmlformats.org/officeDocument/2006/relationships" r:blip="">
                    <dgm:adjLst/>
                  </dgm:shape>
                  <dgm:presOf/>
                  <dgm:constrLst>
                    <dgm:constr type="userA"/>
                    <dgm:constr type="w" refType="userA" fact="0.015"/>
                    <dgm:constr type="h" refType="userA" fact="0.015"/>
                  </dgm:constrLst>
                  <dgm:ruleLst/>
                </dgm:layoutNode>
              </dgm:forEach>
            </dgm:forEach>
          </dgm:layoutNode>
        </dgm:layoutNode>
      </dgm:if>
      <dgm:else name="Name38"/>
    </dgm:choose>
    <dgm:choose name="Name39">
      <dgm:if name="Name40" axis="root ch" ptType="all node" st="1 1" cnt="0 0" func="cnt" op="gte" val="2">
        <dgm:layoutNode name="middleBox">
          <dgm:alg type="composite">
            <dgm:param type="horzAlign" val="none"/>
            <dgm:param type="vertAlign" val="none"/>
          </dgm:alg>
          <dgm:shape xmlns:r="http://schemas.openxmlformats.org/officeDocument/2006/relationships" r:blip="">
            <dgm:adjLst/>
          </dgm:shape>
          <dgm:presOf/>
          <dgm:choose name="Name41">
            <dgm:if name="Name42" axis="root ch" ptType="all node" st="1 1" cnt="0 0" func="cnt" op="gt" val="2">
              <dgm:choose name="Name43">
                <dgm:if name="Name44" func="var" arg="dir" op="equ" val="norm">
                  <dgm:constrLst>
                    <dgm:constr type="l" for="ch" forName="middleBoxParent"/>
                    <dgm:constr type="t" for="ch" forName="middleBoxParent"/>
                    <dgm:constr type="w" for="ch" forName="middleBoxParent" refType="w"/>
                    <dgm:constr type="h" for="ch" forName="middleBoxParent" refType="h"/>
                    <dgm:constr type="bMarg" for="ch" forName="middleBoxParent" refType="h" fact="1.8"/>
                    <dgm:constr type="l" for="ch" forName="middleBoxChildren" refType="w" fact="0.025"/>
                    <dgm:constr type="t" for="ch" forName="middleBoxChildren" refType="h" fact="0.35"/>
                    <dgm:constr type="w" for="ch" forName="middleBoxChildren" refType="w" fact="0.2"/>
                    <dgm:constr type="h" for="ch" forName="middleBoxChildren" refType="h" fact="0.575"/>
                  </dgm:constrLst>
                </dgm:if>
                <dgm:else name="Name45">
                  <dgm:constrLst>
                    <dgm:constr type="l" for="ch" forName="middleBoxParent"/>
                    <dgm:constr type="t" for="ch" forName="middleBoxParent"/>
                    <dgm:constr type="w" for="ch" forName="middleBoxParent" refType="w"/>
                    <dgm:constr type="h" for="ch" forName="middleBoxParent" refType="h"/>
                    <dgm:constr type="bMarg" for="ch" forName="middleBoxParent" refType="h" fact="1.8"/>
                    <dgm:constr type="l" for="ch" forName="middleBoxChildren" refType="w" fact="0.775"/>
                    <dgm:constr type="t" for="ch" forName="middleBoxChildren" refType="h" fact="0.35"/>
                    <dgm:constr type="w" for="ch" forName="middleBoxChildren" refType="w" fact="0.2"/>
                    <dgm:constr type="h" for="ch" forName="middleBoxChildren" refType="h" fact="0.575"/>
                  </dgm:constrLst>
                </dgm:else>
              </dgm:choose>
            </dgm:if>
            <dgm:else name="Name46">
              <dgm:constrLst>
                <dgm:constr type="l" for="ch" forName="middleBoxParent"/>
                <dgm:constr type="t" for="ch" forName="middleBoxParent"/>
                <dgm:constr type="w" for="ch" forName="middleBoxParent" refType="w"/>
                <dgm:constr type="h" for="ch" forName="middleBoxParent" refType="h"/>
                <dgm:constr type="bMarg" for="ch" forName="middleBoxParent" refType="h" fact="1.8"/>
                <dgm:constr type="l" for="ch" forName="middleBoxChildren" refType="w" fact="0.025"/>
                <dgm:constr type="t" for="ch" forName="middleBoxChildren" refType="h" fact="0.45"/>
                <dgm:constr type="w" for="ch" forName="middleBoxChildren" refType="w" fact="0.95"/>
                <dgm:constr type="h" for="ch" forName="middleBoxChildren" refType="h" fact="0.45"/>
              </dgm:constrLst>
            </dgm:else>
          </dgm:choose>
          <dgm:ruleLst/>
          <dgm:layoutNode name="middleBoxParent" styleLbl="node1">
            <dgm:alg type="tx">
              <dgm:param type="txAnchorVert" val="t"/>
              <dgm:param type="parTxLTRAlign" val="l"/>
              <dgm:param type="parTxRTLAlign" val="r"/>
            </dgm:alg>
            <dgm:shape xmlns:r="http://schemas.openxmlformats.org/officeDocument/2006/relationships" type="roundRect" r:blip="">
              <dgm:adjLst>
                <dgm:adj idx="1" val="0.105"/>
              </dgm:adjLst>
            </dgm:shape>
            <dgm:presOf axis="ch" ptType="node" st="2" cnt="1"/>
            <dgm:constrLst>
              <dgm:constr type="tMarg" refType="primFontSz" fact="0.3"/>
              <dgm:constr type="lMarg" refType="primFontSz" fact="0.3"/>
              <dgm:constr type="rMarg" refType="primFontSz" fact="0.3"/>
            </dgm:constrLst>
            <dgm:ruleLst>
              <dgm:rule type="primFontSz" val="5" fact="NaN" max="NaN"/>
            </dgm:ruleLst>
          </dgm:layoutNode>
          <dgm:layoutNode name="middleBoxChildren">
            <dgm:choose name="Name47">
              <dgm:if name="Name48" axis="root ch" ptType="all node" st="1 1" cnt="0 0" func="cnt" op="gt" val="2">
                <dgm:alg type="lin">
                  <dgm:param type="linDir" val="fromT"/>
                  <dgm:param type="vertAlign" val="t"/>
                </dgm:alg>
              </dgm:if>
              <dgm:else name="Name49">
                <dgm:choose name="Name50">
                  <dgm:if name="Name51" func="var" arg="dir" op="equ" val="norm">
                    <dgm:alg type="lin">
                      <dgm:param type="horzAlign" val="l"/>
                    </dgm:alg>
                  </dgm:if>
                  <dgm:else name="Name52">
                    <dgm:alg type="lin">
                      <dgm:param type="linDir" val="fromR"/>
                      <dgm:param type="horzAlign" val="r"/>
                    </dgm:alg>
                  </dgm:else>
                </dgm:choose>
              </dgm:else>
            </dgm:choose>
            <dgm:shape xmlns:r="http://schemas.openxmlformats.org/officeDocument/2006/relationships" r:blip="">
              <dgm:adjLst/>
            </dgm:shape>
            <dgm:presOf/>
            <dgm:constrLst>
              <dgm:constr type="w" for="ch" forName="mChild" refType="w"/>
              <dgm:constr type="h" for="ch" forName="mChild" refType="h"/>
            </dgm:constrLst>
            <dgm:ruleLst/>
            <dgm:forEach name="Name53" axis="ch ch" ptType="node node" st="2 1" cnt="1 0">
              <dgm:layoutNode name="mChild" styleLbl="fgAcc1">
                <dgm:varLst>
                  <dgm:bulletEnabled val="1"/>
                </dgm:varLst>
                <dgm:alg type="tx"/>
                <dgm:shape xmlns:r="http://schemas.openxmlformats.org/officeDocument/2006/relationships" type="roundRect" r:blip="">
                  <dgm:adjLst>
                    <dgm:adj idx="1" val="0.105"/>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Name54" axis="followSib" ptType="sibTrans" cnt="1">
                <dgm:layoutNode name="middleSibTrans">
                  <dgm:alg type="sp"/>
                  <dgm:shape xmlns:r="http://schemas.openxmlformats.org/officeDocument/2006/relationships" r:blip="">
                    <dgm:adjLst/>
                  </dgm:shape>
                  <dgm:presOf/>
                  <dgm:constrLst>
                    <dgm:constr type="userA"/>
                    <dgm:constr type="w" refType="userA" fact="0.015"/>
                    <dgm:constr type="h" refType="userA" fact="0.015"/>
                  </dgm:constrLst>
                  <dgm:ruleLst/>
                </dgm:layoutNode>
              </dgm:forEach>
            </dgm:forEach>
          </dgm:layoutNode>
        </dgm:layoutNode>
      </dgm:if>
      <dgm:else name="Name55"/>
    </dgm:choose>
    <dgm:choose name="Name56">
      <dgm:if name="Name57" axis="root ch" ptType="all node" st="1 1" cnt="0 0" func="cnt" op="gte" val="3">
        <dgm:layoutNode name="centerBox">
          <dgm:alg type="composite">
            <dgm:param type="horzAlign" val="none"/>
            <dgm:param type="vertAlign" val="none"/>
          </dgm:alg>
          <dgm:shape xmlns:r="http://schemas.openxmlformats.org/officeDocument/2006/relationships" r:blip="">
            <dgm:adjLst/>
          </dgm:shape>
          <dgm:presOf/>
          <dgm:choose name="Name58">
            <dgm:if name="Name59" axis="ch ch" ptType="node node" st="3 1" cnt="1 0" func="cnt" op="gt" val="0">
              <dgm:constrLst>
                <dgm:constr type="l" for="ch" forName="centerBoxParent"/>
                <dgm:constr type="t" for="ch" forName="centerBoxParent"/>
                <dgm:constr type="w" for="ch" forName="centerBoxParent" refType="w"/>
                <dgm:constr type="h" for="ch" forName="centerBoxParent" refType="h"/>
                <dgm:constr type="bMarg" for="ch" forName="centerBoxParent" refType="h" fact="1.6"/>
                <dgm:constr type="l" for="ch" forName="centerBoxChildren" refType="w" fact="0.025"/>
                <dgm:constr type="t" for="ch" forName="centerBoxChildren" refType="h" fact="0.45"/>
                <dgm:constr type="w" for="ch" forName="centerBoxChildren" refType="w" fact="0.95"/>
                <dgm:constr type="h" for="ch" forName="centerBoxChildren" refType="h" fact="0.45"/>
              </dgm:constrLst>
            </dgm:if>
            <dgm:else name="Name60">
              <dgm:constrLst>
                <dgm:constr type="l" for="ch" forName="centerBoxParent"/>
                <dgm:constr type="t" for="ch" forName="centerBoxParent"/>
                <dgm:constr type="w" for="ch" forName="centerBoxParent" refType="w"/>
                <dgm:constr type="h" for="ch" forName="centerBoxParent" refType="h"/>
              </dgm:constrLst>
            </dgm:else>
          </dgm:choose>
          <dgm:ruleLst/>
          <dgm:layoutNode name="centerBoxParent" styleLbl="node1">
            <dgm:alg type="tx">
              <dgm:param type="txAnchorVert" val="t"/>
              <dgm:param type="parTxLTRAlign" val="l"/>
              <dgm:param type="parTxRTLAlign" val="r"/>
            </dgm:alg>
            <dgm:shape xmlns:r="http://schemas.openxmlformats.org/officeDocument/2006/relationships" type="roundRect" r:blip="">
              <dgm:adjLst>
                <dgm:adj idx="1" val="0.105"/>
              </dgm:adjLst>
            </dgm:shape>
            <dgm:presOf axis="ch" ptType="node" st="3" cnt="1"/>
            <dgm:constrLst>
              <dgm:constr type="tMarg" refType="primFontSz" fact="0.3"/>
              <dgm:constr type="lMarg" refType="primFontSz" fact="0.3"/>
              <dgm:constr type="rMarg" refType="primFontSz" fact="0.3"/>
            </dgm:constrLst>
            <dgm:ruleLst>
              <dgm:rule type="primFontSz" val="5" fact="NaN" max="NaN"/>
            </dgm:ruleLst>
          </dgm:layoutNode>
          <dgm:choose name="Name61">
            <dgm:if name="Name62" axis="ch ch" ptType="node node" st="3 1" cnt="1 0" func="cnt" op="gt" val="0">
              <dgm:layoutNode name="centerBoxChildren">
                <dgm:choose name="Name63">
                  <dgm:if name="Name64" func="var" arg="dir" op="equ" val="norm">
                    <dgm:alg type="lin">
                      <dgm:param type="horzAlign" val="l"/>
                    </dgm:alg>
                  </dgm:if>
                  <dgm:else name="Name65">
                    <dgm:alg type="lin">
                      <dgm:param type="linDir" val="fromR"/>
                      <dgm:param type="horzAlign" val="r"/>
                    </dgm:alg>
                  </dgm:else>
                </dgm:choose>
                <dgm:shape xmlns:r="http://schemas.openxmlformats.org/officeDocument/2006/relationships" r:blip="">
                  <dgm:adjLst/>
                </dgm:shape>
                <dgm:presOf/>
                <dgm:constrLst>
                  <dgm:constr type="w" for="ch" forName="cChild" refType="w"/>
                  <dgm:constr type="h" for="ch" forName="cChild" refType="h"/>
                </dgm:constrLst>
                <dgm:ruleLst/>
                <dgm:forEach name="Name66" axis="ch ch" ptType="node node" st="3 1" cnt="1 0">
                  <dgm:layoutNode name="cChild" styleLbl="fgAcc1">
                    <dgm:varLst>
                      <dgm:bulletEnabled val="1"/>
                    </dgm:varLst>
                    <dgm:alg type="tx"/>
                    <dgm:shape xmlns:r="http://schemas.openxmlformats.org/officeDocument/2006/relationships" type="roundRect" r:blip="">
                      <dgm:adjLst>
                        <dgm:adj idx="1" val="0.105"/>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Name67" axis="followSib" ptType="sibTrans" cnt="1">
                    <dgm:layoutNode name="centerSibTrans">
                      <dgm:alg type="sp"/>
                      <dgm:shape xmlns:r="http://schemas.openxmlformats.org/officeDocument/2006/relationships" r:blip="">
                        <dgm:adjLst/>
                      </dgm:shape>
                      <dgm:presOf/>
                      <dgm:constrLst>
                        <dgm:constr type="userA"/>
                        <dgm:constr type="w" refType="userA" fact="0.015"/>
                        <dgm:constr type="h" refType="userA" fact="0.015"/>
                      </dgm:constrLst>
                      <dgm:ruleLst/>
                    </dgm:layoutNode>
                  </dgm:forEach>
                </dgm:forEach>
              </dgm:layoutNode>
            </dgm:if>
            <dgm:else name="Name68"/>
          </dgm:choose>
        </dgm:layoutNode>
      </dgm:if>
      <dgm:else name="Name69"/>
    </dgm:choose>
  </dgm:layoutNode>
</dgm:layoutDef>
</file>

<file path=word/diagrams/layout5.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9D10D-9A43-4974-9946-C8EECA907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2469</TotalTime>
  <Pages>212</Pages>
  <Words>175860</Words>
  <Characters>1002404</Characters>
  <Application>Microsoft Office Word</Application>
  <DocSecurity>0</DocSecurity>
  <Lines>8353</Lines>
  <Paragraphs>2351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cp:lastPrinted>2025-12-02T13:17:00Z</cp:lastPrinted>
  <dcterms:created xsi:type="dcterms:W3CDTF">2025-12-02T14:16:00Z</dcterms:created>
  <dcterms:modified xsi:type="dcterms:W3CDTF">2026-02-10T10:17:00Z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http://www.zotero.org/styles/gost-r-7-0-5-2008-numeric-alphabetical</vt:lpwstr>
  </property>
  <property fmtid="{D5CDD505-2E9C-101B-9397-08002B2CF9AE}" pid="19" name="Mendeley Recent Style Name 8_1">
    <vt:lpwstr>Russian GOST R 7.0.5-2008 (numeric, sorted alphabetically, Ру́сский)</vt:lpwstr>
  </property>
  <property fmtid="{D5CDD505-2E9C-101B-9397-08002B2CF9AE}" pid="20" name="Mendeley Recent Style Id 9_1">
    <vt:lpwstr>http://www.zotero.org/styles/gost-r-7-0-5-2008</vt:lpwstr>
  </property>
  <property fmtid="{D5CDD505-2E9C-101B-9397-08002B2CF9AE}" pid="21" name="Mendeley Recent Style Name 9_1">
    <vt:lpwstr>Russian GOST R 7.0.5-2008 (Ру́сский)</vt:lpwstr>
  </property>
  <property fmtid="{D5CDD505-2E9C-101B-9397-08002B2CF9AE}" pid="22" name="Mendeley Document_1">
    <vt:lpwstr>True</vt:lpwstr>
  </property>
  <property fmtid="{D5CDD505-2E9C-101B-9397-08002B2CF9AE}" pid="23" name="Mendeley Unique User Id_1">
    <vt:lpwstr>4e32964e-495c-3732-9acf-840a35e21257</vt:lpwstr>
  </property>
  <property fmtid="{D5CDD505-2E9C-101B-9397-08002B2CF9AE}" pid="24" name="Mendeley Citation Style_1">
    <vt:lpwstr>http://www.zotero.org/styles/harvard1</vt:lpwstr>
  </property>
  <property fmtid="{D5CDD505-2E9C-101B-9397-08002B2CF9AE}" pid="25" name="ZOTERO_PREF_1">
    <vt:lpwstr>&lt;data data-version="3" zotero-version="7.0.32"&gt;&lt;session id="jo0Cjpe8"/&gt;&lt;style id="http://www.zotero.org/styles/gost-r-7-0-5-2008-numeric" hasBibliography="1" bibliographyStyleHasBeenSet="1"/&gt;&lt;prefs&gt;&lt;pref name="fieldType" value="Field"/&gt;&lt;pref name="automat</vt:lpwstr>
  </property>
  <property fmtid="{D5CDD505-2E9C-101B-9397-08002B2CF9AE}" pid="26" name="ZOTERO_PREF_2">
    <vt:lpwstr>icJournalAbbreviations" value="true"/&gt;&lt;pref name="delayCitationUpdates" value="true"/&gt;&lt;/prefs&gt;&lt;/data&gt;</vt:lpwstr>
  </property>
</Properties>
</file>